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5,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MIMEDX GROUP, INC.</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128" w:lineRule="exact"/>
        <w:rPr>
          <w:sz w:val="24"/>
          <w:szCs w:val="24"/>
          <w:color w:val="auto"/>
        </w:rPr>
      </w:pPr>
    </w:p>
    <w:tbl>
      <w:tblPr>
        <w:tblLayout w:type="fixed"/>
        <w:tblInd w:w="1140" w:type="dxa"/>
        <w:tblCellMar>
          <w:top w:w="0" w:type="dxa"/>
          <w:left w:w="0" w:type="dxa"/>
          <w:bottom w:w="0" w:type="dxa"/>
          <w:right w:w="0" w:type="dxa"/>
        </w:tblCellMar>
      </w:tblPr>
      <w:tr>
        <w:trPr>
          <w:trHeight w:val="229"/>
        </w:trPr>
        <w:tc>
          <w:tcPr>
            <w:tcW w:w="30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3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001-35887</w:t>
            </w:r>
          </w:p>
        </w:tc>
        <w:tc>
          <w:tcPr>
            <w:tcW w:w="254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26-2792552</w:t>
            </w:r>
          </w:p>
        </w:tc>
      </w:tr>
      <w:tr>
        <w:trPr>
          <w:trHeight w:val="230"/>
        </w:trPr>
        <w:tc>
          <w:tcPr>
            <w:tcW w:w="30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54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54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1775 West Oak Commons Ct., NE, Marietta GA 30062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651-9100</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highlight w:val="black"/>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00" w:hanging="274"/>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60" w:type="dxa"/>
            <w:vAlign w:val="bottom"/>
          </w:tcPr>
          <w:p>
            <w:pPr>
              <w:spacing w:after="0"/>
              <w:rPr>
                <w:sz w:val="24"/>
                <w:szCs w:val="24"/>
                <w:color w:val="auto"/>
              </w:rPr>
            </w:pPr>
          </w:p>
        </w:tc>
        <w:tc>
          <w:tcPr>
            <w:tcW w:w="3720" w:type="dxa"/>
            <w:vAlign w:val="bottom"/>
            <w:vMerge w:val="restart"/>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2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3720" w:type="dxa"/>
            <w:vAlign w:val="bottom"/>
            <w:tcBorders>
              <w:bottom w:val="single" w:sz="8" w:color="auto"/>
            </w:tcBorders>
            <w:vMerge w:val="continue"/>
          </w:tcPr>
          <w:p>
            <w:pPr>
              <w:spacing w:after="0"/>
              <w:rPr>
                <w:sz w:val="20"/>
                <w:szCs w:val="20"/>
                <w:color w:val="auto"/>
              </w:rPr>
            </w:pPr>
          </w:p>
        </w:tc>
        <w:tc>
          <w:tcPr>
            <w:tcW w:w="2420" w:type="dxa"/>
            <w:vAlign w:val="bottom"/>
            <w:tcBorders>
              <w:bottom w:val="single" w:sz="8" w:color="auto"/>
            </w:tcBorders>
            <w:vMerge w:val="continue"/>
          </w:tcPr>
          <w:p>
            <w:pPr>
              <w:spacing w:after="0"/>
              <w:rPr>
                <w:sz w:val="20"/>
                <w:szCs w:val="20"/>
                <w:color w:val="auto"/>
              </w:rPr>
            </w:pPr>
          </w:p>
        </w:tc>
        <w:tc>
          <w:tcPr>
            <w:tcW w:w="40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174"/>
        </w:trPr>
        <w:tc>
          <w:tcPr>
            <w:tcW w:w="560" w:type="dxa"/>
            <w:vAlign w:val="bottom"/>
          </w:tcPr>
          <w:p>
            <w:pPr>
              <w:spacing w:after="0"/>
              <w:rPr>
                <w:sz w:val="15"/>
                <w:szCs w:val="15"/>
                <w:color w:val="auto"/>
              </w:rPr>
            </w:pPr>
          </w:p>
        </w:tc>
        <w:tc>
          <w:tcPr>
            <w:tcW w:w="3720" w:type="dxa"/>
            <w:vAlign w:val="bottom"/>
          </w:tcPr>
          <w:p>
            <w:pPr>
              <w:jc w:val="center"/>
              <w:ind w:right="810"/>
              <w:spacing w:after="0" w:line="174" w:lineRule="exact"/>
              <w:rPr>
                <w:sz w:val="20"/>
                <w:szCs w:val="20"/>
                <w:color w:val="auto"/>
              </w:rPr>
            </w:pPr>
            <w:r>
              <w:rPr>
                <w:rFonts w:ascii="Times New Roman" w:cs="Times New Roman" w:eastAsia="Times New Roman" w:hAnsi="Times New Roman"/>
                <w:sz w:val="18"/>
                <w:szCs w:val="18"/>
                <w:b w:val="1"/>
                <w:bCs w:val="1"/>
                <w:color w:val="auto"/>
                <w:w w:val="99"/>
              </w:rPr>
              <w:t>Common Stock, $0.001 par value</w:t>
            </w:r>
          </w:p>
        </w:tc>
        <w:tc>
          <w:tcPr>
            <w:tcW w:w="242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8"/>
              </w:rPr>
              <w:t>MDXG</w:t>
            </w:r>
          </w:p>
        </w:tc>
        <w:tc>
          <w:tcPr>
            <w:tcW w:w="40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3720" w:type="dxa"/>
            <w:vAlign w:val="bottom"/>
            <w:vMerge w:val="restart"/>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420" w:type="dxa"/>
            <w:vAlign w:val="bottom"/>
            <w:vMerge w:val="continue"/>
          </w:tcPr>
          <w:p>
            <w:pPr>
              <w:spacing w:after="0"/>
              <w:rPr>
                <w:sz w:val="12"/>
                <w:szCs w:val="12"/>
                <w:color w:val="auto"/>
              </w:rPr>
            </w:pPr>
          </w:p>
        </w:tc>
        <w:tc>
          <w:tcPr>
            <w:tcW w:w="4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56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1915795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5, 2024, the Company held its 2024 Annual Meeting of shareholders (the “2024 Annual Meeting”).</w:t>
      </w:r>
    </w:p>
    <w:p>
      <w:pPr>
        <w:spacing w:after="0" w:line="2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At the 2024 Annual Meeting, 119,158,874 shares of Company common stock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approximately 80.74% of votes entitled to be cast at the 2024 Annual Meeting) were represented in person or by proxy.</w:t>
      </w:r>
    </w:p>
    <w:p>
      <w:pPr>
        <w:spacing w:after="0" w:line="18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At the 2024 Annual Meeting, the shareholders: (1) re-elected M. Kathleen Behrens, Ph.D., Joseph H. Capper, James L. Bierman, William A. Hawkins, III, Cato T. Laurencin, M.D., K. Todd Newton, Tiffany Olson, Dorothy Puhy, and Martin P. Sutter; (2) approved an advisory resolution regarding executive compensation; and (3) ratified the appointment of Deloitte &amp; Touche LLP as the Company’s independent registered public accounting firm for the fiscal year ending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is information regarding the votes cast for each proposal: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 1: Election of Nine Directors.</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520"/>
        </w:trPr>
        <w:tc>
          <w:tcPr>
            <w:tcW w:w="29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182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8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 Kathleen Behrens, Ph.D.</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88,757,740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3,261,091</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1,745,873</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25,394,170</w:t>
            </w:r>
          </w:p>
        </w:tc>
      </w:tr>
      <w:tr>
        <w:trPr>
          <w:trHeight w:val="23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Joseph H. Capper</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91,927,185</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1,477,638</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359,881</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25,394,170</w:t>
            </w:r>
          </w:p>
        </w:tc>
      </w:tr>
      <w:tr>
        <w:trPr>
          <w:trHeight w:val="22"/>
        </w:trPr>
        <w:tc>
          <w:tcPr>
            <w:tcW w:w="40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 Bierman</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91,357,656</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1,982,026</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425,022</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25,394,170</w:t>
            </w:r>
          </w:p>
        </w:tc>
      </w:tr>
      <w:tr>
        <w:trPr>
          <w:trHeight w:val="23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A. Hawkins, III</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91,585,024</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1,713,758</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465,922</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25,394,170</w:t>
            </w:r>
          </w:p>
        </w:tc>
      </w:tr>
      <w:tr>
        <w:trPr>
          <w:trHeight w:val="22"/>
        </w:trPr>
        <w:tc>
          <w:tcPr>
            <w:tcW w:w="40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Dr. Cato T. Laurencin</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91,347,914</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1,951,781</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465,009</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25,394,170</w:t>
            </w:r>
          </w:p>
        </w:tc>
      </w:tr>
      <w:tr>
        <w:trPr>
          <w:trHeight w:val="23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 Todd Newton</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91,286,651</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1,952,708</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525,345</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25,394,170</w:t>
            </w:r>
          </w:p>
        </w:tc>
      </w:tr>
      <w:tr>
        <w:trPr>
          <w:trHeight w:val="22"/>
        </w:trPr>
        <w:tc>
          <w:tcPr>
            <w:tcW w:w="40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Tiffany Olson</w:t>
            </w:r>
          </w:p>
        </w:tc>
        <w:tc>
          <w:tcPr>
            <w:tcW w:w="172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89,133,353</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4,247,603</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383,748</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25,394,170</w:t>
            </w:r>
          </w:p>
        </w:tc>
      </w:tr>
      <w:tr>
        <w:trPr>
          <w:trHeight w:val="23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Dorothy Puhy</w:t>
            </w:r>
          </w:p>
        </w:tc>
        <w:tc>
          <w:tcPr>
            <w:tcW w:w="17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91,591,358</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1,790,486</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382,860</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25,394,170</w:t>
            </w:r>
          </w:p>
        </w:tc>
      </w:tr>
      <w:tr>
        <w:trPr>
          <w:trHeight w:val="22"/>
        </w:trPr>
        <w:tc>
          <w:tcPr>
            <w:tcW w:w="40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4"/>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P. Sutter</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91,251,444</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2,047,937</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465,323</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25,394,170</w:t>
            </w:r>
          </w:p>
        </w:tc>
      </w:tr>
      <w:tr>
        <w:trPr>
          <w:trHeight w:val="22"/>
        </w:trPr>
        <w:tc>
          <w:tcPr>
            <w:tcW w:w="29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 Advisory approval of executive compensation.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7"/>
        </w:trPr>
        <w:tc>
          <w:tcPr>
            <w:tcW w:w="40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2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Voted</w:t>
            </w: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68,695,869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23,968,915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1,099,920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25,394,170</w:t>
            </w:r>
          </w:p>
        </w:tc>
      </w:tr>
      <w:tr>
        <w:trPr>
          <w:trHeight w:val="22"/>
        </w:trPr>
        <w:tc>
          <w:tcPr>
            <w:tcW w:w="40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Proposal 3: Ratification of Deloitte &amp; Touche LLP as the Company’s independent registered public accounting firm for the fiscal year ending December 31,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40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Shares Voted</w:t>
            </w:r>
          </w:p>
        </w:tc>
        <w:tc>
          <w:tcPr>
            <w:tcW w:w="17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116,730,520</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2,328,648</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99,706</w:t>
            </w:r>
          </w:p>
        </w:tc>
        <w:tc>
          <w:tcPr>
            <w:tcW w:w="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1222"/>
        </w:trPr>
        <w:tc>
          <w:tcPr>
            <w:tcW w:w="40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lef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32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June 7, 2024</w:t>
      </w:r>
      <w:r>
        <w:rPr>
          <w:sz w:val="20"/>
          <w:szCs w:val="20"/>
          <w:color w:val="auto"/>
        </w:rPr>
        <w:tab/>
      </w:r>
      <w:r>
        <w:rPr>
          <w:rFonts w:ascii="Times New Roman" w:cs="Times New Roman" w:eastAsia="Times New Roman" w:hAnsi="Times New Roman"/>
          <w:sz w:val="17"/>
          <w:szCs w:val="17"/>
          <w:color w:val="auto"/>
        </w:rPr>
        <w:t>By: /s/ William “Butch” Hulse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17145</wp:posOffset>
            </wp:positionV>
            <wp:extent cx="2991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William “Butch” Hulse</w:t>
      </w:r>
    </w:p>
    <w:p>
      <w:pPr>
        <w:ind w:left="6040"/>
        <w:spacing w:after="0"/>
        <w:rPr>
          <w:sz w:val="20"/>
          <w:szCs w:val="20"/>
          <w:color w:val="auto"/>
        </w:rPr>
      </w:pPr>
      <w:r>
        <w:rPr>
          <w:rFonts w:ascii="Times New Roman" w:cs="Times New Roman" w:eastAsia="Times New Roman" w:hAnsi="Times New Roman"/>
          <w:sz w:val="18"/>
          <w:szCs w:val="18"/>
          <w:color w:val="auto"/>
        </w:rPr>
        <w:t>General Counsel &amp; Chief Administrative Officer</w:t>
      </w:r>
    </w:p>
    <w:sectPr>
      <w:pgSz w:w="11900" w:h="16838" w:orient="portrait"/>
      <w:cols w:equalWidth="0" w:num="1">
        <w:col w:w="11020"/>
      </w:cols>
      <w:pgMar w:left="340" w:top="11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2024-06-07T15:09:28Z</dcterms:created>
  <dcterms:modified xsi:type="dcterms:W3CDTF">2024-06-07T15:09:28Z</dcterms:modified>
</cp:coreProperties>
</file>