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493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4933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Stein Robert Benjamin</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980" w:type="dxa"/>
            <w:vAlign w:val="bottom"/>
          </w:tcPr>
          <w:p>
            <w:pPr>
              <w:ind w:left="18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1775 WEST OAK COMMONS COURT</w:t>
            </w:r>
          </w:p>
        </w:tc>
      </w:tr>
      <w:tr>
        <w:trPr>
          <w:trHeight w:val="212"/>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MARIETTA</w:t>
            </w:r>
          </w:p>
        </w:tc>
        <w:tc>
          <w:tcPr>
            <w:tcW w:w="980" w:type="dxa"/>
            <w:vAlign w:val="bottom"/>
          </w:tcPr>
          <w:p>
            <w:pPr>
              <w:ind w:left="180"/>
              <w:spacing w:after="0"/>
              <w:rPr>
                <w:sz w:val="20"/>
                <w:szCs w:val="20"/>
                <w:color w:val="auto"/>
              </w:rPr>
            </w:pPr>
            <w:r>
              <w:rPr>
                <w:rFonts w:ascii="Arial" w:cs="Arial" w:eastAsia="Arial" w:hAnsi="Arial"/>
                <w:sz w:val="18"/>
                <w:szCs w:val="18"/>
                <w:color w:val="0000FF"/>
              </w:rPr>
              <w:t>GA</w:t>
            </w:r>
          </w:p>
        </w:tc>
        <w:tc>
          <w:tcPr>
            <w:tcW w:w="1600" w:type="dxa"/>
            <w:vAlign w:val="bottom"/>
          </w:tcPr>
          <w:p>
            <w:pPr>
              <w:ind w:left="420"/>
              <w:spacing w:after="0"/>
              <w:rPr>
                <w:sz w:val="20"/>
                <w:szCs w:val="20"/>
                <w:color w:val="auto"/>
              </w:rPr>
            </w:pPr>
            <w:r>
              <w:rPr>
                <w:rFonts w:ascii="Arial" w:cs="Arial" w:eastAsia="Arial" w:hAnsi="Arial"/>
                <w:sz w:val="18"/>
                <w:szCs w:val="18"/>
                <w:color w:val="0000FF"/>
              </w:rPr>
              <w:t>30062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8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MIMEDX GROUP,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MDXG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280" w:type="dxa"/>
            <w:vAlign w:val="bottom"/>
            <w:gridSpan w:val="3"/>
          </w:tcPr>
          <w:p>
            <w:pPr>
              <w:ind w:left="80"/>
              <w:spacing w:after="0"/>
              <w:rPr>
                <w:sz w:val="20"/>
                <w:szCs w:val="20"/>
                <w:color w:val="auto"/>
              </w:rPr>
            </w:pPr>
            <w:r>
              <w:rPr>
                <w:rFonts w:ascii="Arial" w:cs="Arial" w:eastAsia="Arial" w:hAnsi="Arial"/>
                <w:sz w:val="18"/>
                <w:szCs w:val="18"/>
                <w:color w:val="0000FF"/>
              </w:rPr>
              <w:t>05/15/2023</w:t>
            </w:r>
          </w:p>
        </w:tc>
        <w:tc>
          <w:tcPr>
            <w:tcW w:w="1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120"/>
              <w:spacing w:after="0"/>
              <w:rPr>
                <w:sz w:val="20"/>
                <w:szCs w:val="20"/>
                <w:color w:val="auto"/>
              </w:rPr>
            </w:pPr>
            <w:r>
              <w:rPr>
                <w:rFonts w:ascii="Arial" w:cs="Arial" w:eastAsia="Arial" w:hAnsi="Arial"/>
                <w:sz w:val="18"/>
                <w:szCs w:val="18"/>
                <w:color w:val="0000FF"/>
              </w:rPr>
              <w:t>President, Regenerative Med.</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jc w:val="center"/>
              <w:ind w:right="59"/>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320"/>
              <w:spacing w:after="0" w:line="136"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8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05/15/2023</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jc w:val="right"/>
              <w:ind w:right="151"/>
              <w:spacing w:after="0"/>
              <w:rPr>
                <w:sz w:val="20"/>
                <w:szCs w:val="20"/>
                <w:color w:val="auto"/>
              </w:rPr>
            </w:pPr>
            <w:r>
              <w:rPr>
                <w:rFonts w:ascii="Arial" w:cs="Arial" w:eastAsia="Arial" w:hAnsi="Arial"/>
                <w:sz w:val="18"/>
                <w:szCs w:val="18"/>
                <w:color w:val="0000FF"/>
              </w:rPr>
              <w:t>3,607</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6.1465</w:t>
            </w:r>
            <w:r>
              <w:rPr>
                <w:rFonts w:ascii="Arial" w:cs="Arial" w:eastAsia="Arial" w:hAnsi="Arial"/>
                <w:sz w:val="22"/>
                <w:szCs w:val="22"/>
                <w:color w:val="008000"/>
                <w:w w:val="91"/>
                <w:vertAlign w:val="superscript"/>
              </w:rPr>
              <w:t>(1)</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328,168</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05/16/2023</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jc w:val="right"/>
              <w:ind w:right="111"/>
              <w:spacing w:after="0"/>
              <w:rPr>
                <w:sz w:val="20"/>
                <w:szCs w:val="20"/>
                <w:color w:val="auto"/>
              </w:rPr>
            </w:pPr>
            <w:r>
              <w:rPr>
                <w:rFonts w:ascii="Arial" w:cs="Arial" w:eastAsia="Arial" w:hAnsi="Arial"/>
                <w:sz w:val="18"/>
                <w:szCs w:val="18"/>
                <w:color w:val="0000FF"/>
              </w:rPr>
              <w:t>10,365</w:t>
            </w: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5.9457</w:t>
            </w:r>
            <w:r>
              <w:rPr>
                <w:rFonts w:ascii="Arial" w:cs="Arial" w:eastAsia="Arial" w:hAnsi="Arial"/>
                <w:sz w:val="22"/>
                <w:szCs w:val="22"/>
                <w:color w:val="008000"/>
                <w:w w:val="91"/>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317,803</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7"/>
              </w:rPr>
              <w:t>Derivative</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7"/>
              </w:rPr>
              <w:t>Securities</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8"/>
              </w:rPr>
              <w:t>(Instr. 3, 4</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jc w:val="both"/>
        <w:ind w:left="40" w:right="28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purchase price indicated is a weighted average purchase price. The corresponding shares were bought in multiple transactions at prices ranging from $6.120 to $6.190, inclusive. The reporting person undertakes to provide to MiMedx Group, Inc., any security holder of MiMedx Group, Inc. or the staff of the Securities and Exchange Commission, upon request, full information regarding the number of shares bought at each separate price within the ranges set forth herein.</w:t>
      </w:r>
    </w:p>
    <w:p>
      <w:pPr>
        <w:spacing w:after="0" w:line="31" w:lineRule="exact"/>
        <w:rPr>
          <w:rFonts w:ascii="Arial" w:cs="Arial" w:eastAsia="Arial" w:hAnsi="Arial"/>
          <w:sz w:val="14"/>
          <w:szCs w:val="14"/>
          <w:color w:val="008000"/>
        </w:rPr>
      </w:pPr>
    </w:p>
    <w:p>
      <w:pPr>
        <w:jc w:val="both"/>
        <w:ind w:left="40" w:right="28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purchase price indicated is a weighted average purchase price. The corresponding shares were bought in multiple transactions at prices ranging from $5.870 to $6.025, inclusive. The reporting person undertakes to provide to MiMedx Group, Inc., any security holder of MiMedx Group, Inc. or the staff of the Securities and Exchange Commission, upon request, full information regarding the number of shares bought at each separate price within the ranges set forth herein.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William F. Hulse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010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092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 in fact for Robert</w:t>
      </w:r>
      <w:r>
        <w:rPr>
          <w:sz w:val="20"/>
          <w:szCs w:val="20"/>
          <w:color w:val="auto"/>
        </w:rPr>
        <w:tab/>
      </w:r>
      <w:r>
        <w:rPr>
          <w:rFonts w:ascii="Arial" w:cs="Arial" w:eastAsia="Arial" w:hAnsi="Arial"/>
          <w:sz w:val="15"/>
          <w:szCs w:val="15"/>
          <w:color w:val="0000FF"/>
        </w:rPr>
        <w:t>05/17/2023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Benjamin Stein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6915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1515"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7158" TargetMode="External"/><Relationship Id="rId13" Type="http://schemas.openxmlformats.org/officeDocument/2006/relationships/hyperlink" Target="http://www.sec.gov/cgi-bin/browse-edgar?action=getcompany&amp;CIK=00013763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2023-05-17T17:36:22Z</dcterms:created>
  <dcterms:modified xsi:type="dcterms:W3CDTF">2023-05-17T17:36:22Z</dcterms:modified>
</cp:coreProperties>
</file>