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MIMEDX GROUP,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15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00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Florida</w:t>
            </w:r>
          </w:p>
        </w:tc>
        <w:tc>
          <w:tcPr>
            <w:tcW w:w="3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001-35887</w:t>
            </w:r>
          </w:p>
        </w:tc>
        <w:tc>
          <w:tcPr>
            <w:tcW w:w="250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26-2792552</w:t>
            </w:r>
          </w:p>
        </w:tc>
      </w:tr>
      <w:tr>
        <w:trPr>
          <w:trHeight w:val="270"/>
        </w:trPr>
        <w:tc>
          <w:tcPr>
            <w:tcW w:w="300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(State or other jurisdiction</w:t>
            </w:r>
          </w:p>
        </w:tc>
        <w:tc>
          <w:tcPr>
            <w:tcW w:w="30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2500" w:type="dxa"/>
            <w:vAlign w:val="bottom"/>
          </w:tcPr>
          <w:p>
            <w:pPr>
              <w:jc w:val="center"/>
              <w:ind w:left="101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30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of incorporation)</w:t>
            </w:r>
          </w:p>
        </w:tc>
        <w:tc>
          <w:tcPr>
            <w:tcW w:w="3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250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1775 West Oak Commons Ct., NE, Marietta GA 30062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(770) 651-9100</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320" w:hanging="28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28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20" w:hanging="28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20" w:hanging="28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5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60"/>
        </w:trPr>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540" w:type="dxa"/>
            <w:vAlign w:val="bottom"/>
          </w:tcPr>
          <w:p>
            <w:pPr>
              <w:spacing w:after="0"/>
              <w:rPr>
                <w:sz w:val="20"/>
                <w:szCs w:val="20"/>
                <w:color w:val="auto"/>
              </w:rPr>
            </w:pPr>
          </w:p>
        </w:tc>
        <w:tc>
          <w:tcPr>
            <w:tcW w:w="3760" w:type="dxa"/>
            <w:vAlign w:val="bottom"/>
          </w:tcPr>
          <w:p>
            <w:pPr>
              <w:jc w:val="center"/>
              <w:ind w:right="710"/>
              <w:spacing w:after="0"/>
              <w:rPr>
                <w:sz w:val="20"/>
                <w:szCs w:val="20"/>
                <w:color w:val="auto"/>
              </w:rPr>
            </w:pPr>
            <w:r>
              <w:rPr>
                <w:rFonts w:ascii="Arial" w:cs="Arial" w:eastAsia="Arial" w:hAnsi="Arial"/>
                <w:sz w:val="18"/>
                <w:szCs w:val="18"/>
                <w:b w:val="1"/>
                <w:bCs w:val="1"/>
                <w:color w:val="auto"/>
                <w:w w:val="87"/>
              </w:rPr>
              <w:t>Title of each class</w:t>
            </w:r>
          </w:p>
        </w:tc>
        <w:tc>
          <w:tcPr>
            <w:tcW w:w="2580" w:type="dxa"/>
            <w:vAlign w:val="bottom"/>
          </w:tcPr>
          <w:p>
            <w:pPr>
              <w:jc w:val="center"/>
              <w:ind w:right="750"/>
              <w:spacing w:after="0"/>
              <w:rPr>
                <w:sz w:val="20"/>
                <w:szCs w:val="20"/>
                <w:color w:val="auto"/>
              </w:rPr>
            </w:pPr>
            <w:r>
              <w:rPr>
                <w:rFonts w:ascii="Arial" w:cs="Arial" w:eastAsia="Arial" w:hAnsi="Arial"/>
                <w:sz w:val="18"/>
                <w:szCs w:val="18"/>
                <w:b w:val="1"/>
                <w:bCs w:val="1"/>
                <w:color w:val="auto"/>
                <w:w w:val="89"/>
              </w:rPr>
              <w:t>Trading Symbol(s)</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54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760" w:type="dxa"/>
            <w:vAlign w:val="bottom"/>
          </w:tcPr>
          <w:p>
            <w:pPr>
              <w:jc w:val="center"/>
              <w:ind w:right="710"/>
              <w:spacing w:after="0"/>
              <w:rPr>
                <w:sz w:val="20"/>
                <w:szCs w:val="20"/>
                <w:color w:val="auto"/>
              </w:rPr>
            </w:pPr>
            <w:r>
              <w:rPr>
                <w:rFonts w:ascii="Arial" w:cs="Arial" w:eastAsia="Arial" w:hAnsi="Arial"/>
                <w:sz w:val="18"/>
                <w:szCs w:val="18"/>
                <w:b w:val="1"/>
                <w:bCs w:val="1"/>
                <w:color w:val="auto"/>
                <w:w w:val="88"/>
              </w:rPr>
              <w:t>None</w:t>
            </w:r>
          </w:p>
        </w:tc>
        <w:tc>
          <w:tcPr>
            <w:tcW w:w="258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n/a</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2"/>
              </w:rPr>
              <w:t>n/a</w:t>
            </w:r>
          </w:p>
        </w:tc>
      </w:tr>
    </w:tbl>
    <w:p>
      <w:pPr>
        <w:spacing w:after="0" w:line="229" w:lineRule="exact"/>
        <w:rPr>
          <w:sz w:val="24"/>
          <w:szCs w:val="24"/>
          <w:color w:val="auto"/>
        </w:rPr>
      </w:pPr>
    </w:p>
    <w:p>
      <w:pPr>
        <w:ind w:right="4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1144905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July 21, 2020, MiMedx Group, Inc.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announced that it will hold the 2019 annual meeting of the Company’s shareholders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Annual Meeting</w:t>
      </w:r>
      <w:r>
        <w:rPr>
          <w:rFonts w:ascii="Arial" w:cs="Arial" w:eastAsia="Arial" w:hAnsi="Arial"/>
          <w:sz w:val="18"/>
          <w:szCs w:val="18"/>
          <w:i w:val="1"/>
          <w:iCs w:val="1"/>
          <w:color w:val="auto"/>
        </w:rPr>
        <w:t>”</w:t>
      </w:r>
      <w:r>
        <w:rPr>
          <w:rFonts w:ascii="Arial" w:cs="Arial" w:eastAsia="Arial" w:hAnsi="Arial"/>
          <w:sz w:val="18"/>
          <w:szCs w:val="18"/>
          <w:color w:val="auto"/>
        </w:rPr>
        <w:t>) on August 31,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shareholder proposals or nominations under the Company’s Amended and Restated Bylaws must be received by the Company on or before July 31, 2020 and otherwise comply with the Company’s Amended and Restated Bylaws. For any proposal to be included in the Company’s proxy statement for the 2019 Annual Meeting pursuant to Rule 14a-8 under the Securities Exchange Act of 1934, as amended, such proposal must be received by the Company on or before July 31, 2020 and otherwise comply with the requirements of Rule 14a-8.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right="22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MIMEDX GROUP, INC.</w:t>
      </w:r>
    </w:p>
    <w:p>
      <w:pPr>
        <w:spacing w:after="0" w:line="200" w:lineRule="exact"/>
        <w:rPr>
          <w:sz w:val="20"/>
          <w:szCs w:val="20"/>
          <w:color w:val="auto"/>
        </w:rPr>
      </w:pPr>
    </w:p>
    <w:p>
      <w:pPr>
        <w:spacing w:after="0" w:line="326" w:lineRule="exact"/>
        <w:rPr>
          <w:sz w:val="20"/>
          <w:szCs w:val="20"/>
          <w:color w:val="auto"/>
        </w:rPr>
      </w:pPr>
    </w:p>
    <w:p>
      <w:pPr>
        <w:ind w:left="640"/>
        <w:spacing w:after="0"/>
        <w:tabs>
          <w:tab w:leader="none" w:pos="5620" w:val="left"/>
        </w:tabs>
        <w:rPr>
          <w:sz w:val="20"/>
          <w:szCs w:val="20"/>
          <w:color w:val="auto"/>
        </w:rPr>
      </w:pPr>
      <w:r>
        <w:rPr>
          <w:rFonts w:ascii="Arial" w:cs="Arial" w:eastAsia="Arial" w:hAnsi="Arial"/>
          <w:sz w:val="18"/>
          <w:szCs w:val="18"/>
          <w:color w:val="auto"/>
        </w:rPr>
        <w:t>Date: July 21, 2020</w:t>
      </w:r>
      <w:r>
        <w:rPr>
          <w:sz w:val="20"/>
          <w:szCs w:val="20"/>
          <w:color w:val="auto"/>
        </w:rPr>
        <w:tab/>
      </w:r>
      <w:r>
        <w:rPr>
          <w:rFonts w:ascii="Arial" w:cs="Arial" w:eastAsia="Arial" w:hAnsi="Arial"/>
          <w:sz w:val="16"/>
          <w:szCs w:val="16"/>
          <w:color w:val="auto"/>
        </w:rPr>
        <w:t>By: /s/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2983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M. Carlson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2020-07-21T15:29:36Z</dcterms:created>
  <dcterms:modified xsi:type="dcterms:W3CDTF">2020-07-21T15:29:36Z</dcterms:modified>
</cp:coreProperties>
</file>