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14" w:lineRule="exact"/>
        <w:rPr>
          <w:sz w:val="24"/>
          <w:szCs w:val="24"/>
          <w:color w:val="auto"/>
        </w:rPr>
      </w:pPr>
    </w:p>
    <w:p>
      <w:pPr>
        <w:ind w:left="440" w:right="2040" w:hanging="414"/>
        <w:spacing w:after="0" w:line="255" w:lineRule="auto"/>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2023</w:t>
      </w:r>
    </w:p>
    <w:p>
      <w:pPr>
        <w:spacing w:after="0" w:line="104" w:lineRule="exact"/>
        <w:rPr>
          <w:sz w:val="24"/>
          <w:szCs w:val="24"/>
          <w:color w:val="auto"/>
        </w:rPr>
      </w:pPr>
    </w:p>
    <w:p>
      <w:pPr>
        <w:ind w:left="440" w:right="2040" w:hanging="414"/>
        <w:spacing w:after="0" w:line="180" w:lineRule="auto"/>
        <w:tabs>
          <w:tab w:leader="none" w:pos="440" w:val="left"/>
        </w:tabs>
        <w:numPr>
          <w:ilvl w:val="0"/>
          <w:numId w:val="2"/>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7"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__________to 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MIMEDX GROUP,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891" w:right="339" w:bottom="1440" w:gutter="0" w:footer="0" w:header="0"/>
        </w:sectPr>
      </w:pPr>
    </w:p>
    <w:p>
      <w:pPr>
        <w:spacing w:after="0" w:line="114"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26-2792552</w:t>
      </w:r>
    </w:p>
    <w:p>
      <w:pPr>
        <w:spacing w:after="0" w:line="31" w:lineRule="exact"/>
        <w:rPr>
          <w:sz w:val="24"/>
          <w:szCs w:val="24"/>
          <w:color w:val="auto"/>
        </w:rPr>
      </w:pPr>
    </w:p>
    <w:p>
      <w:pPr>
        <w:sectPr>
          <w:pgSz w:w="11900" w:h="16838" w:orient="portrait"/>
          <w:cols w:equalWidth="0" w:num="2">
            <w:col w:w="7360" w:space="720"/>
            <w:col w:w="3160"/>
          </w:cols>
          <w:pgMar w:left="320" w:top="891"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20" w:space="720"/>
            <w:col w:w="3900"/>
          </w:cols>
          <w:pgMar w:left="320" w:top="891" w:right="339" w:bottom="1440" w:gutter="0" w:footer="0" w:header="0"/>
          <w:type w:val="continuous"/>
        </w:sectPr>
      </w:pP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1775 West Oak Commons Court, NE, Marietta, GA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30062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(Zip Code)</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(770) 651-9100</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 None.</w:t>
      </w:r>
    </w:p>
    <w:p>
      <w:pPr>
        <w:sectPr>
          <w:pgSz w:w="11900" w:h="16838" w:orient="portrait"/>
          <w:cols w:equalWidth="0" w:num="1">
            <w:col w:w="11240"/>
          </w:cols>
          <w:pgMar w:left="320" w:top="891" w:right="339" w:bottom="1440" w:gutter="0" w:footer="0" w:header="0"/>
          <w:type w:val="continuous"/>
        </w:sectPr>
      </w:pPr>
    </w:p>
    <w:p>
      <w:pPr>
        <w:spacing w:after="0" w:line="133"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92" w:lineRule="exact"/>
        <w:rPr>
          <w:sz w:val="24"/>
          <w:szCs w:val="24"/>
          <w:color w:val="auto"/>
        </w:rPr>
      </w:pPr>
    </w:p>
    <w:p>
      <w:pPr>
        <w:sectPr>
          <w:pgSz w:w="11900" w:h="16838" w:orient="portrait"/>
          <w:cols w:equalWidth="0" w:num="3">
            <w:col w:w="4020" w:space="720"/>
            <w:col w:w="1600" w:space="720"/>
            <w:col w:w="4180"/>
          </w:cols>
          <w:pgMar w:left="320" w:top="891"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MDXG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200" w:lineRule="exact"/>
        <w:rPr>
          <w:sz w:val="24"/>
          <w:szCs w:val="24"/>
          <w:color w:val="auto"/>
        </w:rPr>
      </w:pPr>
    </w:p>
    <w:p>
      <w:pPr>
        <w:sectPr>
          <w:pgSz w:w="11900" w:h="16838" w:orient="portrait"/>
          <w:cols w:equalWidth="0" w:num="3">
            <w:col w:w="4380" w:space="720"/>
            <w:col w:w="1780" w:space="720"/>
            <w:col w:w="3640"/>
          </w:cols>
          <w:pgMar w:left="320" w:top="891" w:right="339" w:bottom="1440" w:gutter="0" w:footer="0" w:header="0"/>
          <w:type w:val="continuous"/>
        </w:sectPr>
      </w:pP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891" w:right="339" w:bottom="1440" w:gutter="0" w:footer="0" w:header="0"/>
          <w:type w:val="continuous"/>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(§223.405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4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accounting firm that prepared or its audit report </w:t>
      </w:r>
      <w:r>
        <w:rPr>
          <w:rFonts w:ascii="MS PGothic" w:cs="MS PGothic" w:eastAsia="MS PGothic" w:hAnsi="MS PGothic"/>
          <w:sz w:val="18"/>
          <w:szCs w:val="18"/>
          <w:color w:val="auto"/>
        </w:rPr>
        <w:t>☑</w:t>
      </w:r>
    </w:p>
    <w:p>
      <w:pPr>
        <w:spacing w:after="0" w:line="6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0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aggregate market value of the registrant’s voting common equity held by non-affiliates of the registrant as of June 30, 2023 (the last business day of the registrant’s most recently completed second quarter) was approximately $760.0 million based upon the last sale price ($6.61) of the shares as reported on The Nasdaq Stock Market LLC on such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146,958,420 shares of the registrant’s common stock, par value $0.001 per share, outstanding as of February 22, 2024.</w:t>
      </w:r>
    </w:p>
    <w:p>
      <w:pPr>
        <w:spacing w:after="0" w:line="1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proxy statement relating to the 2024 Annual Meeting of Shareholders, to be filed within 120 days after the end of the fiscal year to which this report relates,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7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89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8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74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rPr>
              <w:t>Part I</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136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890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1160" w:type="dxa"/>
            <w:vAlign w:val="bottom"/>
            <w:gridSpan w:val="4"/>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Unresolved Staff Comments</w:t>
            </w:r>
          </w:p>
        </w:tc>
        <w:tc>
          <w:tcPr>
            <w:tcW w:w="1160" w:type="dxa"/>
            <w:vAlign w:val="bottom"/>
            <w:gridSpan w:val="4"/>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890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Cybersecurity</w:t>
            </w:r>
          </w:p>
        </w:tc>
        <w:tc>
          <w:tcPr>
            <w:tcW w:w="1160" w:type="dxa"/>
            <w:vAlign w:val="bottom"/>
            <w:gridSpan w:val="4"/>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Properties</w:t>
            </w:r>
          </w:p>
        </w:tc>
        <w:tc>
          <w:tcPr>
            <w:tcW w:w="1160" w:type="dxa"/>
            <w:vAlign w:val="bottom"/>
            <w:gridSpan w:val="4"/>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90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1160" w:type="dxa"/>
            <w:vAlign w:val="bottom"/>
            <w:gridSpan w:val="4"/>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1160" w:type="dxa"/>
            <w:vAlign w:val="bottom"/>
            <w:gridSpan w:val="4"/>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74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rPr>
              <w:t>Part II</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36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90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[Reserved]</w:t>
            </w:r>
          </w:p>
        </w:tc>
        <w:tc>
          <w:tcPr>
            <w:tcW w:w="1160" w:type="dxa"/>
            <w:vAlign w:val="bottom"/>
            <w:gridSpan w:val="4"/>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60" w:type="dxa"/>
            <w:vAlign w:val="bottom"/>
            <w:gridSpan w:val="4"/>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890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60" w:type="dxa"/>
            <w:vAlign w:val="bottom"/>
            <w:gridSpan w:val="4"/>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F- 1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890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160" w:type="dxa"/>
            <w:vAlign w:val="bottom"/>
            <w:gridSpan w:val="4"/>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1160" w:type="dxa"/>
            <w:vAlign w:val="bottom"/>
            <w:gridSpan w:val="4"/>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890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1160" w:type="dxa"/>
            <w:vAlign w:val="bottom"/>
            <w:gridSpan w:val="4"/>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Disclosures Regarding Foreign Jurisdictions that Prevent Inspections</w:t>
            </w:r>
          </w:p>
        </w:tc>
        <w:tc>
          <w:tcPr>
            <w:tcW w:w="1160" w:type="dxa"/>
            <w:vAlign w:val="bottom"/>
            <w:gridSpan w:val="4"/>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74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rPr>
              <w:t>Part III</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36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890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Executive Compensation</w:t>
            </w:r>
          </w:p>
        </w:tc>
        <w:tc>
          <w:tcPr>
            <w:tcW w:w="1160" w:type="dxa"/>
            <w:vAlign w:val="bottom"/>
            <w:gridSpan w:val="4"/>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160" w:type="dxa"/>
            <w:vAlign w:val="bottom"/>
            <w:gridSpan w:val="4"/>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890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160" w:type="dxa"/>
            <w:vAlign w:val="bottom"/>
            <w:gridSpan w:val="4"/>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Principal Accounting Fees and Services</w:t>
            </w:r>
          </w:p>
        </w:tc>
        <w:tc>
          <w:tcPr>
            <w:tcW w:w="1160" w:type="dxa"/>
            <w:vAlign w:val="bottom"/>
            <w:gridSpan w:val="4"/>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74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8"/>
              </w:rPr>
              <w:t>Part IV</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Exhibits, Financial Statement Schedules</w:t>
            </w:r>
          </w:p>
        </w:tc>
        <w:tc>
          <w:tcPr>
            <w:tcW w:w="136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890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Form 10-K Summary</w:t>
            </w:r>
          </w:p>
        </w:tc>
        <w:tc>
          <w:tcPr>
            <w:tcW w:w="1160" w:type="dxa"/>
            <w:vAlign w:val="bottom"/>
            <w:gridSpan w:val="4"/>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9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1160" w:type="dxa"/>
            <w:vAlign w:val="bottom"/>
            <w:gridSpan w:val="4"/>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4"/>
        </w:trPr>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 and Important Cautionary Statement Regarding Forward-Looking Statements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used herein, the terms “MIMEDX,” “the Company,” “we,” “our” and “us” refer to MiMedx Group, Inc., a Florida corporation, and its consolidated subsidiaries as a combined entity, except where it is clear that the terms mean only MiMedx Group, Inc.</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financial statements and related notes contained elsewhere in this Annual Report. Certain statements made in this Annual Report are “forward-looking statements” within the meaning of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Securities Exchange Act of 1934, as amended. All statements relating to events or results that may occur in the future are forward-looking statements, including, without limitation, statements regarding the following:</w:t>
      </w:r>
    </w:p>
    <w:p>
      <w:pPr>
        <w:spacing w:after="0" w:line="112"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focus and our current business priorities, and our ability to implement these priorities, including as a result of our no longer being able to market our micronized products and certain other products;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advantages of our products and development of new products;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potential markets for our products and any growth in such markets;</w:t>
      </w:r>
    </w:p>
    <w:p>
      <w:pPr>
        <w:spacing w:after="0" w:line="15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ongoing regulatory obligations and oversight and the changing nature thereof impacting our products, research and clinical programs, and business, including those relating to patient privacy;</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procure sufficient supplies of human tissue to manufacture and process our existing and future products;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costs relating to compliance with regulatory requirements;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other third-party coverage and reimbursement for our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revenue growth;</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outcome of pending litigation and investigations;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in the sufficiency of our intellectual property rights in our technology;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income tax liability;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and market trends;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Forward-looking statements generally can be identified by words such as “expect,” “will,” “change,” “intend,” “seek,” “target,” “future,” “plan,” “continue,” “potential,” “possible,” “could,” “estimate,” “may,” “anticipate,” “to be” and similar expressions. These statements are based on numerous assumptions and involve known and unknown risks, uncertainties and other factors that could significantly affect our operations and may cause our actual actions, results, financial condition, performance or achievements to differ materially from any future actions, results, financial condition, performance or achievements expressed or implied by any such forward-looking statements. Factors that may cause such a difference include, without limitation, those discussed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Annual Report.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required by law, the Company does not intend, and undertakes no obligation, to update or publicly release any revision to any forward-looking statements, whether as a result of the receipt of new information, the occurrence of subsequent events, a change in circumstances or otherwise. Each forward-looking statement contained in this Annual Report is specifically qualified in its entirety by the aforementioned factors. Readers are advised to carefully read this Annual Report in conjunction with the important disclaimers set forth above prior to reaching any conclusions or making any investment decisions and not to place undue reliance on forward-looking statements, which apply only as of the date of the filing of this Annual Report with the SEC.</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Industry</w:t>
      </w:r>
    </w:p>
    <w:p>
      <w:pPr>
        <w:spacing w:after="0" w:line="131" w:lineRule="exact"/>
        <w:rPr>
          <w:sz w:val="20"/>
          <w:szCs w:val="20"/>
          <w:color w:val="auto"/>
        </w:rPr>
      </w:pPr>
    </w:p>
    <w:p>
      <w:pPr>
        <w:ind w:left="5580" w:right="1180" w:hanging="5248"/>
        <w:spacing w:after="0" w:line="892"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execute our priorities, our business, operating results and financial condition could be adversely affected.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 w:name="page5"/>
    <w:bookmarkEnd w:id="4"/>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a highly competitive and evolving field and face competition from well-established tissue processors and medical device manufacturers, as well as new market entrants.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could cause our products to become obsolete.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depend on the availability of tissue from human donors, and any disruption in supply could adversely affect our business.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leadership team and may not be able to retain or replace these employees or recruit additional qualified personnel.</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depend on adequate reimbursement from public and private insurers and health systems and changes to the way in which our products are reimbursed in various sites of service could adversely impact our financial results.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results of operations and cash flows may suffer upon the loss of a Group Purchasing Organization or Integrated Delivery Network.</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independent sales agents and distributors.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processing could adversely affect our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commercially successful, we must convince physicians, where appropriate, how and when our products are proper alternatives to existing treatments and that our products should be used in their procedures.</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successfully address quality issues that may arise with our products, our brand reputation could suffer, and our business, financial condition, and results of operations could be adversely impacted.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physician-owned distributorships could result in increased pricing pressure on our products or harm our ability to sell our products to physicians who own or are affiliated with those distributorships.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the risk of product liability claims and may not be able to obtain or maintain adequate product liability insurance.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we manufacture and process are derived from human tissue and therefore have the potential for disease transmission.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implement a product recall or voluntary market withdrawal.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cyberattack or significant disruptions of information technology systems could adversely affect our business.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expand or contract our business through acquisitions, divestitures, licenses, investments, and other commercial arrangements.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revenues and accounts receivable come from government accounts.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lines of business or new products and services may subject us to additional risks.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expansion and operations outside the U.S. expose us to risks.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 of Our Products and Other Government Regulations</w:t>
      </w:r>
    </w:p>
    <w:p>
      <w:pPr>
        <w:spacing w:after="0" w:line="144" w:lineRule="exact"/>
        <w:rPr>
          <w:sz w:val="20"/>
          <w:szCs w:val="20"/>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future, certain of our products may no longer qualify for regulation as human cells, tissues and cellular and tissue-based products solely under Section 361 of the Public Health Service Act, which could result in removal of the applicable products from the market, making the introduction of new tissue products more expensive, significantly delay the expansion of our tissue product offerings and subject us to additional post-market regulatory requirements. Additional regulatory requirements may be imposed in the future.</w:t>
      </w:r>
    </w:p>
    <w:p>
      <w:pPr>
        <w:spacing w:after="0" w:line="10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the necessary regulatory approvals for certain of our products will be expensive and time consuming and may impede our ability to fully exploit our technologies.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extensive regulation by the FDA and other authorities, which is costly.</w:t>
      </w:r>
    </w:p>
    <w:p>
      <w:pPr>
        <w:spacing w:after="0" w:line="14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penalties, injunctions and other sanctions if we are deemed to be promoting the use of our products for unapproved, or off-label, uses.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 w:name="page6"/>
    <w:bookmarkEnd w:id="5"/>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sales representatives must comply with various federal and state anti-kickback, self-referral, false claims and similar laws.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be adversely affected by current and potential future healthcare reforms.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or maintain foreign regulatory approvals to market our products in other countries.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that protect the privacy and security of personal information may increase our costs and limit our ability to collect and use that information and subject us to liability if we are unable to fully comply with such laws.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Intellectual Property</w:t>
      </w:r>
    </w:p>
    <w:p>
      <w:pPr>
        <w:spacing w:after="0" w:line="14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technology through patents and other means is uncertain and may be inadequate.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claims of infringement of the intellectual property rights of others.</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damages resulting from claims that we, our employees, or our independent contractors have wrongfully used or disclosed alleged trade secrets, proprietary or confidential information of our competitors or are in breach of non-competition or non-solicitation agreements with our competitors.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Consolidated Financial Statements, Internal Controls and Related Matters</w:t>
      </w:r>
    </w:p>
    <w:p>
      <w:pPr>
        <w:spacing w:after="0" w:line="144"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adequate internal control over financial reporting in the future, this could adversely affect our business, financial condition and operating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the Securities Markets and Ownership of Our Common Stock</w:t>
      </w:r>
    </w:p>
    <w:p>
      <w:pPr>
        <w:spacing w:after="0" w:line="15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may adversely affect our financial health.</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 Healthcare Partners and its interests may conflict with those of our other shareholders.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will likely continue to be, volatile.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analysts may elect not to report on our common stock or may issue negative reports that adversely affect the stock price.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revenue or results of operations could cause additional volatility in our stock price.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cash dividends on our Common Stock.</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Florida law and anti-takeover provisions in our organizational documents may discourage or prevent a change of control.</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Projections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discussion includes certain estimates, projections and other statistical data. These estimates and projections reflect management’s best estimates based upon currently available information and certain assumptions we believe to be reasonable. These estimates are inherently uncertain, subject to risks and uncertainties, many of which are not within our control, have not been reviewed by our independent auditors and may be revised as a result of management’s further review. In addition, these estimates and projections are not a comprehensive statement of our financial results, and our actual results may differ materially from these estimates and projections due to developments that may arise between now and the time the results are final. There can be no assurance that the estimates will be realized, and our results may vary significantly from the estimates, including as a result of unexpected issues in our business and operations. Accordingly, you should not place undue reliance on such information. Projections, assumptions and estimates of our future performance and the future performance of the markets in which we operate are necessarily subject to a high degree of uncertainty and risk. See Item 1A,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MIMEDX is a pioneer and leader in placental biologics focused on helping humans heal by addressing unmet clinical needs. With more than a decade of helping clinicians manage chronic and other hard-to-heal wounds, MIMEDX is dedicated to providing a leading portfolio of products for applications in the wound care, burn, and surgical sectors of healthcare. The Company’s vision is to be the leading global provider of healing solutions through relentless innovation to restore quality of life.</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deep expertise and real-world data in the field of placental biologics, MIMEDX develops and distributes placental tissue allografts that are manufactured using patent-protected, proprietary processes for multiple sectors of healthcare. Today, our product portfolio is made up entirely of human placental allografts, which are human tissues that are derived from one person (the donor) and used to produce products that treat multiple people (the recipients). MIMEDX has supplied roughly three million allografts, through all shipments, filling direct orders and consignment orders, through December 31, 2023. Our products help clinicians treat patients suffering from chronic and other hard-to-heal wounds. These wounds can be slow to respond or unresponsive to conventional treatments and may benefit from advanced treatments, such as through the use of our products, in order to support the healing process.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manufacturing of our product offering begins with donated birth tissue, namely the placenta, umbilical cord and placental disc, which we source through a large donor network developed over multiple years with leading hospitals and clinician groups. In partnership with these facilities, we are able to obtain donated birth tissue from consenting mothers, which then are shipped to our manufacturing facilities in Marietta, Georgia, and undergo a series of testing followed by our proprietary tissue manufacturing workflow, which we refer to as the PURION® process. We employ Current Good Tissue Practices (“</w:t>
      </w:r>
      <w:r>
        <w:rPr>
          <w:rFonts w:ascii="Times New Roman" w:cs="Times New Roman" w:eastAsia="Times New Roman" w:hAnsi="Times New Roman"/>
          <w:sz w:val="18"/>
          <w:szCs w:val="18"/>
          <w:b w:val="1"/>
          <w:bCs w:val="1"/>
          <w:i w:val="1"/>
          <w:iCs w:val="1"/>
          <w:color w:val="auto"/>
        </w:rPr>
        <w:t>CGTP</w:t>
      </w:r>
      <w:r>
        <w:rPr>
          <w:rFonts w:ascii="Times New Roman" w:cs="Times New Roman" w:eastAsia="Times New Roman" w:hAnsi="Times New Roman"/>
          <w:sz w:val="18"/>
          <w:szCs w:val="18"/>
          <w:color w:val="auto"/>
        </w:rPr>
        <w:t>”) and terminal sterilization to produce our allografts. MIMEDX provides products primarily for use in the wound care, burn, and surgical sectors of healthcare. All of our products sold in the United States are regulated by the U.S. Food &amp;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and to the extent we sell our products outside the United States, by other regulatory agencies in such international markets.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devote significant research and development resources and expertise to the therapeutic potential of placental tissue in an effort to grow our product offering, develop innovative products that address a wide range of chronic and acute health conditions affecting large patient populations, and generate best-in-class clinical evidence and data to support the use of our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sales currently account for substantially all of our revenue today. In the United States, our primary areas of clinical use include applications in surgical settings as well as for the treatment of wounds and burns. Additionally we are actively pursuing international expansion, primarily targeting Japan, as discussed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Wound</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unmet need for healing solutions is large and growing, with an estimated 2.1% of the total U.S. population, or approximately 7 million people, suffering from chronic, non-healing wounds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The treatment of chronic wounds is often referred to as Advanced Wound Care (“</w:t>
      </w:r>
      <w:r>
        <w:rPr>
          <w:rFonts w:ascii="Times New Roman" w:cs="Times New Roman" w:eastAsia="Times New Roman" w:hAnsi="Times New Roman"/>
          <w:sz w:val="18"/>
          <w:szCs w:val="18"/>
          <w:b w:val="1"/>
          <w:bCs w:val="1"/>
          <w:i w:val="1"/>
          <w:iCs w:val="1"/>
          <w:color w:val="auto"/>
        </w:rPr>
        <w:t>AWC</w:t>
      </w:r>
      <w:r>
        <w:rPr>
          <w:rFonts w:ascii="Times New Roman" w:cs="Times New Roman" w:eastAsia="Times New Roman" w:hAnsi="Times New Roman"/>
          <w:sz w:val="18"/>
          <w:szCs w:val="18"/>
          <w:color w:val="auto"/>
        </w:rPr>
        <w:t>”). Chronic wounds are defined and characterized as those that do not progress through the normal process of healing and remain open for an extended period of time, which, depending on the wound, can be from several weeks to a few months. There are numerous underlying causes of these wounds, with this patient population typically sharing some combination of comorbidities, including age, obesity, smoking history, diabetes and heart and vascular diseases. Due to the rising incidence of each of these factors, we expect the AWC market will continue to grow.</w:t>
      </w:r>
    </w:p>
    <w:p>
      <w:pPr>
        <w:spacing w:after="0" w:line="1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Patients present with chronic wounds in a variety of care settings and these wounds vary in severity and complexity to treat. Our products can be found in many of these sites of service, including the private physician office (e.g., podiatry clinics), wound care centers, hospital inpatient and outpatient settings, nursing homes and federal facilities, such as those operated by the Department of Veterans Affairs (“</w:t>
      </w:r>
      <w:r>
        <w:rPr>
          <w:rFonts w:ascii="Times New Roman" w:cs="Times New Roman" w:eastAsia="Times New Roman" w:hAnsi="Times New Roman"/>
          <w:sz w:val="18"/>
          <w:szCs w:val="18"/>
          <w:b w:val="1"/>
          <w:bCs w:val="1"/>
          <w:i w:val="1"/>
          <w:iCs w:val="1"/>
          <w:color w:val="auto"/>
        </w:rPr>
        <w:t>VA</w:t>
      </w:r>
      <w:r>
        <w:rPr>
          <w:rFonts w:ascii="Times New Roman" w:cs="Times New Roman" w:eastAsia="Times New Roman" w:hAnsi="Times New Roman"/>
          <w:sz w:val="18"/>
          <w:szCs w:val="18"/>
          <w:color w:val="auto"/>
        </w:rPr>
        <w:t>”). The most common types of chronic and hard-to-heal wounds appear in the lower extremities, presenting as diabetic foot ulcers (“</w:t>
      </w:r>
      <w:r>
        <w:rPr>
          <w:rFonts w:ascii="Times New Roman" w:cs="Times New Roman" w:eastAsia="Times New Roman" w:hAnsi="Times New Roman"/>
          <w:sz w:val="18"/>
          <w:szCs w:val="18"/>
          <w:b w:val="1"/>
          <w:bCs w:val="1"/>
          <w:i w:val="1"/>
          <w:iCs w:val="1"/>
          <w:color w:val="auto"/>
        </w:rPr>
        <w:t>DFUs</w:t>
      </w:r>
      <w:r>
        <w:rPr>
          <w:rFonts w:ascii="Times New Roman" w:cs="Times New Roman" w:eastAsia="Times New Roman" w:hAnsi="Times New Roman"/>
          <w:sz w:val="18"/>
          <w:szCs w:val="18"/>
          <w:color w:val="auto"/>
        </w:rPr>
        <w:t>”), venous leg ulcers (“</w:t>
      </w:r>
      <w:r>
        <w:rPr>
          <w:rFonts w:ascii="Times New Roman" w:cs="Times New Roman" w:eastAsia="Times New Roman" w:hAnsi="Times New Roman"/>
          <w:sz w:val="18"/>
          <w:szCs w:val="18"/>
          <w:b w:val="1"/>
          <w:bCs w:val="1"/>
          <w:i w:val="1"/>
          <w:iCs w:val="1"/>
          <w:color w:val="auto"/>
        </w:rPr>
        <w:t>VLUs</w:t>
      </w:r>
      <w:r>
        <w:rPr>
          <w:rFonts w:ascii="Times New Roman" w:cs="Times New Roman" w:eastAsia="Times New Roman" w:hAnsi="Times New Roman"/>
          <w:sz w:val="18"/>
          <w:szCs w:val="18"/>
          <w:color w:val="auto"/>
        </w:rPr>
        <w:t>”), and pressure ulcers, among others. Taken together, nearly 60% of the chronic wounds in the U.S. are categorized as chronic leg ulcers (which include DFUs and VLUs), with 47% treated with Advanced Wound Care dressings such as skin substitutes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These wounds require intervention and active management by clinicians and are treated in a variety of sites-of-service, with numerous products aimed at achieving healing for the patie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4"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Chronic Wounds: Economic Impact &amp; Costs to Medicare, https://www.woundcarestakeholders.org/news/studies-and-publications/chronic-wounds-economic-impact-costs-to-medicare</w:t>
      </w:r>
    </w:p>
    <w:p>
      <w:pPr>
        <w:spacing w:after="0" w:line="43" w:lineRule="exact"/>
        <w:rPr>
          <w:rFonts w:ascii="Times New Roman" w:cs="Times New Roman" w:eastAsia="Times New Roman" w:hAnsi="Times New Roman"/>
          <w:sz w:val="23"/>
          <w:szCs w:val="23"/>
          <w:color w:val="auto"/>
          <w:vertAlign w:val="superscript"/>
        </w:rPr>
      </w:pPr>
    </w:p>
    <w:p>
      <w:pPr>
        <w:spacing w:after="0" w:line="22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GlobalData: 2022 Wound Care Management- Tissue Engineered Skin Subs U.S. Updated May 2022</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nt. The costs associated with treatment and management of patients with acute and chronic wounds is also high, with some estimates of the Medicare spend associated with such wounds approaching $100 billion annually.</w:t>
      </w:r>
    </w:p>
    <w:p>
      <w:pPr>
        <w:spacing w:after="0" w:line="9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large and increasing number of patients requiring advanced treatment represents a significant cost burden on the healthcare system. The overall cost of treating chronic wounds is rising sharply, and the current annual estimated cost in the United States exceeds $28 billion</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Complications from non-healing chronic wounds can ultimately result in significant, life-altering adverse outcomes, such as limb amputation</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Ineffective wound management is linked to numerous poor outcomes for patients, up to and including the potential for amputation of the extremity where the wound is present. Amputation is a catastrophic event for patients, with significant impacts to their quality of life, the lives of their caretakers and the expense burden on the healthcare system. Today, up to one-fifth of diabetic patients who develop a DFU will require some form of amputation. Further, patients who undergo a major lower extremity amputation have an increased five-year mortality rate that is comparable to, and in some cases higher than, patients with many forms of cancer</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w:t>
      </w:r>
    </w:p>
    <w:p>
      <w:pPr>
        <w:spacing w:after="0" w:line="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Advances in managing chronic and hard-to-heal wounds with solutions such as our EPIFIX® product have been shown to help contribute to improved outcomes for these patients. It is estimated that up to 85% of amputations are avoidable with a holistic, multispecialty team approach that incorporates innovative treatments, such as MIMEDX’s products, and adherence to treatment parameters. MIMEDX is a leader in the cellular tissue products/skin substitute segment of the AWC category and the amniotic tissue allograft sub-category.</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AWC market is comprised of many product types, such as medical devices, advanced dressings, xenografts, biological products, and Human Cells, Tissues, and Cellular and Tissue - Based Products (</w:t>
      </w:r>
      <w:r>
        <w:rPr>
          <w:rFonts w:ascii="Times New Roman" w:cs="Times New Roman" w:eastAsia="Times New Roman" w:hAnsi="Times New Roman"/>
          <w:sz w:val="18"/>
          <w:szCs w:val="18"/>
          <w:b w:val="1"/>
          <w:bCs w:val="1"/>
          <w:i w:val="1"/>
          <w:iCs w:val="1"/>
          <w:color w:val="auto"/>
        </w:rPr>
        <w:t>“HTC/Ps”</w:t>
      </w:r>
      <w:r>
        <w:rPr>
          <w:rFonts w:ascii="Times New Roman" w:cs="Times New Roman" w:eastAsia="Times New Roman" w:hAnsi="Times New Roman"/>
          <w:sz w:val="18"/>
          <w:szCs w:val="18"/>
          <w:color w:val="auto"/>
        </w:rPr>
        <w:t>), which are used as skin substitutes to treat severe and chronic wounds. Not included in AWC are traditional wound care dressings, such as bandages, gauzes and ointments, which typically are used in the treatment of non-severe or non-chronic wounds.</w:t>
      </w:r>
    </w:p>
    <w:p>
      <w:pPr>
        <w:spacing w:after="0" w:line="11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prevalence of both acute and chronic wounds has grown not only in the U.S., but also globally. While historically we have focused primarily on the U.S. market, we are in the process of expanding our footprint internationally, most notably with the recent launch of our EPIFIX product in Japan. EPIFIX is the first and currently the only amniotic tissue product approved in Japan for wound treatment across a broad range of conditions. We believe our first-mover advantage, favorable reimbursement rate, and strong distribution partner set us up for long-term success in this large and growing market.</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Traditional dressings such as bandages, gauzes and ointments, along with treatment of active infection and debridement, currently represent the “standard of care” for treating chronic wounds such as DFUs and VLUs. If, after four weeks of standard of care therapy, the wound has not responded appropriately or improved, clinical research has shown that advanced therapy such as a skin substitute can be beneficial as part of the patient’s treatment plan. However, oftentimes advanced therapies are not employed due to current treatment guidelines, product access, or medical education around the clinical and economic benefits of AWC products, including skin substitutes. We believe this represents a large opportunity for us to expand the market and drive initiatives resulting in market growth. According to recent data, MIMEDX’s EPIFIX is the current product of choice for physicians choosing to use an amniotic skin substitute product as a barrier or cover. Our EPIFIX, EPICORD® and EPIEFFECT® products can be stored at room temperature for up to five years, in contrast to certain other skin substitutes currently on the market that have performance, storage or handling limitations. In addition, we market multiple sizes of EPIFIX, EPICORD and EPIEFFECT sheets for use as protective barriers, which enables a healthcare provider to select an appropriate size graft based on the size of the wound to reduce product waste. Our EPICORD, EPICORD Expandable and EPIEFFECT product lines also offer an alternative treatment option to address larger, deeper wounds in a cost-effective way at a point earlier in the treatment algorithm.</w:t>
      </w:r>
    </w:p>
    <w:p>
      <w:pPr>
        <w:spacing w:after="0" w:line="12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With broad payor coverage, the largest body of Level 1 clinical evidence among placental allograft products and a dedicated sales team calling on each of the major sites-of-service, we expect to continue to expand our presence in the AWC market, driving future growth of our business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Surgical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4"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Chronic Wounds: Economic Impact &amp; Costs to Medicare, https://www.woundcarestakeholders.org/news/studies-and-publications/chronic-wounds-economic-impact-costs-to-medicare</w:t>
      </w:r>
    </w:p>
    <w:p>
      <w:pPr>
        <w:spacing w:after="0" w:line="43" w:lineRule="exact"/>
        <w:rPr>
          <w:rFonts w:ascii="Times New Roman" w:cs="Times New Roman" w:eastAsia="Times New Roman" w:hAnsi="Times New Roman"/>
          <w:sz w:val="23"/>
          <w:szCs w:val="23"/>
          <w:color w:val="auto"/>
          <w:vertAlign w:val="superscript"/>
        </w:rPr>
      </w:pPr>
    </w:p>
    <w:p>
      <w:pPr>
        <w:spacing w:after="0" w:line="18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3"/>
          <w:szCs w:val="13"/>
          <w:color w:val="auto"/>
        </w:rPr>
        <w:t xml:space="preserve"> Five year mortality and direct costs of care for people with diabetic foot complications are comparable to cancer, https://www.ncbi.nlm.nih.gov/pmc/articles/PMC7092527/#CR1</w:t>
      </w:r>
    </w:p>
    <w:p>
      <w:pPr>
        <w:ind w:left="120" w:hanging="112"/>
        <w:spacing w:after="0" w:line="183" w:lineRule="auto"/>
        <w:tabs>
          <w:tab w:leader="none" w:pos="12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Epidemiology and Risk of Amputation in Patients With Diabetes Mellitus and Peripheral Artery Disease, https://www.ahajournals.org/doi/10.1161/ATVBAHA.120.314595</w:t>
      </w:r>
    </w:p>
    <w:p>
      <w:pPr>
        <w:spacing w:after="0" w:line="28" w:lineRule="exact"/>
        <w:rPr>
          <w:sz w:val="20"/>
          <w:szCs w:val="20"/>
          <w:color w:val="auto"/>
        </w:rPr>
      </w:pPr>
    </w:p>
    <w:p>
      <w:pPr>
        <w:jc w:val="both"/>
        <w:ind w:firstLine="8"/>
        <w:spacing w:after="0" w:line="215" w:lineRule="auto"/>
        <w:tabs>
          <w:tab w:leader="none" w:pos="111"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Zelen CM, et al. Int Wound J. 2013;10(5):502-507. 2. Zelen CM. J Wound Care. 2013;22(7):347-351. 3. Zelen CM, et al. Wound Medicine. 2014;4:1-4. 4. Zelen CM, et al. Int Wound J. 2014;11(2):122-128. 5. Zelen CM, et al. Int Wound J. 2015;12(6):724-732. 6. Zelen CM, et al. Int Wound J. 2016;13(2):272-282. 7. Tettelbach W,et al. Int Wound J. 2019;16(1):122-130. 8. Serena TE, et al. Wound Repair Regen. 2014;22(6):688-693. 9. Bianchi C, et al. Int Wound J. 2018;15(1):114-122. 10. Bianchi C, et al. Int Wound J. 2019;16(3):761-767</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presence in the AWC settings, our products are also used in a variety of surgical settings, and our strategic goals include building a body of evidence and real-world use data for our products in a wide range of procedures. The applications in Surgical range from those involving the closure of an acute wound (which we refer to as “</w:t>
      </w:r>
      <w:r>
        <w:rPr>
          <w:rFonts w:ascii="Times New Roman" w:cs="Times New Roman" w:eastAsia="Times New Roman" w:hAnsi="Times New Roman"/>
          <w:sz w:val="18"/>
          <w:szCs w:val="18"/>
          <w:b w:val="1"/>
          <w:bCs w:val="1"/>
          <w:i w:val="1"/>
          <w:iCs w:val="1"/>
          <w:color w:val="auto"/>
        </w:rPr>
        <w:t>Surgical Recovery</w:t>
      </w:r>
      <w:r>
        <w:rPr>
          <w:rFonts w:ascii="Times New Roman" w:cs="Times New Roman" w:eastAsia="Times New Roman" w:hAnsi="Times New Roman"/>
          <w:sz w:val="18"/>
          <w:szCs w:val="18"/>
          <w:color w:val="auto"/>
        </w:rPr>
        <w:t>”), to those where our allografts are used inside the body to protect or reinforce tissues and/or regions of interest.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Acute wounds are defined as those that are recent, are acquired from an incision or trauma and have yet to progress through the sequential stages of wound healing. Acute wounds can be caused accidentally or they can arise in the normal course of a wide-range of surgical procedures. When acute wounds present in patients with similar comorbidities to those of chronic wound patients, the risk of a slow or ineffective healing wound increases, and the risk of a surgical site infection or other similar complication increases for the patient.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other surgical settings, the need to protect sensitive nerves, tissues or other areas may occur during the course of a procedure and presents an opportunity for the use of our products. We believe our placental-based allografts are ideally suited for these applications in a growing number of surgical specialties that we are targeting and expect the utilization of our products to continue to grow over time in this market.</w:t>
      </w:r>
    </w:p>
    <w:p>
      <w:pPr>
        <w:spacing w:after="0" w:line="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strategy is to continue to deliver advanced products that serve patient needs within the Advanced Wound Care and Surgical markets and increase access to our products through clinical data generation and physician education. We estimate that the combined U.S. wound and surgical market for our products is currently $2.0 billion ($1.1 billion in wound; $0.9 billion in surgical) and is largely under-penetrated</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We expect the U.S. wound and surgical market will grow at an annual rate of 7-10% over the next three to five years beginning in 2023</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Priorities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business by focusing on the following strategic priorities, which we believe are paramount to the success of MIMEDX over the short- and long-term.</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first priority is to build our leadership position in Wound &amp; Surgical. Achievement of this priority is measured by our ability to grow in all sites-of-service, regain share in the private office setting and expand our presence throughout the Surgical end markets.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priority is to develop opportunities for MIMEDX in adjacent markets. We believe our ability to continue to innovate and develop new products has provided us with a rich product pipeline that will result in numerous product launches in future periods. In addition to these in-house efforts, we are actively evaluating opportunities to expand inorganically through acquisitions, licensing agreements or other arrangements that would afford us the opportunity to augment the Company’s growth profile and expand our offering in existing and new care settings.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we made several decisions related to the Company’s strategy and also made structural changes to our organization, including disbanding our Regenerative Medicine business unit given the substantial uncertainties surrounding clinical trial costs and outcomes, as well as regulatory pathways and timing, which had the effect of improving our profitability and cash flow compared to prior periods. Moving forward, we plan to continue to focus on enhancing efficiencies across our organization and setting expense, profitability and cash flow targets as we grow our business.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incorporating a strategy to advance the scientific and therapeutic potential of placental tissue and rigorously demonstrate the clinical and economic effectiveness of our products, we believe we can differentiate the value of our portfolio and address multiple areas of significant unmet clinical need. We have focused our priorities on initiatives across our organization that position us to realize our commercial ambitions over the long-term while also generating a profitable, cash flow positive business capable of self-funding our future growth objectives.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Portfolio &amp; Pipeline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sell our placenta-based allograft products under our own brands. We maintain strict controls on quality at each step of the manufacturing process beginning at the time of procurement. Our Quality Management System is focused on compliance with the American Association of Tissue Banks’ (“</w:t>
      </w:r>
      <w:r>
        <w:rPr>
          <w:rFonts w:ascii="Times New Roman" w:cs="Times New Roman" w:eastAsia="Times New Roman" w:hAnsi="Times New Roman"/>
          <w:sz w:val="18"/>
          <w:szCs w:val="18"/>
          <w:b w:val="1"/>
          <w:bCs w:val="1"/>
          <w:i w:val="1"/>
          <w:iCs w:val="1"/>
          <w:color w:val="auto"/>
        </w:rPr>
        <w:t>AATB</w:t>
      </w:r>
      <w:r>
        <w:rPr>
          <w:rFonts w:ascii="Times New Roman" w:cs="Times New Roman" w:eastAsia="Times New Roman" w:hAnsi="Times New Roman"/>
          <w:sz w:val="18"/>
          <w:szCs w:val="18"/>
          <w:color w:val="auto"/>
        </w:rPr>
        <w:t>”) standards, the FDA’s CGTP regulations, and applicable foreign regulations.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platform technologies include tissue allografts derived from human placental membrane (EPIFIX®, AMNIOFIX®, EPIEFFECT® and AMNIOEFFECT®), tissue allografts derived from human umbilical cord (EPICORD® and AMNIOCORD®), and a particulate extracellular matrix derived from human placental disc (AXIOFILL®).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3"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GlobalData Tissue Engineered-Skin Sub Data Model Wound Management Year 2020 – retrieved Sept 2021</w:t>
      </w:r>
    </w:p>
    <w:p>
      <w:pPr>
        <w:spacing w:after="0" w:line="43"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4"/>
          <w:szCs w:val="14"/>
          <w:color w:val="auto"/>
        </w:rPr>
        <w:t xml:space="preserve"> GlobalData Tissue Engineered-Skin Sub Data Model Wound Management Year 2020 – retrieved Sept 2021</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EPIFIX, EPICORD and EPIEFFECT products are marketed for external use, such as in Advanced Wound Care applications, while our AMNIOFIX, AMNIOCORD and AMNIOEFFECT products are positioned for use in Surgical applications, including lower extremity repair, plastic surgery, vascular surgery and multiple orthopedic repairs and reconstruction, and our AXIOFILL product is positioned for use in the replacement or supplementation of damaged or inadequate integumental tissue.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Wound Portfolio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EPIFIX</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EPIFIX is a protective barrier allograft comprised of dehydrated human amnion/chorion membrane that may be used in the treatment of chronic wounds, including diabetic foot ulcers (DFUs), venous leg ulcers (VLUs), and pressure ulcers. EPIFIX is available in an assortment of sheet configurations and sizes to accommodate various wounds.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EPICORD</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EPICORD is a dehydrated human umbilical cord allograft that may be used to provide a protective environment for the healing process. Compared to EPIFIX, EPICORD is thicker than our amniotic membrane allografts and can be applied in deeper wounds or in areas where suturing the allograft in place may be advantageous. EPICORD is available as a sheet or an expandable form that can expand to twice its size.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EPIEFFECT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EPIEFFECT is a lyophilized, tri-layer placental tissue allograft that contains amnion, intermediate layer, and chorion membranes. This product was launched in October 2023 and represents the latest innovation in our product pipeline to deliver a thick, robust allograft to the market in a wide range of sizes for use as a barrier during chronic wound treatment, including deep or tunneling wound areas.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Surgical Portfolio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AMNIOFIX</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AMNIOFIX is a protective barrier allograft comprised of dehydrated human amnion/chorion membrane that may be used in Surgical Recovery applications. AMNIOFIX is available in an assortment of sheet configurations and sizes for internal use, including in the areas of lower extremity repair, spine, orthopedic, sports medicine, gastrointestinal, urologic, and other general surgery applications.</w:t>
      </w:r>
    </w:p>
    <w:p>
      <w:pPr>
        <w:spacing w:after="0" w:line="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MIMEDX also has a micronized version of this product that it no longer markets or sells in the United States. As further discussed below under the heading “</w:t>
      </w:r>
      <w:r>
        <w:rPr>
          <w:rFonts w:ascii="Times New Roman" w:cs="Times New Roman" w:eastAsia="Times New Roman" w:hAnsi="Times New Roman"/>
          <w:sz w:val="18"/>
          <w:szCs w:val="18"/>
          <w:i w:val="1"/>
          <w:iCs w:val="1"/>
          <w:color w:val="auto"/>
        </w:rPr>
        <w:t>Government Regulation and Compliance - 2017 FDA Guidance and Transition Policy for HCT/Ps</w:t>
      </w:r>
      <w:r>
        <w:rPr>
          <w:rFonts w:ascii="Times New Roman" w:cs="Times New Roman" w:eastAsia="Times New Roman" w:hAnsi="Times New Roman"/>
          <w:sz w:val="18"/>
          <w:szCs w:val="18"/>
          <w:color w:val="auto"/>
        </w:rPr>
        <w:t>,” the FDA clarified in its 2017 guidance that it regards micronized amniotic membrane products as subject to FDA licensure as biological products under Section 351 of the Public Health Service Act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351”</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AMNIOCORD</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AMNIOCORD is a dehydrated human umbilical cord allograft that may be used to provide a protective environment for the healing process. These products are thicker than our amniotic membrane allografts and can be used in surgical settings where an allograft needs to be applied to a deeper area or needs to be sutured in place.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AMNIOEFFECT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AMNIOEFFECT is a tri-layer placental tissue allograft that contains amnion, intermediate layer, and chorion membranes. This product is designed to meet the needs of surgeons performing procedures where a more robust allograft with expansive size offerings is desired.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AXIOFILL</w:t>
      </w:r>
    </w:p>
    <w:p>
      <w:pPr>
        <w:spacing w:after="0" w:line="133" w:lineRule="exact"/>
        <w:rPr>
          <w:sz w:val="20"/>
          <w:szCs w:val="20"/>
          <w:color w:val="auto"/>
        </w:rPr>
      </w:pPr>
    </w:p>
    <w:p>
      <w:pPr>
        <w:jc w:val="both"/>
        <w:ind w:right="540"/>
        <w:spacing w:after="0" w:line="250" w:lineRule="auto"/>
        <w:rPr>
          <w:sz w:val="20"/>
          <w:szCs w:val="20"/>
          <w:color w:val="auto"/>
        </w:rPr>
      </w:pPr>
      <w:r>
        <w:rPr>
          <w:rFonts w:ascii="Times New Roman" w:cs="Times New Roman" w:eastAsia="Times New Roman" w:hAnsi="Times New Roman"/>
          <w:sz w:val="18"/>
          <w:szCs w:val="18"/>
          <w:color w:val="auto"/>
        </w:rPr>
        <w:t>AXIOFILL is an extracellular matrix derived from human placental disc, and is designed to provide a cost-effective human collagen scaffold that is conducive for use in large, complex wounds and those of irregular geometries. Our AXIOFILL product has seen most uptake by clinicians primarily focused on Surgical applications.</w:t>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continue to research new opportunities for amniotic and other placental tissue, and we have additional offerings in various stages of conceptualization and development.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Placenta Donation Program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obtain the source material for our human birth tissue-based product portfolio, we partner with physicians and hospitals to recover donations of these materials at hospitals around the United States. Through our donor program, a mother who delivers a healthy baby via Caesarean section can donate her placenta and umbilical cord tissue in lieu of having it discarded as medical waste. After consent for donation is obtained, a blood sample from each donor is tested for communicable diseases, and the donor is screened for risk factors in order to determine eligibility in compliance with federal regulations and AATB standards. We operate a licensed tissue bank that is registered as a tissue establishment with the FDA, and we are an accredited member of the AATB. All donor records and test results are reviewed by our Medical Director and staff prior to the release of the tissue for distribution.</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developed a large, geographically diverse, network of hospitals across the United States that participate in our placenta donation program, and we employ a dedicated staff that work with these hospitals. We also utilize third-party providers of placenta donations on an as- needed basis to mitigate business risk. We believe that we will be able to obtain an adequate supply of tissue to meet anticipated demand for the foreseeable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Processing (Manufacturing)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developed and patented a unique and proprietary technique (PURION) for processing allografts from the donated placental tissue. This technique specifically focuses on preserving the tissue’s natural growth factor content and regulatory proteins and maintaining the structure and collagen matrix of the tissue. Our patented and proprietary processing method employs aseptic processing techniques in addition to terminal sterilization for increased product safety. Despite starting with similar placental tissues, all placental tissue products and processing methods are not the same – we believe that our proprietary process preserves more of the natural beneficial characteristics of the tissue than the processes used by many of our competitors.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PURION process produces an allograft that retains the tissue’s inherent biological properties and regulatory proteins (including cytokines, chemokines, and growth factors) found in the placental tissue and produces an allograft that is safe and easy for healthcare providers to use. Our allografts can be stored at room temperature and have a five-year shelf life. Each sheet allograft incorporates specialized visual markings that assist the health care practitioner with allograft placement and orientation.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ensure the safety of human tissue products, the FDA enforces CGTP manufacturing regulations. We believe that MIMEDX has developed robust systems to comply with, and is in compliance with, these regulations. As an important part of the Company’s product safety compliance, MIMEDX products are terminally sterilized to an internationally recognized industry standard in addition to having been processed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the PURION process.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facilities are subject to periodic announced and unannounced inspections by regulatory authorities and may undergo compliance inspections conducted by the FDA and corresponding state and foreign agencies. We are registered with the FDA as a tissue establishment and are subject to the FDA’s CGTP quality program regulations, state regulations, and regulations promulgated by various regulatory authorities outside the United States.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initiated inspections covering our Marietta, Georgia, and Kennesaw, Georgia, processing facilities from February 22, 2023, through March 2, 2023. During the inspections, the FDA communicated that our product, AXIOFILL, appeared to be regulated under Section 351 of the Public Health Service Act (the “</w:t>
      </w:r>
      <w:r>
        <w:rPr>
          <w:rFonts w:ascii="Times New Roman" w:cs="Times New Roman" w:eastAsia="Times New Roman" w:hAnsi="Times New Roman"/>
          <w:sz w:val="18"/>
          <w:szCs w:val="18"/>
          <w:b w:val="1"/>
          <w:bCs w:val="1"/>
          <w:i w:val="1"/>
          <w:iCs w:val="1"/>
          <w:color w:val="auto"/>
        </w:rPr>
        <w:t>PHS Act</w:t>
      </w:r>
      <w:r>
        <w:rPr>
          <w:rFonts w:ascii="Times New Roman" w:cs="Times New Roman" w:eastAsia="Times New Roman" w:hAnsi="Times New Roman"/>
          <w:sz w:val="18"/>
          <w:szCs w:val="18"/>
          <w:color w:val="auto"/>
        </w:rPr>
        <w:t>”). Based on this position, the FDA inspected the facilities related to AXIOFILL production using regulations 21 CFR 210 and 211, relating to finished pharmaceutical products in addition to 21 CFR 1271, relating to HCT/Ps (as defined below). The FDA issued a Form 483, which is a list of inspectional observations, at the conclusion of each inspection. Specifically, the FDA issued a Form 483 consisting of one (1) observation at our Marietta, Georgia, processing facility, and a Form 483 consisting of six (6) observations at our Kennesaw, Georgia, processing facility. All observations were related to our AXIOFILL product and 21 CFR 211. There were no observations relating to noncompliance with 21 CFR 1271.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MIMEDX engaged with the FDA regarding the inspections’ observations and the appropriate classification of AXIOFILL. MIMEDX received a Warning Letter on December 21, 2023, relating to the inspections and classification of AXIOFILL. MIMEDX continues to engage with the FDA on this matter, working through the process outlined by the FDA to obtain a formal determination of AXIOFILL’s classification.</w:t>
      </w:r>
    </w:p>
    <w:p>
      <w:pPr>
        <w:spacing w:after="0" w:line="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December 2019, the FDA also conducted inspections at each of our Marietta, Georgia and Kennesaw, Georgia processing facilities. The FDA also issued a Form 483 for each facility at the conclusion of the inspection, which consisted of nine observations at our Marietta, Georgia processing facility and 14 observations at our Kennesaw, Georgia processing facility. During the FDA’s audit of our facilities in 2023, it was confirmed that these observations were closed out and/or resolved.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Our intellectual property includes owned and licensed patents, owned and licensed patent applications and patents pending, proprietary manufacturing processes and trade secrets, and trademarks associated with our technology. We believe that our patents, proprietary manufacturing processes, trade secrets, trademarks, and technology licensing rights provide us with important competitive advantages.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 and Patent Applications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substantial expertise and investment of time, effort and financial resources required to bring new regenerative biomaterial products and implants to the market, the importance of obtaining and maintaining patent protection for significant new technologies, products and processes cannot be underestimated. As of the date of the filing of this Annual Report, in addition to international patents and patent applications, we own 74 U.S. patents related to our amniotic tissue technology and products, and 25 additional patent applications covering aspects of this technology are pending at the United States Patent and Trademark Office. The vast majority of our domestic patents covering our core amniotic tissue technology and products will not begin to expire until August 2027. Globally, the Company has over 200 issued and pending patents.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 sales team includes field sales representatives and field sales management, who call on hospitals, wound care clinics, physician offices, and federal health care facilities such as the Department of Veterans Affairs (the “</w:t>
      </w:r>
      <w:r>
        <w:rPr>
          <w:rFonts w:ascii="Times New Roman" w:cs="Times New Roman" w:eastAsia="Times New Roman" w:hAnsi="Times New Roman"/>
          <w:sz w:val="18"/>
          <w:szCs w:val="18"/>
          <w:b w:val="1"/>
          <w:bCs w:val="1"/>
          <w:i w:val="1"/>
          <w:iCs w:val="1"/>
          <w:color w:val="auto"/>
        </w:rPr>
        <w:t>VA</w:t>
      </w:r>
      <w:r>
        <w:rPr>
          <w:rFonts w:ascii="Times New Roman" w:cs="Times New Roman" w:eastAsia="Times New Roman" w:hAnsi="Times New Roman"/>
          <w:sz w:val="18"/>
          <w:szCs w:val="18"/>
          <w:color w:val="auto"/>
        </w:rPr>
        <w:t>”) and Department of Defense (“</w:t>
      </w:r>
      <w:r>
        <w:rPr>
          <w:rFonts w:ascii="Times New Roman" w:cs="Times New Roman" w:eastAsia="Times New Roman" w:hAnsi="Times New Roman"/>
          <w:sz w:val="18"/>
          <w:szCs w:val="18"/>
          <w:b w:val="1"/>
          <w:bCs w:val="1"/>
          <w:i w:val="1"/>
          <w:iCs w:val="1"/>
          <w:color w:val="auto"/>
        </w:rPr>
        <w:t>DoD</w:t>
      </w:r>
      <w:r>
        <w:rPr>
          <w:rFonts w:ascii="Times New Roman" w:cs="Times New Roman" w:eastAsia="Times New Roman" w:hAnsi="Times New Roman"/>
          <w:sz w:val="18"/>
          <w:szCs w:val="18"/>
          <w:color w:val="auto"/>
        </w:rPr>
        <w:t>”) hospitals. Our direct sales force primarily focuses on the Wound and Surgical categories through multiple sites of service. We also maintain a network of independent sales agents that focus on Surgical applications leveraging the complementary products in their portfolios, and provide access to certain customers, as well as sales coverage for areas where we do not have a full-time sales representative.</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sell our products through distributors. Distributors purchase products from us at wholesale prices and resell products to providers and end users. For example, in Japan, our distribution partner, Gunze Medical, purchases products from us and is responsible for sales to the end users for the approved indications of use and at the prevailing reimbursement rate for the product.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exception of government accounts, most purchasers of our products include physicians, hospitals, or ambulatory surgery centers (“</w:t>
      </w:r>
      <w:r>
        <w:rPr>
          <w:rFonts w:ascii="Times New Roman" w:cs="Times New Roman" w:eastAsia="Times New Roman" w:hAnsi="Times New Roman"/>
          <w:sz w:val="18"/>
          <w:szCs w:val="18"/>
          <w:b w:val="1"/>
          <w:bCs w:val="1"/>
          <w:i w:val="1"/>
          <w:iCs w:val="1"/>
          <w:color w:val="auto"/>
        </w:rPr>
        <w:t>ASCs</w:t>
      </w:r>
      <w:r>
        <w:rPr>
          <w:rFonts w:ascii="Times New Roman" w:cs="Times New Roman" w:eastAsia="Times New Roman" w:hAnsi="Times New Roman"/>
          <w:sz w:val="18"/>
          <w:szCs w:val="18"/>
          <w:color w:val="auto"/>
        </w:rPr>
        <w:t>”) that rely on reimbursement by third-party payers. Accordingly, our growth substantially depends on adequate levels of third-party reimbursement for our products from these payers. Third-party payers are sensitive to the cost of products and services and are increasingly seeking to implement cost containment measures to control, restrict access to, or influence the purchase of health care products and services. In the U.S., such payers include U.S. federal healthcare programs (e.g., Medicare and Medicaid), private insurance plans, managed care programs, and workers’ compensation plans. Federal healthcare programs have prescribed coverage criteria and reimbursement rates for medical products, services, and procedures. Similarly, private, third-party payers have their own coverage criteria and negotiate reimbursement amounts for medical products, services, and procedures with providers. In addition, in the U.S., an increasing percentage of insured individuals are receiving their medical care through managed care programs (including managed federal healthcare programs) which monitor and may require pre-approval of the products and services that a member receives. Ultimately, however, each third-party payer determines whether and on what conditions they will provide coverage for our products, and such decisions often include each payer’s assessment of the science and efficacy of the applicable product.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our products is purchased by U.S. government accounts (e.g., the VA and the Public Health Service, including the Indian Health Service), which do not depend on reimbursement from third-party payers. In order for us to be eligible to have our products purchased by such federal agencies and paid for by the Medicaid program, federal law requires us to participate in the VA Federal Supply Schedule (“</w:t>
      </w:r>
      <w:r>
        <w:rPr>
          <w:rFonts w:ascii="Times New Roman" w:cs="Times New Roman" w:eastAsia="Times New Roman" w:hAnsi="Times New Roman"/>
          <w:sz w:val="18"/>
          <w:szCs w:val="18"/>
          <w:b w:val="1"/>
          <w:bCs w:val="1"/>
          <w:i w:val="1"/>
          <w:iCs w:val="1"/>
          <w:color w:val="auto"/>
        </w:rPr>
        <w:t>FSS</w:t>
      </w:r>
      <w:r>
        <w:rPr>
          <w:rFonts w:ascii="Times New Roman" w:cs="Times New Roman" w:eastAsia="Times New Roman" w:hAnsi="Times New Roman"/>
          <w:sz w:val="18"/>
          <w:szCs w:val="18"/>
          <w:color w:val="auto"/>
        </w:rPr>
        <w:t>”) pricing program.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 Coverage</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largest third-party payer in the United States is the Medicare program, which is a federally-funded program that provides healthcare coverage for senior citizens and certain disabled individuals. The Medicare program is administered by the Centers for Medicare and Medicaid Services (“</w:t>
      </w:r>
      <w:r>
        <w:rPr>
          <w:rFonts w:ascii="Times New Roman" w:cs="Times New Roman" w:eastAsia="Times New Roman" w:hAnsi="Times New Roman"/>
          <w:sz w:val="18"/>
          <w:szCs w:val="18"/>
          <w:b w:val="1"/>
          <w:bCs w:val="1"/>
          <w:i w:val="1"/>
          <w:iCs w:val="1"/>
          <w:color w:val="auto"/>
        </w:rPr>
        <w:t>CMS</w:t>
      </w:r>
      <w:r>
        <w:rPr>
          <w:rFonts w:ascii="Times New Roman" w:cs="Times New Roman" w:eastAsia="Times New Roman" w:hAnsi="Times New Roman"/>
          <w:sz w:val="18"/>
          <w:szCs w:val="18"/>
          <w:color w:val="auto"/>
        </w:rPr>
        <w:t>”), an agency within the U.S. Department of Health and Human Services (“HHS”). Medicare Administrative Contractors (“</w:t>
      </w:r>
      <w:r>
        <w:rPr>
          <w:rFonts w:ascii="Times New Roman" w:cs="Times New Roman" w:eastAsia="Times New Roman" w:hAnsi="Times New Roman"/>
          <w:sz w:val="18"/>
          <w:szCs w:val="18"/>
          <w:b w:val="1"/>
          <w:bCs w:val="1"/>
          <w:i w:val="1"/>
          <w:iCs w:val="1"/>
          <w:color w:val="auto"/>
        </w:rPr>
        <w:t>MACs</w:t>
      </w:r>
      <w:r>
        <w:rPr>
          <w:rFonts w:ascii="Times New Roman" w:cs="Times New Roman" w:eastAsia="Times New Roman" w:hAnsi="Times New Roman"/>
          <w:sz w:val="18"/>
          <w:szCs w:val="18"/>
          <w:color w:val="auto"/>
        </w:rPr>
        <w:t>”) are private insurance companies that serve as agents of CMS in the administration of the Medicare program and are responsible for making coverage decisions and paying claims for the designated Medicare jurisdiction. There are seven Part A/B MACs in the U.S., which cover 12 unique geographical jurisdictions. Each MAC also has its own standards and process for determining coverage and reimbursement for a procedure or product. Private payers often follow the lead of governmental payers in making coverage and reimbursement determinations. Therefore, achieving favorable Medicare coverage and reimbursement is usually a significant gating factor for successful adoption of a new product or clinical application by private payers.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The coverage and reimbursement framework for products under Medicare is determined in accordance with the Social Security Act and pursuant to regulations promulgated by CMS, as well as the agency’s coverage and reimbursement guidance. In some cases, CMS does not specify coverage, leaving each of the MACs to determine whether and on what conditions they will provide coverage for the product. Such decisions are based on each MAC’s assessments of the science and efficacy of the applicable product. As noted below under the heading “Research and Development,” we have devoted significant resources to clinical studies to provide data to the MACs, as well as other payers, in order to demonstrate the clinical efficacy and economic effectiveness of our tissue technologies. As of the date of this report, both EPIFIX and EPICORD allografts are eligible for coverage by all MACs. In January 2019, EPIFIX and EPICORD received separate CMS HCPCS Codes, Q4186 and Q4187, distinguishing each product in coverage and reimbursement policies. On July 1, 2023, EPIEFFECT received a CMS Code Q4278, also.</w:t>
      </w:r>
    </w:p>
    <w:p>
      <w:pPr>
        <w:spacing w:after="0" w:line="1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Medicare reimbursement purposes, our EPIFIX and EPICORD allografts are classified as “skin substitutes.” Current reimbursement methodology varies between the hospital outpatient department (“</w:t>
      </w:r>
      <w:r>
        <w:rPr>
          <w:rFonts w:ascii="Times New Roman" w:cs="Times New Roman" w:eastAsia="Times New Roman" w:hAnsi="Times New Roman"/>
          <w:sz w:val="18"/>
          <w:szCs w:val="18"/>
          <w:b w:val="1"/>
          <w:bCs w:val="1"/>
          <w:i w:val="1"/>
          <w:iCs w:val="1"/>
          <w:color w:val="auto"/>
        </w:rPr>
        <w:t>HOPD</w:t>
      </w:r>
      <w:r>
        <w:rPr>
          <w:rFonts w:ascii="Times New Roman" w:cs="Times New Roman" w:eastAsia="Times New Roman" w:hAnsi="Times New Roman"/>
          <w:sz w:val="18"/>
          <w:szCs w:val="18"/>
          <w:color w:val="auto"/>
        </w:rPr>
        <w:t>”) and ASC setting versus the physician office. Currently, within the HOPD and ASC places of service, skin substitutes are reimbursed under a “packaged” or “bundled” methodology that provides a single payment for both the application of the product as well as the product itself. CMS classifies skin substitutes into low cost or high cost groups, based on a geometric mean unit cost and per day cost. For 2022, the geometric mean unit cost threshold applicable to both our EPIFIX and EPICORD allograft products was $48 per square centimeter, and the per day cost threshold was $949. For 2023, the geometric mean unit cost threshold applicable to both our EPIFIX and EPICORD allograft products was $47 per square centimeter, and the per day cost threshold was $949. For 2024, the geometric mean unit cost threshold applicable to our EPIFIX, EPICORD and EPIEFFECT allograft products is $47 per square centimeter, and the per day cost threshold was $807. The national HOPD average packaged (“bundled”) rate for our EPIFIX and EPICORD allograft products was $1,549 in 2019, $1,623 in 2020, $1,715 in 2021, $1,749.26 in 2022, and $1,725 in 2023. The national HOPD average packaged (“bundled”) rate for our EPIFIX, EPICORD and EPIEFFECT products in 2024 is $1,738. CMS assigns lower national rates to the ASC to reflect a less resource-intensive place of service. Revenue in the ASC setting constitutes less than 1% of the Company’s annual net sales. Medicare payments for most items and services, including EPIFIX and EPICORD sheet products, have been subject to sequestration reductions of approximately 2% periodically from 2013.</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providers that administer EPIFIX, EPICORD or EPIEFFECT allografts and other skin substitutes in the physician office setting are reimbursed based on the size of the graft, computed on a per square centimeter basis. The payment rate is calculated using the manufacturer’s reported average sales price (“</w:t>
      </w:r>
      <w:r>
        <w:rPr>
          <w:rFonts w:ascii="Times New Roman" w:cs="Times New Roman" w:eastAsia="Times New Roman" w:hAnsi="Times New Roman"/>
          <w:sz w:val="18"/>
          <w:szCs w:val="18"/>
          <w:b w:val="1"/>
          <w:bCs w:val="1"/>
          <w:i w:val="1"/>
          <w:iCs w:val="1"/>
          <w:color w:val="auto"/>
        </w:rPr>
        <w:t>ASP</w:t>
      </w:r>
      <w:r>
        <w:rPr>
          <w:rFonts w:ascii="Times New Roman" w:cs="Times New Roman" w:eastAsia="Times New Roman" w:hAnsi="Times New Roman"/>
          <w:sz w:val="18"/>
          <w:szCs w:val="18"/>
          <w:color w:val="auto"/>
        </w:rPr>
        <w:t>”) submitted quarterly to CMS. This payment methodology applies to physician offices, as well as places of service such as patient home, assisted living and nursing home. The Medicare payment rates are updated quarterly based on this ASP information for many skin substitute products but not all. EPIFIX, EPICORD and EPIEFFECT are included on the Medicare national ASP Drug Pricing File. The published skin substitute Medicare payment rate established by statute is ASP plus 6%. Reimbursement for products not included on the Medicare national ASP Drug Pricing File are at the discretion of each MAC, which typically is invoice cost or wholesale acquisition cost (“</w:t>
      </w:r>
      <w:r>
        <w:rPr>
          <w:rFonts w:ascii="Times New Roman" w:cs="Times New Roman" w:eastAsia="Times New Roman" w:hAnsi="Times New Roman"/>
          <w:sz w:val="18"/>
          <w:szCs w:val="18"/>
          <w:b w:val="1"/>
          <w:bCs w:val="1"/>
          <w:i w:val="1"/>
          <w:iCs w:val="1"/>
          <w:color w:val="auto"/>
        </w:rPr>
        <w:t>WAC</w:t>
      </w:r>
      <w:r>
        <w:rPr>
          <w:rFonts w:ascii="Times New Roman" w:cs="Times New Roman" w:eastAsia="Times New Roman" w:hAnsi="Times New Roman"/>
          <w:sz w:val="18"/>
          <w:szCs w:val="18"/>
          <w:color w:val="auto"/>
        </w:rPr>
        <w:t>”) plus 6%.</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CMS announced plans to potentially change the reimbursement mechanism for skin substitutes in the physician office setting but did not propose or enact any national changes to the rules for these products. In March 2023, the Office of Inspector General published a report entitled, “Some Skin Substitute Manufacturers Did Not Comply with New ASP Reporting Requirements,” which detailed extensive problematic expenditure issues associated with the current Medicare reimbursement landscape in the private physician office setting for some skin substitute products. In alignment with many industry stakeholders, including MIMEDX, the report recommended that all skin substitute products transition to ASP-based payments as soon as possible in an effort to substantially reduce Medicare expenditures for these products. Over the last several quarters, there has been a notable increase in the number of skin substitute products listed on the Medicare ASP list, but non-ASP or WAC-based products still remain available in the marketplace.</w:t>
      </w:r>
    </w:p>
    <w:p>
      <w:pPr>
        <w:spacing w:after="0" w:line="11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 August 2023, three MACs published changes to their Local Coverage Determinations (“</w:t>
      </w:r>
      <w:r>
        <w:rPr>
          <w:rFonts w:ascii="Times New Roman" w:cs="Times New Roman" w:eastAsia="Times New Roman" w:hAnsi="Times New Roman"/>
          <w:sz w:val="18"/>
          <w:szCs w:val="18"/>
          <w:b w:val="1"/>
          <w:bCs w:val="1"/>
          <w:i w:val="1"/>
          <w:iCs w:val="1"/>
          <w:color w:val="auto"/>
        </w:rPr>
        <w:t>LCDs</w:t>
      </w:r>
      <w:r>
        <w:rPr>
          <w:rFonts w:ascii="Times New Roman" w:cs="Times New Roman" w:eastAsia="Times New Roman" w:hAnsi="Times New Roman"/>
          <w:sz w:val="18"/>
          <w:szCs w:val="18"/>
          <w:color w:val="auto"/>
        </w:rPr>
        <w:t>”) that were intended to go into effect on October 1, 2023, before ultimately being abandoned. These LCDs included language that would have lowered the number of allowed applications of a product below what is commonly used in standard practice by physicians today (supported by clinical evidence) and reflected by LCDs currently in force with the MACs.</w:t>
      </w:r>
    </w:p>
    <w:p>
      <w:pPr>
        <w:ind w:right="140"/>
        <w:spacing w:after="0" w:line="255" w:lineRule="auto"/>
        <w:rPr>
          <w:sz w:val="20"/>
          <w:szCs w:val="20"/>
          <w:color w:val="auto"/>
        </w:rPr>
      </w:pPr>
      <w:r>
        <w:rPr>
          <w:rFonts w:ascii="Times New Roman" w:cs="Times New Roman" w:eastAsia="Times New Roman" w:hAnsi="Times New Roman"/>
          <w:sz w:val="18"/>
          <w:szCs w:val="18"/>
          <w:color w:val="auto"/>
        </w:rPr>
        <w:t>Additionally, the LCDs outlined those skin substitute products which would explicitly be eligible for coverage and those which would not. While these LCDs ultimately were not implemented, the MACs have indicated plans to bring forth a new proposed LCD for skin substitutes in the future, which could include elements that could be unfavorable to our business.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Payers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devoted considerable resources to clinical trials to support coverage and reimbursement of our products. An increasing number of private payers reimburse for EPIFIX and EPICORD in the physician office, the HOPD and the ASC settings, and we have complete national commercial coverage for the use of EPIFIX in the treatment of DFUs. Coverage and reimbursement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vary according to the patient’s health plan and related benefits. The majority of health plans currently provide coverage for EPIFIX and EPICORD for the treatment of DFUs, and many include treatment of VLUs. MIMEDX has secured payer coverage for over 300 million covered lives, allowing a significant number of patients access to our products. Information contributing to the coverage determination included a third-party technical brief (by the Agency for Healthcare Research and Quality (“</w:t>
      </w:r>
      <w:r>
        <w:rPr>
          <w:rFonts w:ascii="Times New Roman" w:cs="Times New Roman" w:eastAsia="Times New Roman" w:hAnsi="Times New Roman"/>
          <w:sz w:val="18"/>
          <w:szCs w:val="18"/>
          <w:b w:val="1"/>
          <w:bCs w:val="1"/>
          <w:i w:val="1"/>
          <w:iCs w:val="1"/>
          <w:color w:val="auto"/>
        </w:rPr>
        <w:t>AHRQ</w:t>
      </w:r>
      <w:r>
        <w:rPr>
          <w:rFonts w:ascii="Times New Roman" w:cs="Times New Roman" w:eastAsia="Times New Roman" w:hAnsi="Times New Roman"/>
          <w:sz w:val="18"/>
          <w:szCs w:val="18"/>
          <w:color w:val="auto"/>
        </w:rPr>
        <w:t>”)) that evaluated a number of skin substitutes for treating chronic wounds, in which EPIFIX was noted to have the most Randomized Controlled Trials, a low risk of overall study bias, and statistically significant findings.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newest product, EPIEFFECT, has also started to receive private reimbursement in certain regions of the U.S. and we are focused on continuing to increase the number of covered lives eligible for this product in the future.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and continue to grow a reimbursement support group to educate providers and patients with regard to accurate coverage and reimbursement information regarding our products, and plan to continue investing in clinical data supportive of coverage for our products in additional clinical areas of use.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 Use</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Products administered in the hospital inpatient setting are bundled when submitted as part of the hospital’s claim under a diagnosis-related group (“</w:t>
      </w:r>
      <w:r>
        <w:rPr>
          <w:rFonts w:ascii="Times New Roman" w:cs="Times New Roman" w:eastAsia="Times New Roman" w:hAnsi="Times New Roman"/>
          <w:sz w:val="18"/>
          <w:szCs w:val="18"/>
          <w:b w:val="1"/>
          <w:bCs w:val="1"/>
          <w:i w:val="1"/>
          <w:iCs w:val="1"/>
          <w:color w:val="auto"/>
        </w:rPr>
        <w:t>DRG</w:t>
      </w:r>
      <w:r>
        <w:rPr>
          <w:rFonts w:ascii="Times New Roman" w:cs="Times New Roman" w:eastAsia="Times New Roman" w:hAnsi="Times New Roman"/>
          <w:sz w:val="18"/>
          <w:szCs w:val="18"/>
          <w:color w:val="auto"/>
        </w:rPr>
        <w:t>”). In these cases, we continue to educate the hospital that our products are cost-effective, and have the potential to improve patient outcomes and reduce the length of stay. We are working to develop additional health economic data to support this effort. As noted above, the ability to sell products in a hospital is dependent upon demonstrating to the hospital the product’s efficacy and cost effectiveness.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during our fourth quarter tend to be stronger than other quarters because many hospitals increase their purchases of our products during the fourth quarter to coincide with the end of their budget cycles in the United States. Satisfaction of patient deductibles through the course of the year also results in increased revenues later in the year. In general, our first quarter usually has lower revenues than the preceding fourth quarter, the second and third quarters have higher revenues than the first quarter, and the fourth quarter revenues are the highest in the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our top ten customers accounted for 20%, 19% and 19%, respectively, of our net sales, and net sales to all U.S. government accounts comprised approximately 2%, 2% and 3%, respectively, of our net sales.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lower barriers to entry in the Section 361 HCT/P regulated market, competition in the placenta-based and allograft tissue field is intense and subject to new entrants and evolving market dynamics. Companies within the industry compete on the basis of price, ease of handling, logistics and efficacy. Another important factor is third-party reimbursement, which is difficult to obtain as it is a time-consuming and expensive process. We believe our success in obtaining third-party reimbursement, our strong position with group purchasing organizations, and the established clinical evidence for our products are competitive advantages.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2020, the AHRQ published a technology assessment analyzing Skin Substitutes for Treating Chronic Wounds. AHRQ conducted a literature search yielding 164 studies and 81 Supplemental Evidence and Data for Systematic Reviews (“</w:t>
      </w:r>
      <w:r>
        <w:rPr>
          <w:rFonts w:ascii="Times New Roman" w:cs="Times New Roman" w:eastAsia="Times New Roman" w:hAnsi="Times New Roman"/>
          <w:sz w:val="18"/>
          <w:szCs w:val="18"/>
          <w:b w:val="1"/>
          <w:bCs w:val="1"/>
          <w:i w:val="1"/>
          <w:iCs w:val="1"/>
          <w:color w:val="auto"/>
        </w:rPr>
        <w:t>SEADs</w:t>
      </w:r>
      <w:r>
        <w:rPr>
          <w:rFonts w:ascii="Times New Roman" w:cs="Times New Roman" w:eastAsia="Times New Roman" w:hAnsi="Times New Roman"/>
          <w:sz w:val="18"/>
          <w:szCs w:val="18"/>
          <w:color w:val="auto"/>
        </w:rPr>
        <w:t>”) submissions. Only 22 randomized, controlled trials (“</w:t>
      </w:r>
      <w:r>
        <w:rPr>
          <w:rFonts w:ascii="Times New Roman" w:cs="Times New Roman" w:eastAsia="Times New Roman" w:hAnsi="Times New Roman"/>
          <w:sz w:val="18"/>
          <w:szCs w:val="18"/>
          <w:b w:val="1"/>
          <w:bCs w:val="1"/>
          <w:i w:val="1"/>
          <w:iCs w:val="1"/>
          <w:color w:val="auto"/>
        </w:rPr>
        <w:t>RCTs</w:t>
      </w:r>
      <w:r>
        <w:rPr>
          <w:rFonts w:ascii="Times New Roman" w:cs="Times New Roman" w:eastAsia="Times New Roman" w:hAnsi="Times New Roman"/>
          <w:sz w:val="18"/>
          <w:szCs w:val="18"/>
          <w:color w:val="auto"/>
        </w:rPr>
        <w:t>”) met the inclusion criteria to be reviewed in the AHRQ analysis, and out of the 22 RCTs MIMEDX had six RCTs included in the final brief. Of the 22 studies reviewed, only 12 were assessed as low risk of bias, of which five were MIMEDX RCTs. This important government assessment highlights our commitment to providing unbiased level 1 clinical evidence in advanced wound treatment. This dedication to elevating the standard of care is further underscored by the fact that the AHRQ points out in its assessment that MIMEDX was the only entity to provide two studies out of the 22 evaluated that performed a subgroup analysis of patients with DFUs that received adequate debridement. Both studies reported an increase in wounds healed with adequate debridement.</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AWC therapies employ technologies to aid in wound healing in cases where the wound is chronic and healing progress has stalled or stopped. The primary competitive products in the skin substitutes category include, among others, placental-tissue allografts, tissue-engineered living skin equivalents, porcine-, bovine- and fish skin-derived xenografts and collagen matrix products. Xenografts, or tissue transplants from non-human species, serve mainly as an extracellular matrix and have to undergo aggressive processing to remove immunogenic animal products from the tissue. In addition, challenges with xenografts include limited clinical published data, and some products may require suturing or stapling to the wound bed, making handling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more difficult. Furthermore, other skin substitutes currently on the market require cryogenic freezer storage and have limited shelf life.</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main competitors in the skin substitute market include Integra LifeSciences Holdings Corporation, Organogenesis, Inc., and Smith &amp; Nephew plc, which sell a variety of AWC products, including skin substitutes and placental tissue allografts. In addition, the overall market is competitive, with a large number of other, smaller and oftentimes privately-held competitors that compete regionally and nationally.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products we sell are regulated by the FDA in the United States. The products currently manufactured and processed by the Company are derived from human tissue. Generally, our products currently sold in the United States are regulated as Human Cells, Tissues, and Cellular and Tissue - Based Products (</w:t>
      </w:r>
      <w:r>
        <w:rPr>
          <w:rFonts w:ascii="Times New Roman" w:cs="Times New Roman" w:eastAsia="Times New Roman" w:hAnsi="Times New Roman"/>
          <w:sz w:val="18"/>
          <w:szCs w:val="18"/>
          <w:b w:val="1"/>
          <w:bCs w:val="1"/>
          <w:i w:val="1"/>
          <w:iCs w:val="1"/>
          <w:color w:val="auto"/>
        </w:rPr>
        <w:t>“HCT/Ps”</w:t>
      </w:r>
      <w:r>
        <w:rPr>
          <w:rFonts w:ascii="Times New Roman" w:cs="Times New Roman" w:eastAsia="Times New Roman" w:hAnsi="Times New Roman"/>
          <w:sz w:val="18"/>
          <w:szCs w:val="18"/>
          <w:color w:val="auto"/>
        </w:rPr>
        <w:t>), and are subject solely to Section 361 of the Public Health Service Act (“</w:t>
      </w:r>
      <w:r>
        <w:rPr>
          <w:rFonts w:ascii="Times New Roman" w:cs="Times New Roman" w:eastAsia="Times New Roman" w:hAnsi="Times New Roman"/>
          <w:sz w:val="18"/>
          <w:szCs w:val="18"/>
          <w:b w:val="1"/>
          <w:bCs w:val="1"/>
          <w:i w:val="1"/>
          <w:iCs w:val="1"/>
          <w:color w:val="auto"/>
        </w:rPr>
        <w:t>Section 361</w:t>
      </w:r>
      <w:r>
        <w:rPr>
          <w:rFonts w:ascii="Times New Roman" w:cs="Times New Roman" w:eastAsia="Times New Roman" w:hAnsi="Times New Roman"/>
          <w:sz w:val="18"/>
          <w:szCs w:val="18"/>
          <w:color w:val="auto"/>
        </w:rPr>
        <w:t>”) and related regulations, which do not require pre-market clearance or approval by the FDA. We do not currently sell in the United States those cellular and tissue-based products considered to be drugs, devices, and/or biological products (“</w:t>
      </w:r>
      <w:r>
        <w:rPr>
          <w:rFonts w:ascii="Times New Roman" w:cs="Times New Roman" w:eastAsia="Times New Roman" w:hAnsi="Times New Roman"/>
          <w:sz w:val="18"/>
          <w:szCs w:val="18"/>
          <w:b w:val="1"/>
          <w:bCs w:val="1"/>
          <w:i w:val="1"/>
          <w:iCs w:val="1"/>
          <w:color w:val="auto"/>
        </w:rPr>
        <w:t>Section 351 HCT/Ps</w:t>
      </w:r>
      <w:r>
        <w:rPr>
          <w:rFonts w:ascii="Times New Roman" w:cs="Times New Roman" w:eastAsia="Times New Roman" w:hAnsi="Times New Roman"/>
          <w:sz w:val="18"/>
          <w:szCs w:val="18"/>
          <w:color w:val="auto"/>
        </w:rPr>
        <w:t>”) subject to licensure under Section 351 of the Public Health Service Act (</w:t>
      </w:r>
      <w:r>
        <w:rPr>
          <w:rFonts w:ascii="Times New Roman" w:cs="Times New Roman" w:eastAsia="Times New Roman" w:hAnsi="Times New Roman"/>
          <w:sz w:val="18"/>
          <w:szCs w:val="18"/>
          <w:b w:val="1"/>
          <w:bCs w:val="1"/>
          <w:i w:val="1"/>
          <w:iCs w:val="1"/>
          <w:color w:val="auto"/>
        </w:rPr>
        <w:t>“Section 351”</w:t>
      </w:r>
      <w:r>
        <w:rPr>
          <w:rFonts w:ascii="Times New Roman" w:cs="Times New Roman" w:eastAsia="Times New Roman" w:hAnsi="Times New Roman"/>
          <w:sz w:val="18"/>
          <w:szCs w:val="18"/>
          <w:color w:val="auto"/>
        </w:rPr>
        <w:t>) and related regulations. Section 351 HCT/Ps are regulated as biological products, and, in order to be lawfully marketed in the United States, require FDA pre-market approval.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Tissue Products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1997, the FDA proposed a regulatory framework for cells and tissues. This framework was intended to provide adequate protection of public health while enabling the development of new therapies and products with limited regulatory burden. A key innovation in the system was that covered HCT/Ps would be regulated solely under Section 361 and would not be subject to pre-market clearance. The registration and listing rules were finalized in January 2001 in 21 CFR Part 1271. Additional rules regarding donor eligibility and good tissue practices were soon adopted. Together, these rules form a comprehensive system intended to encourage significant innovation.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requires each HCT/P establishment to register and establish that its product meets the requirements to qualify for regulation solely under Section</w:t>
      </w:r>
    </w:p>
    <w:p>
      <w:pPr>
        <w:spacing w:after="0" w:line="27"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 Section 361 HCT/P, a cellular or tissue-based product generally must meet all four of the following criteria (fully set forth in 21 CFR Part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1271):</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be minimally manipulated;</w:t>
      </w:r>
    </w:p>
    <w:p>
      <w:pPr>
        <w:spacing w:after="0" w:line="15"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be intended for homologous use;</w:t>
      </w:r>
    </w:p>
    <w:p>
      <w:pPr>
        <w:ind w:left="660" w:hanging="328"/>
        <w:spacing w:after="0" w:line="234"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manufacture must not involve combination with another article, except for water, crystalloids or a sterilizing, preserving or storage agent; and</w:t>
      </w: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not have a systemic effect and must not be dependent upon the metabolic activity of living cells for its primary function.</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amniotic and other birth tissues are considered cellular and tissue-based articles and are therefore eligible for regulation solely as a Section 361 HCT/P depending on whether the specific product at issue and the claims made for it are consistent with the criteria set forth above. HCT/Ps that do not meet these criteria are subject to more extensive regulation as drugs, medical devices, biological products, or combination products.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 Regulated Solely as Section 361 HCT/Ps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has specific regulations governing HCT/Ps, including some regulations specific to Section 361 HCT/Ps, which are set forth in 21 CFR Part 1271. All establishments that manufacture Section 361 HCT/Ps must register and list their HCT/Ps with the FDA’s Center for Biologics Evaluation and Research within five days after commencing operations. In addition, establishments are required to update their registration annually in December or within 30 days of certain changes and submit changes in HCT/P listing at the time of or within six months of such change.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regulations in 21 CFR Part 1271 also require establishments to comply with donor screening, eligibility and testing requirements, and CGTP to prevent the introduction, transmission and spread of communicable diseases. The CGTP govern, as may be applicable, the facilities, controls, and methods used in the manufacture of all HCT/Ps, including processing, storage, recovery, labeling, packaging, and distribution of Section 361 HCT/Ps. CGTP require us, among other things, to maintain a quality program, train personnel, control, and monitor environmental conditions as appropriate, control and validate processes, properly store, handle and test our products and raw materials, maintain our facilities and equipment, keep records and comply with standards regarding recovery, pre-distribution, distribution, tracking and labeling of our products, and complaint handling. 21 CFR Part 1271 also mandates compliance with adverse reaction and CGTP deviation reporting and labeling requirements.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conducts periodic inspections of HCT/P manufacturing facilities, and contract manufacturers’ facilities, to assess compliance with CGTP. Such inspections can occur at any time, with or without written notice, at such frequency as determined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by the FDA in its sole discretion. To determine compliance with the applicable provisions, the inspection may include, but is not limited to, an assessment of the establishment’s facilities, equipment, finished and unfinished materials, containers, processes, HCT/Ps, procedures, labeling, records, files, papers and controls required to be maintained under 21 CFR Part 1271. If the FDA were to find serious non-compliant manufacturing or processing practices during such an inspection, it could take regulatory actions that could adversely affect our business, results of operations, financial condition, and cash flows.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FDA Guidance and Transition Policy for HCT/Ps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2017, the FDA released four guidance documents that, collectively, the agency described as a “comprehensive policy framework” for applying existing laws and regulations governing regenerative medicine products, including HCT/Ps. One guidance document in particular,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for Human Cells, Tissues, and Cellular and Tissue – Based Products: Minimal Manipulation and Homologous Use – Guidance for Industry and Food and Drug Administration Staff</w:t>
      </w:r>
      <w:r>
        <w:rPr>
          <w:rFonts w:ascii="Times New Roman" w:cs="Times New Roman" w:eastAsia="Times New Roman" w:hAnsi="Times New Roman"/>
          <w:sz w:val="18"/>
          <w:szCs w:val="18"/>
          <w:color w:val="auto"/>
        </w:rPr>
        <w:t>,” offered important clarity.</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guidance documents confirmed that sheet forms of amniotic membrane generally are appropriately regulated as solely Section 361 HCT/Ps when intended for use as a barrier or covering. We continually evaluate our marketing materials for each of our products to align with FDA guidance.</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Second, the guidance documents confirmed the FDA’s stance that all micronized amniotic membrane products are more than minimally manipulated, and therefore do not qualify as Section 361 HCT/Ps. However, the guidance documents also stated that the FDA intended to exercise enforcement discretion under limited conditions with respect to the IND application and pre-market approval requirements for certain HCT/Ps through November 2020, which was later extended through May 2021. This period of enforcement discretion was intended to give sponsors time to evaluate their products, have a dialogue with the agency and, if necessary, begin clinical trials and file the appropriate pre-market applications. The FDA’s approach was risk-based, and the guidance documents clarified that high-risk products and uses could be subject to immediate enforcement action.</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enforcement discretion applied across our industry, and during the period, the Company continued to market its products under this policy of enforcement discretion. After May 31, 2021, the Company ceased marketing or selling in the United States its products that were impacted by enforcement discretion, including its micronized dehydrated human amnion chorion membrane (</w:t>
      </w:r>
      <w:r>
        <w:rPr>
          <w:rFonts w:ascii="Times New Roman" w:cs="Times New Roman" w:eastAsia="Times New Roman" w:hAnsi="Times New Roman"/>
          <w:sz w:val="18"/>
          <w:szCs w:val="18"/>
          <w:b w:val="1"/>
          <w:bCs w:val="1"/>
          <w:i w:val="1"/>
          <w:iCs w:val="1"/>
          <w:color w:val="auto"/>
        </w:rPr>
        <w:t>“mDHACM”</w:t>
      </w:r>
      <w:r>
        <w:rPr>
          <w:rFonts w:ascii="Times New Roman" w:cs="Times New Roman" w:eastAsia="Times New Roman" w:hAnsi="Times New Roman"/>
          <w:sz w:val="18"/>
          <w:szCs w:val="18"/>
          <w:color w:val="auto"/>
        </w:rPr>
        <w:t>) products.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engaged with the FDA regarding the classification of AXIOFILL and certain of its other products. If the FDA makes a final determination that these products do not meet the requirements for regulation solely under Section 361 then, in order to continue to market the products, the Company would be required to obtain the appropriate FDA clearance or approval.</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the Company has failed to comply with applicable regulatory requirements, it can take a variety of compliance or enforcement actions, such as issuing an FDA Form 483 notice of inspectional observations; sending a warning letter or untitled letter; issuing an order of retention, destruction, or cessation of marketing; imposing civil money penalties; suspending or delaying issuance of approvals; requiring product recalls; imposing a total or partial shutdown of production; withdrawing approvals or clearances already granted; pursuing product seizures, consent decrees or other injunctive relief; and criminal prosecution through the Department of Justice (“</w:t>
      </w:r>
      <w:r>
        <w:rPr>
          <w:rFonts w:ascii="Times New Roman" w:cs="Times New Roman" w:eastAsia="Times New Roman" w:hAnsi="Times New Roman"/>
          <w:sz w:val="18"/>
          <w:szCs w:val="18"/>
          <w:b w:val="1"/>
          <w:bCs w:val="1"/>
          <w:i w:val="1"/>
          <w:iCs w:val="1"/>
          <w:color w:val="auto"/>
        </w:rPr>
        <w:t>DOJ</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Post–Market Regulation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Tissue processors regulated solely under Section 361 are still required to register as a tissue establishment with the FDA. As a registered tissue establishment, we are required to comply with regulations regarding labeling, record keeping, donor eligibility, screening, and testing. We are also required to process the tissue in accordance with established CGTP, as well as report any deviations from core CGTP requirements or adverse reactions caused by a possible transmission of an infectious disease attributed to our tissue. Our facilities are also subject to periodic inspections to assess our compliance with the regulations.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Regulation Specific to Tissue Products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Organ Transplant Act</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Procurement of certain human organs and tissue for transplantation is subject to the restrictions of the National Organ Transplant Act (“</w:t>
      </w:r>
      <w:r>
        <w:rPr>
          <w:rFonts w:ascii="Times New Roman" w:cs="Times New Roman" w:eastAsia="Times New Roman" w:hAnsi="Times New Roman"/>
          <w:sz w:val="18"/>
          <w:szCs w:val="18"/>
          <w:b w:val="1"/>
          <w:bCs w:val="1"/>
          <w:i w:val="1"/>
          <w:iCs w:val="1"/>
          <w:color w:val="auto"/>
        </w:rPr>
        <w:t>NOTA</w:t>
      </w:r>
      <w:r>
        <w:rPr>
          <w:rFonts w:ascii="Times New Roman" w:cs="Times New Roman" w:eastAsia="Times New Roman" w:hAnsi="Times New Roman"/>
          <w:sz w:val="18"/>
          <w:szCs w:val="18"/>
          <w:color w:val="auto"/>
        </w:rPr>
        <w:t>”), which prohibits the transfer of certain human organs, including skin and related tissue, for valuable consideration, but permits the reimbursement of reasonable expenses associated with the removal, transportation, implantation, processing, preservation, quality control, and storage of human tissue and skin. Our wholly-owned subsidiary, MiMedx Tissue Services, LLC, is registered with the FDA as an establishment that manufactures human cells, tissues, and cellular and tissue- based products and is involved with the recovery and storage of donated human placental tissues. We reimburse tissue banks, hospitals, and physicians for their services associated with the recovery and storage of donated human tissue.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Tissue Bank Laws, Regulations, and Related Accreditation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we are required to register with the FDA as an establishment that manufactures human cells, tissues, and cellular and tissue-based products. We are licensed, registered, or permitted as a tissue bank in California, New York, Delaware, Illinois, Oregon, and Maryland. Additionally, we received and actively maintain AATB accreditation. The AATB has issued operating standards for tissue banking. Compliance with these standards is required in order to become an AATB-accredited tissue establishment. AATB standards include specific requirements for recovery, screening, testing, labeling, processing, and storing of birth tissue. We maintain compliance with AATB standards and our state licensure requirements.</w:t>
      </w:r>
    </w:p>
    <w:p>
      <w:pPr>
        <w:spacing w:after="0" w:line="116" w:lineRule="exact"/>
        <w:rPr>
          <w:sz w:val="20"/>
          <w:szCs w:val="20"/>
          <w:color w:val="auto"/>
        </w:rPr>
      </w:pPr>
    </w:p>
    <w:p>
      <w:pPr>
        <w:ind w:right="2100"/>
        <w:spacing w:after="0" w:line="414" w:lineRule="auto"/>
        <w:rPr>
          <w:sz w:val="20"/>
          <w:szCs w:val="20"/>
          <w:color w:val="auto"/>
        </w:rPr>
      </w:pPr>
      <w:r>
        <w:rPr>
          <w:rFonts w:ascii="Times New Roman" w:cs="Times New Roman" w:eastAsia="Times New Roman" w:hAnsi="Times New Roman"/>
          <w:sz w:val="18"/>
          <w:szCs w:val="18"/>
          <w:color w:val="auto"/>
        </w:rPr>
        <w:t xml:space="preserve">To the extent we sell our products outside of the United States, we also are subject to laws and regulations of foreign countries. </w:t>
      </w:r>
      <w:r>
        <w:rPr>
          <w:rFonts w:ascii="Times New Roman" w:cs="Times New Roman" w:eastAsia="Times New Roman" w:hAnsi="Times New Roman"/>
          <w:sz w:val="18"/>
          <w:szCs w:val="18"/>
          <w:i w:val="1"/>
          <w:iCs w:val="1"/>
          <w:color w:val="auto"/>
        </w:rPr>
        <w:t>Other Healthcare Laws and Compliance Requirements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CMS, other divisions of the HHS (e.g., the Office of Inspector General), the DOJ and individual United States Attorney offices within the DOJ, and state and local governments. These regulations include those described below.</w:t>
      </w:r>
    </w:p>
    <w:p>
      <w:pPr>
        <w:spacing w:after="0" w:line="104" w:lineRule="exact"/>
        <w:rPr>
          <w:sz w:val="20"/>
          <w:szCs w:val="20"/>
          <w:color w:val="auto"/>
        </w:rPr>
      </w:pPr>
    </w:p>
    <w:p>
      <w:pPr>
        <w:jc w:val="both"/>
        <w:ind w:left="66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t>
      </w:r>
      <w:r>
        <w:rPr>
          <w:rFonts w:ascii="Times New Roman" w:cs="Times New Roman" w:eastAsia="Times New Roman" w:hAnsi="Times New Roman"/>
          <w:sz w:val="18"/>
          <w:szCs w:val="18"/>
          <w:b w:val="1"/>
          <w:bCs w:val="1"/>
          <w:i w:val="1"/>
          <w:iCs w:val="1"/>
          <w:color w:val="auto"/>
        </w:rPr>
        <w:t>AKS</w:t>
      </w:r>
      <w:r>
        <w:rPr>
          <w:rFonts w:ascii="Times New Roman" w:cs="Times New Roman" w:eastAsia="Times New Roman" w:hAnsi="Times New Roman"/>
          <w:sz w:val="18"/>
          <w:szCs w:val="18"/>
          <w:color w:val="auto"/>
        </w:rPr>
        <w:t>”), which is a criminal law that prohibits, among other things, any person from knowingly and willfully offering, soliciting, receiving or providing any remuneration (including any kickback, bribe or rebate), directly or indirectly, overtly or covertly, in cash or in kind, to induce or reward referrals, purchases or orders, or arranging for or recommending the purchase, order or referral of any item or service for which payment may be made in whole or in part by a federal healthcare program, such as the Medicare and Medicaid programs. The term “remuneration” has been broadly interpreted to include anything of value. The Patient Protection and Affordable Care Act amended the intent requirement of the federal AKS, so that a person or entity no longer needs to have actual knowledge of this statute or specific intent to violate it. A conviction for violation of the AKS results in criminal fines and requires mandatory exclusion from participation in federal health care programs. Although there are a number of statutory exceptions and regulatory safe harbors to the federal AKS that protect certain common industry practices from prosecution, the exceptions and safe harbors are drawn narrowly, and arrangements may be subject to scrutiny or penalty if they do not fully satisfy all elements of an available exception or safe harbor.</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t>
      </w:r>
      <w:r>
        <w:rPr>
          <w:rFonts w:ascii="Times New Roman" w:cs="Times New Roman" w:eastAsia="Times New Roman" w:hAnsi="Times New Roman"/>
          <w:sz w:val="18"/>
          <w:szCs w:val="18"/>
          <w:b w:val="1"/>
          <w:bCs w:val="1"/>
          <w:i w:val="1"/>
          <w:iCs w:val="1"/>
          <w:color w:val="auto"/>
        </w:rPr>
        <w:t>FCA</w:t>
      </w:r>
      <w:r>
        <w:rPr>
          <w:rFonts w:ascii="Times New Roman" w:cs="Times New Roman" w:eastAsia="Times New Roman" w:hAnsi="Times New Roman"/>
          <w:sz w:val="18"/>
          <w:szCs w:val="18"/>
          <w:color w:val="auto"/>
        </w:rPr>
        <w:t>”) imposes significant civil liability on any person or entity that knowingly presents, or causes to be presented, a claim for payment to the U.S. government, including the Medicare and Medicaid programs, that is false or fraudulent. The FCA also allows a private individual or entity as a whistleblower to sue on behalf of the government to recover civil penalties and treble damages. FCA liability is potentially significant in the healthcare industry because the statute provides for significant damages (treble) and mandatory penalties per false claim or statement. As a result of a modification made by the Fraud Enforcement and Recovery Act of 2009, a claim includes “any request or demand” for money or property presented to the U.S. government.</w:t>
      </w:r>
    </w:p>
    <w:p>
      <w:pPr>
        <w:spacing w:after="0" w:line="11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fraud and abuse provisions prohibit executing a scheme to defraud any healthcare benefit program, willfully obstructing a criminal investigation of a health care offense, or making false statements or concealing a material fact relating to payment for healthcare benefits, items or services.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manufacturers of human cell and tissue products regulated solely under Section 361 are not subject to the federal Physician Payments Sunshine Act and its implementing regulations (together with the Act, the “</w:t>
      </w:r>
      <w:r>
        <w:rPr>
          <w:rFonts w:ascii="Times New Roman" w:cs="Times New Roman" w:eastAsia="Times New Roman" w:hAnsi="Times New Roman"/>
          <w:sz w:val="18"/>
          <w:szCs w:val="18"/>
          <w:b w:val="1"/>
          <w:bCs w:val="1"/>
          <w:i w:val="1"/>
          <w:iCs w:val="1"/>
          <w:color w:val="auto"/>
        </w:rPr>
        <w:t>Sunshine Act</w:t>
      </w:r>
      <w:r>
        <w:rPr>
          <w:rFonts w:ascii="Times New Roman" w:cs="Times New Roman" w:eastAsia="Times New Roman" w:hAnsi="Times New Roman"/>
          <w:sz w:val="18"/>
          <w:szCs w:val="18"/>
          <w:color w:val="auto"/>
        </w:rPr>
        <w:t>”), in the future, if we expand our product portfolio beyond those regulated solely under Section 361, this law will require us (with certain exceptions) to report information to CMS related to certain payments or other transfers of value we make to U.S.-licensed physicians and teaching hospitals, and for reports submitted on or after January 1, 2022, physician assistants, nurse practitioners, clinical nurse specialists, certified nurse anesthetists and certified nurse-midwives. Such information will subsequently be made publicly available by CMS on the Open Payments website. There is a risk that CMS or another government agency may take the position that our products are not human cell and tissue products regulated solely under Section 361, and thereby assert that we are currently subject to the Sunshine Act, which could subject us to civil penalties and the administrative burden of having to comply with the law.</w:t>
      </w:r>
    </w:p>
    <w:p>
      <w:pPr>
        <w:spacing w:after="0" w:line="10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conflicts of interest laws, the Standards of Ethical Conduct for Employees of the Executive Branch, and local site policies for each federal institution we call upon govern our interactions with federal employees at our various government accounts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DoD, VA, </w:t>
      </w:r>
      <w:r>
        <w:rPr>
          <w:rFonts w:ascii="Times New Roman" w:cs="Times New Roman" w:eastAsia="Times New Roman" w:hAnsi="Times New Roman"/>
          <w:sz w:val="18"/>
          <w:szCs w:val="18"/>
          <w:i w:val="1"/>
          <w:iCs w:val="1"/>
          <w:color w:val="auto"/>
        </w:rPr>
        <w:t>etc</w:t>
      </w:r>
      <w:r>
        <w:rPr>
          <w:rFonts w:ascii="Times New Roman" w:cs="Times New Roman" w:eastAsia="Times New Roman" w:hAnsi="Times New Roman"/>
          <w:sz w:val="18"/>
          <w:szCs w:val="18"/>
          <w:color w:val="auto"/>
        </w:rPr>
        <w:t>.) and impose a number of limitations on such interactions.</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state law equivalents of each of the above federal laws, such as anti-kickback and false claims laws, which may apply to items or services reimbursed by any third-party payer, including commercial insurers, many of which differ from each other in significant ways and often are not preempted by federal laws, thus complicating compliance efforts.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may be subject to data privacy and security regulation by both the federal government and the states in which we conduct our business. HIPAA, as amended by the Health Information Technology for Economic and Clinical Health Act (“</w:t>
      </w:r>
      <w:r>
        <w:rPr>
          <w:rFonts w:ascii="Times New Roman" w:cs="Times New Roman" w:eastAsia="Times New Roman" w:hAnsi="Times New Roman"/>
          <w:sz w:val="18"/>
          <w:szCs w:val="18"/>
          <w:b w:val="1"/>
          <w:bCs w:val="1"/>
          <w:i w:val="1"/>
          <w:iCs w:val="1"/>
          <w:color w:val="auto"/>
        </w:rPr>
        <w:t>HITECH</w:t>
      </w:r>
      <w:r>
        <w:rPr>
          <w:rFonts w:ascii="Times New Roman" w:cs="Times New Roman" w:eastAsia="Times New Roman" w:hAnsi="Times New Roman"/>
          <w:sz w:val="18"/>
          <w:szCs w:val="18"/>
          <w:color w:val="auto"/>
        </w:rPr>
        <w:t>”) and its implementing regulations, imposes certain requirements relating to the privacy, security and transmission of protected health information. Among other things, HITECH made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Regulation (Japan)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2021, MIMEDX received regulatory approval from the Japanese Ministry of Health, Labour and Welfare (JMHLW) to market EPIFIX in Japan. Under JMHLW guidelines, EPIFIX is classified as a Class IV Medical Device and “Specified Biological Product” and is approved for the treatment of refractory ulcers, such as DFUs and VLUs that do not respond to conventional therapy. As a condition of the final approval, MIMEDX will conduct post-market surveillance, consisting of a limited study of over 75 participants. The JMHLW has the ultimate responsibility of granting final approval on all Class III and IV Medical Devices and “Specified Biological Products.” All approved products in Japan, including EPIFIX, are regulated by the Pharmaceuticals and Medical Devices Agency (“</w:t>
      </w:r>
      <w:r>
        <w:rPr>
          <w:rFonts w:ascii="Times New Roman" w:cs="Times New Roman" w:eastAsia="Times New Roman" w:hAnsi="Times New Roman"/>
          <w:sz w:val="18"/>
          <w:szCs w:val="18"/>
          <w:b w:val="1"/>
          <w:bCs w:val="1"/>
          <w:i w:val="1"/>
          <w:iCs w:val="1"/>
          <w:color w:val="auto"/>
        </w:rPr>
        <w:t>PMDA</w:t>
      </w:r>
      <w:r>
        <w:rPr>
          <w:rFonts w:ascii="Times New Roman" w:cs="Times New Roman" w:eastAsia="Times New Roman" w:hAnsi="Times New Roman"/>
          <w:sz w:val="18"/>
          <w:szCs w:val="18"/>
          <w:color w:val="auto"/>
        </w:rPr>
        <w:t>”), which acts as the technical arm of the JMHLW. The PMDA serves in a similar function as the FDA in the United States, and is responsible for ensuring the safety, efficacy, and quality of pharmaceuticals and medical devices in Japan. The PMDA provides review and approval of medical devices, QMS/GLP/GCP inspections, and collection and analysis of adverse event reports.</w:t>
      </w:r>
    </w:p>
    <w:p>
      <w:pPr>
        <w:spacing w:after="0" w:line="1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MIMEDX also secured reimbursement approval from JMHLW in September 2022 with an awarded rate of 35,100 Yen/cm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and subsequently entered into an exclusive distribution agreement with Gunze Medical for sales of EPIFIX in Japan. Insurance coverage for EPIFIX will provide doctors and patients in Japan with new treatment options and optimal wound care.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research and development group has extensive experience in developing products for our target markets, and works to design products that are intended to improve patient outcomes, simplify techniques, shorten procedures, reduce hospitalization and rehabilitation times and, as a result, reduce costs. Our research and development group also works to establish scientific evidence in support of the use of our products. Clinical trials that demonstrate the safety, efficacy and cost effectiveness of our products are key to obtaining broader third-party reimbursement for our products. In addition to our internal staff, we contract with outside laboratories and physicians who aid us in our research and development process. See Part II, Item 7, below, for information regarding expenditures for research and development in each of the last three fiscal years.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&amp; Governance Matters (“ESG”)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MIMEDX, we are committed to improving people’s health and lives through innovation that makes healing possible. Our product offering is derived from donated human placental and umbilical cord tissue, which are processed into products used by health professionals to treat patients suffering from both acute and chronic hard-to-heal wounds. We are continuously looking to expand the breadth of our product offering, further leveraging birth tissue that would otherwise become medical waste, and have a product pipeline that includes innovations for wound and surgical end markets. Our Core Values define how we lead the field with rigorous science, help clinicians elevate the standard of care, provide a safe and healthy environment for our employees, and work and grow as a company.</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 effort to deliver long-term value to all of our stakeholders, we incorporate environmental, social, and governance (ESG) objectives that are relevant to our business. These ESG objectives are informed by a combination of feedback from our stakeholders as well as leading ESG frameworks, such as the Sustainability Accounting Standards Board (SASB) Medical Equipment &amp; Supplies standards, under the oversight of our Board of Directors.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Stewardship is a Core Value at MIMEDX. We are stewards of a precious, life-protecting and life-giving resource – human birth tissue – which currently represent the biological source material for all of our products. Without our placental donation and recovery program, this material would most likely be discarded as medical waste at the hospital. We do not produce a significant amount of emissions from our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Management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8" w:name="page19"/>
    <w:bookmarkEnd w:id="18"/>
    <w:p>
      <w:pPr>
        <w:ind w:right="20"/>
        <w:spacing w:after="0" w:line="282" w:lineRule="auto"/>
        <w:rPr>
          <w:sz w:val="20"/>
          <w:szCs w:val="20"/>
          <w:color w:val="auto"/>
        </w:rPr>
      </w:pPr>
      <w:r>
        <w:rPr>
          <w:rFonts w:ascii="Times New Roman" w:cs="Times New Roman" w:eastAsia="Times New Roman" w:hAnsi="Times New Roman"/>
          <w:sz w:val="18"/>
          <w:szCs w:val="18"/>
          <w:color w:val="auto"/>
        </w:rPr>
        <w:t>We recently worked with a third-party to conduct an environmental, health, and safety gap assessment in order to accurately benchmark our environmental impact. The review looked at several areas including:</w:t>
      </w:r>
    </w:p>
    <w:p>
      <w:pPr>
        <w:spacing w:after="0" w:line="9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Pollution Control Management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 Handling and Disposal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Right-to-Know (Hazardous Material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Waste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SARA Title III (Release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Waste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Spill, Prevention, Control and Countermeasure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Pollutant Discharge Elimination System (SPDES)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Storm Water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Waste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Oil Management</w:t>
      </w:r>
    </w:p>
    <w:p>
      <w:pPr>
        <w:spacing w:after="0" w:line="139" w:lineRule="exact"/>
        <w:rPr>
          <w:sz w:val="20"/>
          <w:szCs w:val="20"/>
          <w:color w:val="auto"/>
        </w:rPr>
      </w:pPr>
    </w:p>
    <w:p>
      <w:pPr>
        <w:ind w:right="460"/>
        <w:spacing w:after="0" w:line="414" w:lineRule="auto"/>
        <w:rPr>
          <w:sz w:val="20"/>
          <w:szCs w:val="20"/>
          <w:color w:val="auto"/>
        </w:rPr>
      </w:pPr>
      <w:r>
        <w:rPr>
          <w:rFonts w:ascii="Times New Roman" w:cs="Times New Roman" w:eastAsia="Times New Roman" w:hAnsi="Times New Roman"/>
          <w:sz w:val="18"/>
          <w:szCs w:val="18"/>
          <w:color w:val="auto"/>
        </w:rPr>
        <w:t xml:space="preserve">We are evaluating the results of this exercise in order to consider implementation of measures in support of our Environmental Management program. </w:t>
      </w:r>
      <w:r>
        <w:rPr>
          <w:rFonts w:ascii="Times New Roman" w:cs="Times New Roman" w:eastAsia="Times New Roman" w:hAnsi="Times New Roman"/>
          <w:sz w:val="18"/>
          <w:szCs w:val="18"/>
          <w:u w:val="single" w:color="auto"/>
          <w:color w:val="auto"/>
        </w:rPr>
        <w:t>Waste Management</w:t>
      </w:r>
    </w:p>
    <w:p>
      <w:pPr>
        <w:spacing w:after="0" w:line="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work with waste removal providers to responsibly dispose of medical waste and biohazardous waste and have a program in place for the management of all medical and biohazardous waste processed in our facilities. In addition, we follow applicable packaging requirements for regulated medical waste, and conduct regular required training for all employees responsible for packaging medical waste for shipment. Our waste management initiatives also include the shredding and recycling of paper waste from our facilities, our transition to digital systems where possible to reduce print waste, and the distribution of electronic tablets to our sales teams to minimize printing needs, shipping costs, and printed materials.</w:t>
      </w:r>
    </w:p>
    <w:p>
      <w:pPr>
        <w:spacing w:after="0" w:line="1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facilities management team collects recyclable and reusable material when possible, including for cardboard, plastics, batteries, fluorescent lamps, and ballasts. We have significantly reduced the use of plastic and aluminum materials with the installation of filtered water and soda machines within our facilities. The packaging of our product cartons is recyclable and, since 2015, has been reduced in size by 50%.</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we had 895 full time employees. Generally, we consider our relationships with our employees to be good, and none of our employees are covered by a collective bargaining agreement. We conduct regular surveys of employees to monitor engagement levels and act on feedback received through this process.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Diversity and Inclusion</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MIMEDX values the diversity of perspective, experience, and background within our Company. We have stated goals to promote diversity, inclusion, and equal opportunity regardless of race, gender, nationality, ethnic origin, religion, age, or sexual orientation. Intimidation or harassment of any kind are not acceptable in our workplace.</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business requires a workforce with a wide range backgrounds, experiences, skills, and knowledge and a culture that blends this diversity into an effective team. In order for our employees to do their best work, and for us to achieve our mission, everyone at MIMEDX must feel respected, valued, and included. Comprised of employees across the Company, our Inclusion and Diversity Council reviews programs created to support best practices for our work environment challenges, champion diversity, and provide an intentional link for each employee to the company values and goals.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an overview of MIMEDX’s diversity as of December 31, 2023:</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Board of Directors</w:t>
            </w:r>
          </w:p>
        </w:tc>
        <w:tc>
          <w:tcPr>
            <w:tcW w:w="90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Women and minorities hold one-third of the seats on our Board, including the Chair of the Board.</w:t>
            </w:r>
          </w:p>
        </w:tc>
      </w:tr>
      <w:tr>
        <w:trPr>
          <w:trHeight w:val="178"/>
        </w:trPr>
        <w:tc>
          <w:tcPr>
            <w:tcW w:w="2260" w:type="dxa"/>
            <w:vAlign w:val="bottom"/>
            <w:tcBorders>
              <w:left w:val="single" w:sz="8" w:color="auto"/>
              <w:right w:val="single" w:sz="8" w:color="auto"/>
            </w:tcBorders>
          </w:tcPr>
          <w:p>
            <w:pPr>
              <w:spacing w:after="0"/>
              <w:rPr>
                <w:sz w:val="15"/>
                <w:szCs w:val="15"/>
                <w:color w:val="auto"/>
              </w:rPr>
            </w:pPr>
          </w:p>
        </w:tc>
        <w:tc>
          <w:tcPr>
            <w:tcW w:w="900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Women represented 56% of our workforce.</w:t>
            </w:r>
          </w:p>
        </w:tc>
      </w:tr>
      <w:tr>
        <w:trPr>
          <w:trHeight w:val="234"/>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Employee Gender Diversity</w:t>
            </w:r>
          </w:p>
        </w:tc>
        <w:tc>
          <w:tcPr>
            <w:tcW w:w="9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Women represented 55% of our new hires in 2023.</w:t>
            </w:r>
          </w:p>
        </w:tc>
      </w:tr>
      <w:tr>
        <w:trPr>
          <w:trHeight w:val="178"/>
        </w:trPr>
        <w:tc>
          <w:tcPr>
            <w:tcW w:w="226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Employee Ethnic/Racial</w:t>
            </w:r>
          </w:p>
        </w:tc>
        <w:tc>
          <w:tcPr>
            <w:tcW w:w="900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Black or African American: 25%</w:t>
            </w:r>
          </w:p>
        </w:tc>
      </w:tr>
      <w:tr>
        <w:trPr>
          <w:trHeight w:val="180"/>
        </w:trPr>
        <w:tc>
          <w:tcPr>
            <w:tcW w:w="226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Diversity</w:t>
            </w:r>
          </w:p>
        </w:tc>
        <w:tc>
          <w:tcPr>
            <w:tcW w:w="90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Hispanic or Latino: 9%</w:t>
            </w:r>
          </w:p>
        </w:tc>
      </w:tr>
      <w:tr>
        <w:trPr>
          <w:trHeight w:val="229"/>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Non-White (including American Indian, Alaskan Native, Asian, Native Hawaiian, or Other Pacific Islander): 9%</w:t>
            </w:r>
          </w:p>
        </w:tc>
      </w:tr>
      <w:tr>
        <w:trPr>
          <w:trHeight w:val="479"/>
        </w:trPr>
        <w:tc>
          <w:tcPr>
            <w:tcW w:w="11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Recruiting, Retaining, and Engaging Talent</w:t>
            </w:r>
          </w:p>
        </w:tc>
      </w:tr>
      <w:tr>
        <w:trPr>
          <w:trHeight w:val="743"/>
        </w:trPr>
        <w:tc>
          <w:tcPr>
            <w:tcW w:w="2260" w:type="dxa"/>
            <w:vAlign w:val="bottom"/>
          </w:tcPr>
          <w:p>
            <w:pPr>
              <w:spacing w:after="0"/>
              <w:rPr>
                <w:sz w:val="24"/>
                <w:szCs w:val="24"/>
                <w:color w:val="auto"/>
              </w:rPr>
            </w:pPr>
          </w:p>
        </w:tc>
        <w:tc>
          <w:tcPr>
            <w:tcW w:w="90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19</w:t>
            </w:r>
          </w:p>
        </w:tc>
      </w:tr>
      <w:tr>
        <w:trPr>
          <w:trHeight w:val="290"/>
        </w:trPr>
        <w:tc>
          <w:tcPr>
            <w:tcW w:w="226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66" w:right="31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Talent is our greatest asset and we are dependent on being able to recruit, develop, and retain talent that share our Core Values. We use tools, such as an interview guide and a process reviewed by our Inclusion and Diversity Council, designed to prevent us from bias in our hiring decisions. We are currently in compliance with affirmative action reporting. As part of our Affirmative Action Plan, we leverage targeted outreach in our hiring process to ensure our postings reach underrepresented groups.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focused on retaining our talented professionals who we believe are key to the Company’s success. Our human resource group continuously monitors and benchmarks employee turnover and other trends in our industry and on a regional level to ensure MIMEDX is competitive and responsive to changes in the broader marketplace. Combining this data with feedback from exit interviews in any instances of voluntary employee turnover, we are able to use these actionable insights to improve employee engagement, provide opportunities for career development, evolve our total rewards offering and evaluate implementation of additional resources to enhance the employee experience at MIMEDX.</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all full-time employees a comprehensive benefits package, including:</w:t>
      </w:r>
    </w:p>
    <w:p>
      <w:pPr>
        <w:spacing w:after="0" w:line="15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coverage, including Medical, Dental, Vision insurance, a wellness incentive program and virtual and text-based healthcare</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Parental and Caregiver leave</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Assistance Program</w:t>
      </w: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company holidays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plan, including Employer match</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 opportunity.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business began on February 8, 2008 when Alynx, Co., our predecessor company, acquired MiMedx, Inc., a development-stage medical device company, the assets of which included licenses to two development-stage medical device technology platforms which we do not currently market. On March 31, 2008, Alynx, Co. merged into MiMedx Group, Inc., a Florida corporation and wholly-owned subsidiary that had been formed for purposes of the merger, with MiMedx Group, Inc. as the surviving corporation in the merger. In January 2011, we acquired all of the outstanding equity interests of Surgical Biologics, LLC (n/k/a MiMedx Tissue Services, LLC).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file proxy statements, annual reports on Form 10-K, quarterly reports on Form 10-Q and current reports on Form 8-K with the SEC. The SEC maintains an internet site, www.sec.gov, where these reports are available free of charge. We also make these reports available free of charge on our website, www.mimedx.com, under the heading “</w:t>
      </w:r>
      <w:r>
        <w:rPr>
          <w:rFonts w:ascii="Times New Roman" w:cs="Times New Roman" w:eastAsia="Times New Roman" w:hAnsi="Times New Roman"/>
          <w:sz w:val="18"/>
          <w:szCs w:val="18"/>
          <w:i w:val="1"/>
          <w:iCs w:val="1"/>
          <w:color w:val="auto"/>
        </w:rPr>
        <w:t>Investors–SEC Filings</w:t>
      </w:r>
      <w:r>
        <w:rPr>
          <w:rFonts w:ascii="Times New Roman" w:cs="Times New Roman" w:eastAsia="Times New Roman" w:hAnsi="Times New Roman"/>
          <w:sz w:val="18"/>
          <w:szCs w:val="18"/>
          <w:color w:val="auto"/>
        </w:rPr>
        <w:t>.” In addition, our Audit Committee, Compensation Committee, Ethics and Compliance Committee, and Nominating and Corporate Governance Committee Charters as well as our Code of Business Conduct and Ethics, are on our website under the heading “</w:t>
      </w:r>
      <w:r>
        <w:rPr>
          <w:rFonts w:ascii="Times New Roman" w:cs="Times New Roman" w:eastAsia="Times New Roman" w:hAnsi="Times New Roman"/>
          <w:sz w:val="18"/>
          <w:szCs w:val="18"/>
          <w:i w:val="1"/>
          <w:iCs w:val="1"/>
          <w:color w:val="auto"/>
        </w:rPr>
        <w:t>Investors–Corporate Governance</w:t>
      </w:r>
      <w:r>
        <w:rPr>
          <w:rFonts w:ascii="Times New Roman" w:cs="Times New Roman" w:eastAsia="Times New Roman" w:hAnsi="Times New Roman"/>
          <w:sz w:val="18"/>
          <w:szCs w:val="18"/>
          <w:color w:val="auto"/>
        </w:rPr>
        <w:t>.” The reference to our website does not constitute incorporation by reference of any information contained on that site.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investment in our Common Stock involves a substantial risk of loss. Set forth below is a summary of the risks and uncertainties affecting our business that we currently believe to be material. We caution you to read the following risk factors, which have affected, and/or in the future could affect, our business, prospects, operating results, and financial condition. Additional risks and uncertainties not currently known to us or that we currently deem immaterial may also affect our business, prospects, operating results, and financial condition. Additional risks and uncertainties are described under other captions in this report and should also be considered by our stockholders. If any of these risks materialize, our business, financial condition or operating results could suffer. In this case, the trading price of our Common Stock could decline, and you may lose part or all of your investment.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execute our priorities, our business, operating results and financial condition could be adversely affected.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priorities in our Wound &amp; Surgical business are to address large, underpenetrated market opportunities, domestically and internationally, including by launching new organic or inorganic products. We intend to implement and maintain rigorous quality standards throughout our entire supply chain and continue to advance the scientific body of evidence substantiating clinical efficacy, economic viability and the underlying mechanism of action for our PURION processed placental tissue platform through additional peer-reviewed publications, rigorous scientific research and clinical studies.</w:t>
      </w:r>
    </w:p>
    <w:p>
      <w:pPr>
        <w:spacing w:after="0" w:line="11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sought and may continue to seek capital to implement our priorities. In developing our priorities, we evaluated many factors including, without limitation, those related to developments in our industry, customer demand, competition, regulatory developments, and general economic conditions. Actual conditions may be different from our assumptions, and we may not be able to successfully execute our priorities. If we do not successfully execute our priorities, or if actual results vary significantly from our assumptions, our business, operating results and financial condition could be adversely impacted.</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a highly competitive and evolving field and face competition from well-established tissue processors and medical device manufacturers, as well as new market entrants.</w:t>
      </w:r>
    </w:p>
    <w:p>
      <w:pPr>
        <w:spacing w:after="0" w:line="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business is in a very competitive and evolving field. Competition from other tissue processors, medical device companies, and biotherapeutic companies, and from research and academic institutions, is intense, expected to increase and subject to rapid change and could be significantly affected by new product introductions as well as changes in reimbursement that could favor certain products and competitors over others. Established competitors and newer market entrants are investing in additional clinical research that may allow them to gain further clinician usage, adoption and payer coverage of their products. In addition, consolidation and cost containment measures in the healthcare industry may cause hospitals to consolidate their purchases with suppliers that have a broad portfolio of products. This would continue to give rise to demands for price concessions, which could have an adverse effect on our business, results of operations and financial condition. Further, competitors may introduce placental-based membrane products in the future at lower prices, adding new features or gaining additional reimbursement coverage, or utilize sales and marketing practices that negatively impact the industry. Further, they may copy our products outside the United States. The presence of this competition may lead to pricing pressure, which could have an adverse effect on our business, results of operations and financial condition.</w:t>
      </w:r>
    </w:p>
    <w:p>
      <w:pPr>
        <w:spacing w:after="0" w:line="229"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Rapid technological change could cause our products to become obsolete and, if we do not enhance our product offerings through our research and development efforts or business development and inorganic activities, we may be unable to compete effectively.</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technologies underlying our products are subject to rapid technological change. Competition intensifies as technical advances in each field are made and become more widely known. Others may develop services, products or processes with significant advantages over the products, services and processes that we offer or are seeking to develop. Any such occurrence could have an adverse effect on our business, results of operations and financial condition.</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plan to enhance and broaden our product offerings as part of a strategy that involves responding to changing customer demands and competitive pressure and technologies, among other factors. The success of any new product offering or enhancement to an existing product will depend on numerous factors, including our ability to:</w:t>
      </w:r>
    </w:p>
    <w:p>
      <w:pPr>
        <w:spacing w:after="0" w:line="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physician and patient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through licensing, co-development or outright purchase, new technology developed outside of MIMEDX;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or product enhancements in a timely manner;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safety and efficacy of new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for new products or product enhancements.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If we do not develop and, when necessary, obtain regulatory clearance or approval for new products or product enhancements in time to meet market demand, or if there is insufficient demand for these products or enhancements, our results of operations and financial condition will suffer. Our research and development efforts may require a substantial investment of time and resources, including additional capital,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or they may never receive required regulatory approval and they may be quickly rendered obsolete by changing customer preferences or the introduction by our competitors of products embodying new technologies or features.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depend on the availability of tissue from human donors, and any disruption in supply could adversely affect our business.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our human tissue products depends upon, among other factors, the availability of tissue from human donors. Any failure to obtain tissue from our sources will interfere with our ability to effectively meet demand for our products incorporating human tissue. The availability of donated tissue could also be adversely impacted by regulatory changes, public opinion of the donor process and our own reputation in the industry. We may not be successful in our ability to scale tissue recovery efforts to meet the potential future demand of our pipeline. Obtaining adequate supplies of human tissue involves several risks, including limited control over availability (due to for example, access to hospital accounts and the number of consenting mothers), quality, delivery schedules, and eligibility requirements. In addition, any interruption in the supply of any human tissue component could harm our ability to manufacture our products until a new source of supply, if any, could be found. We also utilize third-party providers of placental donations on an as-needed basis to mitigate risks but there can be no assurance that these third parties will be able to provide donated tissues at all times. We may be unable to find a sufficient alternative supply channel in a reasonable time period or on commercially reasonable terms, if at all, which would have an adverse effect on our business, results of operations and financial condition.</w:t>
      </w:r>
    </w:p>
    <w:p>
      <w:pPr>
        <w:spacing w:after="0" w:line="1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leadership team and may not be able to retain or replace these employees or recruit additional qualified personnel, which would harm our business, results of operations and financial condition.</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success are materially dependent on attracting and retaining members of our senior leadership team to formulate and execute the Company’s business plans. Since June 2018, we have made significant changes to our senior leadership team, and hired several new senior leaders, including our CEO and CFO in 2023.</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Leadership changes can be inherently difficult to manage and may cause material disruption to our business or management team. Changes in senior management could also lead to an environment that presents additional challenges in recruiting and retaining employees, which could have an adverse effect on our business, results of operations and financial condition.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will also depend, in part, upon our ability to attract and retain skilled personnel, including sales, managerial and technical personnel. There can be no assurance that we will be able to continue to find and attract additional qualified employees to support our expected growth or retain any such personnel.</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depend on adequate reimbursement from public and private insurers and health systems and changes to the ways in which our products are reimbursed in various sites of service could adversely impact our financial results.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on the extent to which our customers receive adequate reimbursement for the costs of our products and related treatments from third-party payers, including government healthcare programs, such as Medicare and Medicaid, as well as private insurers and health systems. Government and other third-party payers attempt to contain healthcare costs by limiting both coverage and the level of reimbursement of medical products, particularly new products. Therefore, significant uncertainty may exist as to the reimbursement status of new healthcare products by third-party payers. Although EPIFIX and EPICORD have coverage with the majority of large payers, a significant number of public and private insurers currently do not cover or reimburse our other products.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reimbursement landscape for our products varies depending upon the site in which the products are administered. If we are not successful in obtaining adequate coverage and reimbursement for our products from these third-party payers in one or more of the sites of service where our products are used, it could have an adverse effect on market acceptance of our products. Inadequate reimbursement levels would likely also create downward price pressure on our products. Even if we do succeed in obtaining widespread coverage and reimbursement rates or policies for our products, future changes in coverage or reimbursement rates or policies could have a negative impact on our business, financial condition and results of operations.</w:t>
      </w:r>
    </w:p>
    <w:p>
      <w:pPr>
        <w:spacing w:after="0" w:line="10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Further, we have experienced some reluctance by payers to cover our products under certain circumstances, including for applications other than those for which we have published clinical efficacy data. Since 2022, several wide-ranging proposals have been published for public comment, including relating to payment methodology within the physician office, with potential to change how CMS reimburses for skin substitute products at a national level. At a regional level, three Medicare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2" w:name="page23"/>
    <w:bookmarkEnd w:id="22"/>
    <w:p>
      <w:pPr>
        <w:ind w:right="80"/>
        <w:spacing w:after="0" w:line="242" w:lineRule="auto"/>
        <w:rPr>
          <w:sz w:val="20"/>
          <w:szCs w:val="20"/>
          <w:color w:val="auto"/>
        </w:rPr>
      </w:pPr>
      <w:r>
        <w:rPr>
          <w:rFonts w:ascii="Times New Roman" w:cs="Times New Roman" w:eastAsia="Times New Roman" w:hAnsi="Times New Roman"/>
          <w:sz w:val="18"/>
          <w:szCs w:val="18"/>
          <w:color w:val="auto"/>
        </w:rPr>
        <w:t>Administrative Contractors (MACs) signaled their intent to change coverage guidance by moving Local Coverage Determinations (LCDs) through the process. While these were ultimately withdrawn, the same MACs signaled their intent to revisit the issue. If the national reimbursement proposals were to be adopted, it would significantly change Medicare policies governing the reimbursement of skin substitute products principally when used for wound treatment in the private physician office setting. If MACs proceed to change coverage policies, this could significantly change guidance within the affected regions.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coverage and reimbursement environment as described above could result in declines in our revenue that would adversely affect our business, financial condition and results of operation.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results of operations and cash flows may suffer upon the loss of a Group Purchasing Organization or Integrated Delivery Network.</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with many manufacturers in the healthcare space, the Company contracts with Group Purchasing Organizations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GPOs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Integrated Delivery Networks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IDNs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establish contracted pricing and terms and conditions for the members of GPOs and IDNs. Approximately 79% of our sales in the year ended December 31, 2023 came from customers that are members of our primary GPOs or IDNs.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agreements with GPOs and IDNs allow us to sell our products efficiently to large groups of customers. Our agreements with GPOs and IDNs typically provide their members with favorable ordering terms and conditions and access to favorable product pricing. These customers purchase our product through GPO and IDN arrangements in part because of the favorable pricing and terms and conditions. If our agreement with any GPO or IDN is terminated or expires without being extended, renewed or renegotiated, this could adversely affect our revenue, results of operations and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contract with and are dependent upon independent sales agents and distributors.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approximately 24% of our sales were through our relationships with independent agents, and we also use a small number of distributors, primarily outside the United States, and may use more in the future. Sales agents act directly on behalf of MIMEDX to arrange sales, while distributors take title to product and may set their own prices.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relationships with our independent sales agents were terminated for any reason, it could materially and adversely affect our revenues and profits. Because the independent agent often controls the customer relationships within its territory, there is a risk that if our relationship with the agent ends, our relationship with the customer will be lost.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our agents and distributors are not employees, there is a risk we will be unable to ensure that our sales processes, compliance safeguards, and related policies will be adhered to despite our communication and training of agents and distributors regarding these requirements. Furthermore, if we fail to maintain relationships with our key independent agents, or fail to ensure that our independent agents adhere to our sales processes, compliance safeguards and related policies, there could be an adverse effect on our business, results of operations, and financial condition.</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obtain the assistance of additional distributors and independent sales representatives to sell products in certain sales channels, particularly in territories and fields where agents are commonly used. Our success is partially dependent upon our ability to train, retain and motivate our independent sales agencies, distributors, and their representatives to appropriately and compliantly sell our products in certain territories or fields. They may not be successful in implementing our marketing plans or compliance safeguards. Some of our independent sales agencies and distributors do not sell our products exclusively and may offer similar products from other companies. Our independent sales agencies and distributors may terminate their contracts with us, may devote insufficient sales efforts to our products or may focus their sales efforts on other products that produce greater commissions for them, which could have an adverse effect on our business, results of operations and financial condition. We also may not be able to find additional independent sales agencies and distributors who will agree to appropriately and compliantly market or distribute our products on commercially reasonable terms, if at all. If we are unable to establish new independent sales representative and distribution relationships or renew current sales agency and distribution agreements on commercially acceptable terms, our business, financial condition, and results of operations could be materially and adversely affected.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of our processing facilities could adversely affect our business, financial condition and results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depends upon the continued operation of our processing facilities in Marietta, Georgia and Kennesaw, Georgia. Risks that could impact our ability to use these facilities include the occurrence of natural and other disasters, the outbreak of pandemics, and the need to comply with the requirements of directives from government agencies, including the FDA. Either of our two processing facilities can serve as a redundant processing facility for most of our products in the event the other facility experiences a disaster event. However, if our processing facilities were to become unavailable, this could have a material adverse effect on our business, financial condition and results of operations during the period of such unavailability.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be commercially successful, we must educate physicians, where appropriate, how and when our products are proper alternatives to existing treatments and that our products should be used in their procedures.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physicians will only use our products if they determine, based on their independent medical judgment and experience, clinical data, and published peer reviewed journal articles, that the use of our products in a particular procedure is a favorable alternative to other treatments. Physicians may be hesitant to change their existing medical treatment practices for the following reasons, among others:</w:t>
      </w:r>
    </w:p>
    <w:p>
      <w:pPr>
        <w:spacing w:after="0" w:line="20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lack of experience with advanced therapeutics, such as our placenta-based allografts;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additional patient benefits of advanced therapeutics, such as our placenta-based allografts, over conventional methods in certain therapeutic applications;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risks generally associated with the use of new products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reimbursement from third-party payers;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favorable reimbursement for other market-available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that must be dedicated to physician training in the use of our products.</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address quality issues that may arise with our products, our brand reputation could suffer, and our business, financial condition, and results of operations could be adversely impacted.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course of conducting our business, we must adequately address quality issues that may arise with our products, as well as defects in third-party components included in our products, as any quality issues or defects may negatively impact physician use of our products. Although we have established internal procedures to minimize risks that may arise from quality issues, we may not be able to eliminate or mitigate occurrences of these issues and associated liabilities. If the quality of our products does not meet the expectations of physicians or patients, then our brand reputation could suffer and our business could be adversely impacted. We must also ensure any promotional claims made for our products comport with government regulations.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formation of physician-owned distributorships (“PODs”) could result in increased pricing pressure on our products or harm our ability to sell our products to physicians who own or are affiliated with those distributorships.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PODs are medical product distributors that are owned, directly or indirectly, by physicians. These physicians derive a proportion of their revenue from selling or arranging for the sale of medical products for use in procedures they perform on their own patients at hospitals that agree to purchase from or through the POD, or that otherwise furnish ordering physicians with income that is based directly or indirectly on those orders of medical products. The Office of Inspector General (“</w:t>
      </w:r>
      <w:r>
        <w:rPr>
          <w:rFonts w:ascii="Times New Roman" w:cs="Times New Roman" w:eastAsia="Times New Roman" w:hAnsi="Times New Roman"/>
          <w:sz w:val="18"/>
          <w:szCs w:val="18"/>
          <w:b w:val="1"/>
          <w:bCs w:val="1"/>
          <w:i w:val="1"/>
          <w:iCs w:val="1"/>
          <w:color w:val="auto"/>
        </w:rPr>
        <w:t>OIG</w:t>
      </w:r>
      <w:r>
        <w:rPr>
          <w:rFonts w:ascii="Times New Roman" w:cs="Times New Roman" w:eastAsia="Times New Roman" w:hAnsi="Times New Roman"/>
          <w:sz w:val="18"/>
          <w:szCs w:val="18"/>
          <w:color w:val="auto"/>
        </w:rPr>
        <w:t>”) of the Department of Health &amp; Human Services has issued a Special Fraud Alert on PODs, indicating that they are inherently suspect under the federal Anti-Kickback Statute.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strategy emphasizes selling directly to healthcare providers and, to a limited extent, through distributors. To our knowledge, we do not directly sell to or distribute any of our products through PODs. The number and strength of PODs in the industry may continue to grow as economic pressures increase throughout the industry and hospitals, insurers and physicians search for ways to reduce costs, and, in the case of the physicians, identify additional sources to increase their incomes. These companies and the physicians who own, or partially own, PODs may have significant market knowledge, access to and influence on the physicians who use our products and the hospitals that purchase our products, and we may not be able to compete effectively for business from physicians who own PODs.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and may not be able to obtain or maintain adequate product liability insurance.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had a low product complaint and adverse event rate historically, our business exposes us to the risk of product liability claims that are inherent in the manufacturing, processing and marketing of human tissue products. We may be subject to such claims if our products cause, or appear to have caused, an injury. Claims may be made by patients, healthcare providers or others selling our products. Product liability claims can be expensive to defend (regardless of merit), divert our management’s attention, result in substantial damage awards against us, harm our reputation, and generate adverse publicity, which could result in the withdrawal of, or reduced acceptance of, our products in the market.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product liability insurance that we believe is adequate, this insurance is subject to deductibles and coverage limitations, and we may not be able to maintain this insurance at an acceptable cost or on acceptable terms or be able to secure increased coverage (if needed), nor can we be sure that existing or future claims against us will be covered by our product liability insurance. Moreover, the existing coverage of our insurance or any rights of indemnification and contribution that we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may have may not be sufficient to offset existing or future claims. If we are unable to maintain product liability insurance at an acceptable cost or on acceptable terms with adequate coverage or otherwise protect ourselves against potential product liability claims or we underestimate the amount of insurance we need, we could be exposed to significant liabilities, which may harm our business. A product liability claim or other claim with respect to uninsured liabilities or for amounts in excess of insured liabilities could result in significant costs and significant harm to our business. Even if a claim is not successful, defending such claim would be time-consuming and expensive, may damage our reputation in the marketplace, and would likely divert our management’s attention.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products we process are derived from human tissue and therefore have the potential for disease transmission.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utilization of human tissue creates the potential for transmission of communicable disease, including, without limitation, human immunodeficiency virus, viral hepatitis, syphilis and other viral, fungal or bacterial pathogens. We are required to comply with federal and state regulations intended to prevent communicable disease transmission.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strict quality controls designed in accordance with CGTP to ensure the safe procurement and processing of our tissue, including terminal sterilization of our products. These controls are intended to prevent the transmission of communicable disease. However, risks exist with any human tissue implantation. Also, negative publicity concerning disease transmission from other companies’ improperly processed donated tissue could have a negative impact on the demand for our products and adversely affect our business, financial condition and results of operations.</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implement a product recall or voluntary market withdrawal, which could significantly increase our costs, damage our reputation, disrupt our business and adversely affect our business, results of operations and financial condition.</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processing and marketing of our tissue products involves an inherent risk that our tissue products or processes may not meet applicable quality standards and requirements. In the event that one or more of our products experiences a failure to meet such standards and requirements, we may voluntarily implement a recall or market withdrawal or may be required to do so by a regulatory authority.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recall or market withdrawal of one of our products could be costly and may divert management resources. A recall or withdrawal of one of our products, or a similar product processed by another entity, also could impair sales of our products as a result of confusion concerning the scope of the recall or withdrawal, or as a result of the damage to our reputation for quality and safety.</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cyberattack or significant disruptions of our information technology systems could adversely affect our business, results of operation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cyberattack, a disruption in availability, or the unauthorized alteration of systems or data could adversely affect our business, results of operations and financial condition. We rely on technology for day-to-day operations as well as positioning to enhance our stance in the market. We generate intellectual property that is central to the future success of the business and transmit large amounts of confidential information. Additionally, we collect, store and transmit confidential information of customers, patients, employees and third parties. We also have outsourced significant elements of our operations to third parties, including significant elements of our information technology infrastructure, and, as a result, we are managing many independent vendor relationships with third parties who may or could have access to our confidential information. The continually changing threat landscape of cybersecurity today makes our systems potentially vulnerable to service interruptions or to security breaches from inadvertent or intentional actions by our employees, partners, and vendors, and from attacks by malicious third parties, including supply chain attacks originating at our third-party partners. Such attacks are of ever-increasing levels of sophistication. Attacks are made by individuals or groups that have varying levels of expertise, some of which are technologically advanced and well-funded including, without limitation, nation states, organized criminal groups and hacktivists organizations.</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ensure protection of our information, we have invested in cybersecurity and have implemented processes and procedural controls to maintain the confidentiality and integrity of such information. We measure these controls and their success through a cybersecurity framework that is based on industry standards. While we have invested in the protection of our data and technology, there can be no guarantees that our efforts will prevent all service interruptions or security breaches. Any such interruption or breach of our systems could adversely affect our business operations and result in the loss of critical or sensitive confidential information or intellectual property, and could result in financial, legal and reputational harm to our business, including legal claims and proceedings, liability under laws that protect the privacy of personal information, government enforcement actions and regulatory penalties, as well as remediation costs. We also maintain cyber liability insurance. However, this insurance may not be sufficient to cover the financial, legal or reputational losses that may result from an interruption or breach of our systems.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5" w:name="page26"/>
    <w:bookmarkEnd w:id="25"/>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or contract our business through acquisitions, divestitures, licenses, investments, and other commercial arrangements with other companies or technologies, which may adversely affect our business, results of operations and financial condition.</w:t>
      </w:r>
    </w:p>
    <w:p>
      <w:pPr>
        <w:spacing w:after="0" w:line="78"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18"/>
          <w:szCs w:val="18"/>
          <w:color w:val="auto"/>
        </w:rPr>
        <w:t>We periodically evaluate opportunities to acquire companies or divest divisions, technologies, products, and rights through licenses, distribution agreements, investments, and outright acquisitions to grow our business. In connection with one or more of those transactions, we may, subject to the requirements and limitations set forth in our Citizens Credit Agreement (as defined below in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MD&amp;A</w:t>
      </w:r>
      <w:r>
        <w:rPr>
          <w:rFonts w:ascii="Times New Roman" w:cs="Times New Roman" w:eastAsia="Times New Roman" w:hAnsi="Times New Roman"/>
          <w:sz w:val="18"/>
          <w:szCs w:val="18"/>
          <w:color w:val="auto"/>
        </w:rPr>
        <w:t>”), Liquidity and Capital Resources):</w:t>
      </w:r>
    </w:p>
    <w:p>
      <w:pPr>
        <w:spacing w:after="0" w:line="22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 or license existing products or technology;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that could have terms unfavorable to us or that we might be unable to repay;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 the transaction in a manner that has unfavorable tax consequences, such as a stock purchase that does not permit a step-up in the tax basis for the assets acquired;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realize the anticipated benefits, such as increased revenues, cost savings, or synergies from additional sales;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secure the services of key employees related to the transaction(s).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items could adversely affect our revenues, results of operations and financial condition. Business acquisitions also involve the risk of unknown liabilities associated with the acquired business, which could be material. Incurring unknown liabilities or the failure to realize the anticipated benefits of any transaction could adversely affect our business if we are unable to recover our initial investment. Inability to recover our investment, or any write off of such investment, associated goodwill or assets could have an adverse effect on our business, results of operations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revenues and accounts receivable come from government accounts.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revenues are derived from sales, both direct and through a distributor, to the government. Any disruption of our products on the FSS or any change in the way the government purchases products like ours or the price it is willing to pay for our products could adversely affect our business, results of operations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or new products and services may subject us to additional risks.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implement or may acquire new lines of business or offer new products and services within existing lines of business. There are risks and uncertainties associated with these efforts, particularly in instances where the markets are not fully developed or are evolving. In developing and marketing new lines of business and new products and services, we may invest significant time and resources. External factors, such as regulatory compliance obligations, competitive alternatives, and shifting market preferences, may also impact the successful implementation of a new line of business or a new product or service. Failure to successfully manage these risks in the development and implementation of new lines of business or new products or services could have an adverse effect on our business, results of operations and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expansion and operations outside the U.S. expose us to risks associated with international sales and operations.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pursuing further expansion outside the U.S., including in Japan. Managing a global organization is difficult, time consuming and expensive. Our ability to conduct international operations is affected by many of the same risks we face in our U.S. operations, as well as unique costs and difficulties of managing international operations, including the relationships and operations of distributors we elect to work with in these markets. Adoption of our products in new geographic regions could take longer and cost more than we anticipate. Risks inherent in international operations also include, among others, potential adverse tax consequences, greater difficulty in enforcing intellectual property rights, risks associated with the Foreign Corrupt Practices Act and local anti-bribery law compliance, and other international regulations. These regulations may limit our ability to market, sell, distribute or otherwise transfer our products to prohibited countries or persons. International regulations may also limit what promotional claims we may make for our products.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these regulations and laws is costly, and failure to comply with applicable legal and regulatory obligations could adversely affect us in a variety of ways that include, without limitation,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These risks may limit or disrupt our expansion, restrict the movement of funds or result in the deprivation of contractual rights or the taking of property by nationalization or expropriation without fair compensation. Operating outside of the U.S. also requires significant management attention and financial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Products and Other Government Regulations</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The FDA has in the past determined, and may in the future determine, that certain of our products that are, or are derived from, human cells or tissues, do not qualify for regulation solely under Section 361 of the Public Health Service Act (“Section 361”), and may require that we revise our labeling and marketing claims for these products or that we suspend sales of such products until FDA pre-market clearance or approval is obtained, which could adversely affect our business, results of operations, and financial condition.</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The products we manufacture and process are derived from human tissue. Amniotic and other birth tissue have in the past generally been regulated as </w:t>
      </w:r>
      <w:r>
        <w:rPr>
          <w:rFonts w:ascii="Times New Roman" w:cs="Times New Roman" w:eastAsia="Times New Roman" w:hAnsi="Times New Roman"/>
          <w:sz w:val="18"/>
          <w:szCs w:val="18"/>
          <w:i w:val="1"/>
          <w:iCs w:val="1"/>
          <w:color w:val="auto"/>
        </w:rPr>
        <w:t xml:space="preserve">HCT/P </w:t>
      </w:r>
      <w:r>
        <w:rPr>
          <w:rFonts w:ascii="Times New Roman" w:cs="Times New Roman" w:eastAsia="Times New Roman" w:hAnsi="Times New Roman"/>
          <w:sz w:val="18"/>
          <w:szCs w:val="18"/>
          <w:color w:val="auto"/>
        </w:rPr>
        <w:t>and were therefore eligible to be subject to regulation solely under Section 361 (“</w:t>
      </w:r>
      <w:r>
        <w:rPr>
          <w:rFonts w:ascii="Times New Roman" w:cs="Times New Roman" w:eastAsia="Times New Roman" w:hAnsi="Times New Roman"/>
          <w:sz w:val="18"/>
          <w:szCs w:val="18"/>
          <w:b w:val="1"/>
          <w:bCs w:val="1"/>
          <w:i w:val="1"/>
          <w:iCs w:val="1"/>
          <w:color w:val="auto"/>
        </w:rPr>
        <w:t>Section 361 HCT/P</w:t>
      </w:r>
      <w:r>
        <w:rPr>
          <w:rFonts w:ascii="Times New Roman" w:cs="Times New Roman" w:eastAsia="Times New Roman" w:hAnsi="Times New Roman"/>
          <w:sz w:val="18"/>
          <w:szCs w:val="18"/>
          <w:color w:val="auto"/>
        </w:rPr>
        <w:t>”) depending on whether the specific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issue and the claims made for it were consistent with the applicable criteria. HCT/Ps that do not meet these criteria are subject to more extensive regulation as drugs, medical devices, biological products, or combination products. These HCT/Ps must comply with both the FDA’s requirements for HCT/Ps and the requirements applicable to biologics, devices or drugs, including pre-market clearance or approval from the FDA. Obtaining FDA pre-market clearance or approval involves significant time and investment by the Company.</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accordance with the FDA Guidance, as discussed above in “</w:t>
      </w:r>
      <w:r>
        <w:rPr>
          <w:rFonts w:ascii="Times New Roman" w:cs="Times New Roman" w:eastAsia="Times New Roman" w:hAnsi="Times New Roman"/>
          <w:sz w:val="18"/>
          <w:szCs w:val="18"/>
          <w:i w:val="1"/>
          <w:iCs w:val="1"/>
          <w:color w:val="auto"/>
        </w:rPr>
        <w:t>Business – Government Regulation</w:t>
      </w:r>
      <w:r>
        <w:rPr>
          <w:rFonts w:ascii="Times New Roman" w:cs="Times New Roman" w:eastAsia="Times New Roman" w:hAnsi="Times New Roman"/>
          <w:sz w:val="18"/>
          <w:szCs w:val="18"/>
          <w:color w:val="auto"/>
        </w:rPr>
        <w:t>,” after May 31, 2021, the Company no longer markets or sells its products that were impacted by enforcement discretion in the United States, has requested the return of unused consignment inventory as of that date, and does not intend to sell such products in the United States until the FDA grants pre-market approval. Our sales of such products for all uses was $0.5 million, $2.4 million, and $17.6 million, respectively, in 2023, 2022, and 2021. Prior to May 31, 2021, these sales were primarily in the United States. The loss of our ability to market and sell our micronized products previously had an adverse impact on our revenues, business, financial condition and results of operations.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we are engaged with the FDA regarding the classification of AXIOFILL and certain of our other products. If the FDA makes a final determination that any of these products do not meet the requirements for regulation solely under Section 361, in order to continue to market the products, we would be required to obtain the appropriate FDA approval or clearance. The loss of our ability to market and sell these products would have an adverse impact on our revenues, business, financial condition and results of operations.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future regulatory changes could also have adverse consequences for us and make it more difficult or expensive for us to conduct our business by requiring pre-market clearance or approval and compliance with additional post-market regulatory requirements with respect to those products. For example, the FDA may in the future impose conditions, such as labeling restrictions, and the requirement that a product be manufactured in compliance with CGMP, which would require significant additional time and cost investments by the Company. Moreover, increased regulatory scrutiny within the industry in which we operate could lead to increased regulation of HCT/Ps, including Section 361 HCT/Ps, which could ultimately increase our costs and adversely impact our business, results of operations and financial condition.</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the necessary regulatory approvals, including conducting clinical trials, for certain of our products or potential products could be expensive and time consuming</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process of obtaining regulatory clearances or approvals to market a biological product or medical device from the FDA or similar regulatory authorities outside of the U.S. may be costly and time consuming, and such clearances or approvals may not be granted on a timely basis, or at all. The FDA may take the position that some of the products that we currently market require a BLA. Some of the future products and enhancements to our current products that we expect to develop or may acquire and market may require marketing clearance or approval from the FDA. However, clearance or approval may not be granted with respect to any of our products or enhancements and further FDA review may add delays that could adversely affect our ability to market such products or enhancements.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process of obtaining an approved BLA, including clinical trial development and execution as well as manufacturing processes, requires the expenditure of substantial time, effort and financial resources and may take years to complete, including costs incurred on top of those fees incurred as part of conducting various clinical studies. The fee for filing a BLA and program fees payable with respect to any establishment that manufactures biologics are substantial. The FDA may not grant approval on a timely basis, or at all, or we may decide not to pursue a BLA for certain products or indications, or need to conduct additional trials for a given indication. Additionally, the FDA may limit the indications for use or place other conditions on any approvals that could restrict the commercial application of the products. If we do receive approval, some types of changes to the approved product, such as adding new indications or doses, manufacturing changes and additional labeling claims, are subject to further testing requirements and FDA review and approval. Our revenues could be adversely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affected if we fail to obtain BLA approvals on a timely basis or at all, or if the FDA limited the indications for use or required other conditions that restrict the commercial application of our products.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there are significant costs associated with clinical trials that can be difficult to accurately estimate until a BLA is approved. Clinical trials may not be successful or may return results that do not support approval. Moreover, the results of early clinical trials are not necessarily predictive of future results, and any product we advance into clinical trials may not have favorable results in later clinical trials. Our interpretation of data and results from our clinical trials does not ensure that we will achieve similar results in future clinical trials. In addition, clinical data are often susceptible to various interpretations and analyses, and many companies that have believed their products performed satisfactorily in earlier clinical trials or retrospective studies have nonetheless failed to replicate results in later clinical trials.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by the FDA and other authorities, which is costly, and our failure to comply could result in negative effects on our business, results of operations and financial condition.</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the FDA has specific regulations governing our tissue-based products, or HCT/Ps. The FDA has broad post-market and regulatory and enforcement powers, even for Section 361 HCT/Ps. The FDA’s regulation of HCT/Ps includes requirements for registration and listing of products, donor screening and testing, processing and distribution, labeling, record keeping and adverse-reaction reporting, and inspection and enforcement.</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HCT/Ps that are regulated as drugs, biological products or medical devices are subject to even more stringent regulation by the FDA. Even if pre-market clearance or approval is obtained, the approval or clearance may place substantial restrictions on the indications for which the product may be marketed or to whom it may be marketed, may require warnings to accompany the product or impose additional restrictions on the sale or use of the product. In addition, regulatory approval is subject to continuing compliance with regulatory standards, including the FDA’s quality system regulations.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comply with the FDA regulations regarding our tissue products, the FDA could take enforcement action, including, without limitation, any of the following sanctions and the manufacture of our products or processing of our tissue could be delayed or terminated:</w:t>
      </w:r>
    </w:p>
    <w:p>
      <w:pPr>
        <w:spacing w:after="0" w:line="9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cease and desist orders, fines, injunctions, and civil penalties;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seizure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 or approval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or suspending current applications for approval or approvals already granted;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FDA’s regulation of HCT/Ps may continue to evolve. Complying with any such new regulatory requirements may entail significant time delays and expense, which could have an adverse effect on our business, results of operations and financial condition.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AATB has issued operating standards for tissue banking. Compliance with these standards is a requirement in order to become an accredited tissue bank. In addition, some states have their own tissue banking regulations.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procurement of certain human organs and tissue for transplantation is subject to the restrictions of the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hospitals and physicians for their services associated with the recovery and storage of donated human tissue. Although we have independent third-party appraisals that confirm the reasonableness of the service fees we pay, if we were to be found to have violated NOTA’s prohibition on the sale or transfer of human tissue for valuable consideration, we could potentially be subject to criminal enforcement sanctions, which could adversely affect our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Finally, we and other manufacturers of skin substitutes are required to provide average ASP information to CMS on a quarterly basis. The Medicare payment rates are updated quarterly based on this ASP information. If a manufacturer is found to have made a misrepresentation in the reporting of ASP, such manufacturer is subject to civil monetary penalties of up to $10,000 for each misrepresentation for each day in which the misrepresentation was applied, and potential False Claims Act liability. See “</w:t>
      </w:r>
      <w:r>
        <w:rPr>
          <w:rFonts w:ascii="Times New Roman" w:cs="Times New Roman" w:eastAsia="Times New Roman" w:hAnsi="Times New Roman"/>
          <w:sz w:val="18"/>
          <w:szCs w:val="18"/>
          <w:i w:val="1"/>
          <w:iCs w:val="1"/>
          <w:color w:val="auto"/>
        </w:rPr>
        <w:t>We and our sales representatives, whether employees or independent contractors, must comply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various federal and state anti-kickback, self-referral, false claims and similar laws, any breach of which could cause an adverse effect on our business, results of operations and financial condition.”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injunctions and other sanctions if we are deemed to be promoting the use of our products for unapproved, or off-label, uses.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general rule, FDA regulations require that the marketing of 361 HCT/Ps only be for appropriate homologous uses, and that the promotion of pre-approved biological products or devices only be for FDA-approved indications. Generally, unless the products are approved by the FDA for alternative uses, the FDA contends that we may not make claims about the safety or effectiveness of our products, or promote them as safe or effective for uses other than those specifically approved by the FDA. Such limitations present a risk that the FDA or other federal or state law enforcement authorities could determine that the nature and scope of our sales, marketing and support activities, though designed to comply with all FDA requirements, constitute the promotion of our products for an unapproved use in violation of the federal FD&amp;C Act. We also face the risk that the FDA or other governmental authorities might pursue enforcement based on past activities that we have discontinued or changed, including sales activities, prior marketing materials, arrangements with institutions and doctors, educational and training programs and other activities.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Investigations concerning the promotion of unapproved product uses and related issues are typically expensive, disruptive and burdensome and generate negative publicity. If our promotional activities are found to be in violation of the law, we may face significant legal action, fines, penalties, and even criminal liability and may be required to substantially change our sales, promotion, grant and educational activities. There is also a possibility that we could be enjoined from selling some or all of our products for any unapproved use. In addition, as a result of an enforcement action against us or any of our executive officers, we could be excluded from participation in government healthcare programs such as Medicare and Medicaid.</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However, under the Guidance, as discussed above in “</w:t>
      </w:r>
      <w:r>
        <w:rPr>
          <w:rFonts w:ascii="Times New Roman" w:cs="Times New Roman" w:eastAsia="Times New Roman" w:hAnsi="Times New Roman"/>
          <w:sz w:val="18"/>
          <w:szCs w:val="18"/>
          <w:i w:val="1"/>
          <w:iCs w:val="1"/>
          <w:color w:val="auto"/>
        </w:rPr>
        <w:t>Business – Government Regulation</w:t>
      </w:r>
      <w:r>
        <w:rPr>
          <w:rFonts w:ascii="Times New Roman" w:cs="Times New Roman" w:eastAsia="Times New Roman" w:hAnsi="Times New Roman"/>
          <w:sz w:val="18"/>
          <w:szCs w:val="18"/>
          <w:color w:val="auto"/>
        </w:rPr>
        <w:t>,” after May 31, 2021, the Company no longer markets or sells its products that were impacted by enforcement discretion in the United States, and does not intend to sell such products in the United States until the FDA grants pre-market approval. We will ultimately only be able to market such products for indications that have been cleared or approved by the FDA.</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Nevertheless, while we believe we are fully in compliance with the FDA's Guidance on HCT/Ps, there can be no assurance that we have correctly interpreted the FDA Guidance, or that we will not need to discontinue marketing a product and/or may be subject to fines, penalties, injunctions, and other sanctions if we are deemed to be promoting the use of our products for unapproved uses. Such regulatory penalties by the FDA could adversely affect our business and results of operations.</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sales representatives, whether employees or independent contractors, must comply with various federal and state anti-kickback, self-referral, false claims and similar laws, any breach of which could cause an adverse effect on our business, results of operations and financial condition.</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relationships with physicians, hospitals and other healthcare providers are subject to various federal and state healthcare fraud and abuse laws. Healthcare fraud and abuse laws are complex and, in some instances, even minor or inadvertent violations can give rise to liability. Possible sanctions for violation of the healthcare fraud and abuse laws include, without limitation, monetary fines, civil and criminal penalties, exclusion from participating in the federal and state healthcare programs, including, without limitation, Medicare, Medicaid, the VA health programs and TRICARE (the healthcare program administered by or on behalf of the U.S. Department of Defense for uniformed service members, including both those in active duty and retirees, as well as their dependents), and forfeiture of amounts collected in violation of such prohibitions. Many states have similar fraud and abuse laws, imposing substantial penalties for violations. A finding of a violation of one or more of these laws, or even a government investigation or inquiry into the same, would likely result in a material adverse effect on the market price of our Common Stock, as well as on our business, results of operations, and financial condition.</w:t>
      </w:r>
    </w:p>
    <w:p>
      <w:pPr>
        <w:spacing w:after="0" w:line="3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w:t>
      </w:r>
      <w:r>
        <w:rPr>
          <w:rFonts w:ascii="Times New Roman" w:cs="Times New Roman" w:eastAsia="Times New Roman" w:hAnsi="Times New Roman"/>
          <w:sz w:val="18"/>
          <w:szCs w:val="18"/>
          <w:b w:val="1"/>
          <w:bCs w:val="1"/>
          <w:i w:val="1"/>
          <w:iCs w:val="1"/>
          <w:color w:val="auto"/>
        </w:rPr>
        <w:t>AKS</w:t>
      </w:r>
      <w:r>
        <w:rPr>
          <w:rFonts w:ascii="Times New Roman" w:cs="Times New Roman" w:eastAsia="Times New Roman" w:hAnsi="Times New Roman"/>
          <w:sz w:val="18"/>
          <w:szCs w:val="18"/>
          <w:color w:val="auto"/>
        </w:rPr>
        <w:t>”) is a criminal law that prohibits, among other things, any person from knowingly and willfully offering, paying, soliciting or receiving remuneration, directly or indirectly, in cash or in kind, to induce or reward referrals, purchases or orders or arranging for or recommending the purchase, order or referral of any item or service for which payment may be made in whole or in part by a federal healthcare program, such as the Medicare and Medicaid programs. The term “remuneration” has been broadly interpreted to include anything of value. The Patient Protection and Affordable Care Act (the “</w:t>
      </w:r>
      <w:r>
        <w:rPr>
          <w:rFonts w:ascii="Times New Roman" w:cs="Times New Roman" w:eastAsia="Times New Roman" w:hAnsi="Times New Roman"/>
          <w:sz w:val="18"/>
          <w:szCs w:val="18"/>
          <w:b w:val="1"/>
          <w:bCs w:val="1"/>
          <w:i w:val="1"/>
          <w:iCs w:val="1"/>
          <w:color w:val="auto"/>
        </w:rPr>
        <w:t>PPACA</w:t>
      </w:r>
      <w:r>
        <w:rPr>
          <w:rFonts w:ascii="Times New Roman" w:cs="Times New Roman" w:eastAsia="Times New Roman" w:hAnsi="Times New Roman"/>
          <w:sz w:val="18"/>
          <w:szCs w:val="18"/>
          <w:color w:val="auto"/>
        </w:rPr>
        <w:t xml:space="preserve">”) amended the federal AKS to clarify the intent that is required to prove a violation. Under the federal AKS as amended, a person or entity need not have actual knowledge of this statute or specific intent to violate it. The PPACA also amended the federal AKS to provide that any claims for items or services resulting from a violation of the federal AKS are considered false or fraudulent for purposes of the federal </w:t>
      </w:r>
      <w:r>
        <w:rPr>
          <w:rFonts w:ascii="Times New Roman" w:cs="Times New Roman" w:eastAsia="Times New Roman" w:hAnsi="Times New Roman"/>
          <w:sz w:val="18"/>
          <w:szCs w:val="18"/>
          <w:i w:val="1"/>
          <w:iCs w:val="1"/>
          <w:color w:val="auto"/>
        </w:rPr>
        <w:t>FCA</w:t>
      </w:r>
      <w:r>
        <w:rPr>
          <w:rFonts w:ascii="Times New Roman" w:cs="Times New Roman" w:eastAsia="Times New Roman" w:hAnsi="Times New Roman"/>
          <w:sz w:val="18"/>
          <w:szCs w:val="18"/>
          <w:color w:val="auto"/>
        </w:rPr>
        <w:t>. A conviction for violation of the AKS results in criminal fines and requires mandatory exclusion from participation in federal health care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there are a number of statutory exceptions and regulatory safe harbors to the federal AKS that protect certain common industry practices from prosecution, the exceptions and safe harbors are drawn narrowly, and arrangements may be subject to scrutiny or penalty if they do not fully satisfy all elements of an available exception or safe harbor. We have entered into consulting agreements, speaker agreements, research agreements and product development agreements with physicians, including some who may order or recommend our products or make decisions to use them. In addition, some of these physicians own our stock, which</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they purchased in arm’s-length transactions on terms identical to those offered to non-physicians, or received stock awards from us in the past as consideration for services performed by them. While we believe these transactions generally meet the requirements of applicable laws, including the federal AKS and analogous state laws, it is possible that our arrangements with physicians and other providers may be questioned by regulatory or enforcement authorities under such laws, which could lead us to redesign the arrangements and subject us to significant civil or criminal penalties. We have designed our policies and procedures to comply with the federal AKS, FCA, and industry best practices. In addition, we have conducted training sessions on these principles. If, however, regulatory or enforcement authorities were to view these arrangements as non-compliant with applicable laws, there would be risk of government investigations/inquiries or penalties. There is also risk that one or more of our employees or agents will disregard the rules we have established. Because our strategy relies on the involvement of physicians who consult with us on the design of our products, perform clinical research on our behalf or educate other health care professionals about the efficacy and uses of our products, we could be materially impacted if regulatory or enforcement agencies or courts interpret our financial relationships with physicians who refer or order our products to be in violation of applicable laws. This could harm our reputation and the reputations of the physicians we engage to provide services on our behalf. In addition, the cost of noncompliance with these laws could be substantial since we could be subject to monetary fines and civil or criminal penalties, and we could also be excluded from federally-funded healthcare programs, including Medicare, Medicaid, VA and TRICARE.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FCA imposes civil liability on any person or entity that knowingly submits, or causes the submission of, a false or fraudulent claim to the U.S. government. Damages under the FCA can be significant and consist of the imposition of fines and penalties. The FCA also allows a private individual or entity to sue on behalf of the government to recover civil penalties and treble damages as a whistleblower. FCA liability is potentially significant in the healthcare industry because the statute provides for treble damages and mandatory penalties of between $11,181 and $22,363 per false claim or statement for penalties assessed after January 29, 2018, with respect to violations occurring after November 2, 2015.</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Manufacturers can be held liable under the FCA even when they do not submit claims directly to government payers if they are deemed to “cause” the submission of false or fraudulent claims. The PPACA provides that claims tainted by a violation of the federal AKS are false for purposes of the FCA. The DOJ on behalf of the government has previously alleged that the marketing and promotional practices of pharmaceutical and medical device manufacturers, including the off-label promotion of products or the payment of prohibited kickbacks to doctors, violated the FCA, resulting in the submission of improper claims to federal and state healthcare programs such as Medicare and Medicaid. In certain cases, manufacturers have entered into criminal and civil settlements with the federal government under which they entered into plea agreements, paid substantial monetary amounts and entered into onerous corporate integrity agreements with the government that require, among other things, substantial reporting and remedial actions, as well as oversight and review by an outside entity, an Independent Review Organization (“</w:t>
      </w:r>
      <w:r>
        <w:rPr>
          <w:rFonts w:ascii="Times New Roman" w:cs="Times New Roman" w:eastAsia="Times New Roman" w:hAnsi="Times New Roman"/>
          <w:sz w:val="18"/>
          <w:szCs w:val="18"/>
          <w:b w:val="1"/>
          <w:bCs w:val="1"/>
          <w:i w:val="1"/>
          <w:iCs w:val="1"/>
          <w:color w:val="auto"/>
        </w:rPr>
        <w:t>IRO</w:t>
      </w:r>
      <w:r>
        <w:rPr>
          <w:rFonts w:ascii="Times New Roman" w:cs="Times New Roman" w:eastAsia="Times New Roman" w:hAnsi="Times New Roman"/>
          <w:sz w:val="18"/>
          <w:szCs w:val="18"/>
          <w:color w:val="auto"/>
        </w:rPr>
        <w:t>”), at substantial expense to the Company.</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HIPAA criminal federal healthcare fraud statute, it is a crime to knowingly and willfully execute, or attempt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 care benefits, items or services.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federal and state laws requiring detailed reporting of manufacturer interactions with and payments to healthcare providers, such as the federal Physician Payments Sunshine Act (“</w:t>
      </w:r>
      <w:r>
        <w:rPr>
          <w:rFonts w:ascii="Times New Roman" w:cs="Times New Roman" w:eastAsia="Times New Roman" w:hAnsi="Times New Roman"/>
          <w:sz w:val="18"/>
          <w:szCs w:val="18"/>
          <w:b w:val="1"/>
          <w:bCs w:val="1"/>
          <w:i w:val="1"/>
          <w:iCs w:val="1"/>
          <w:color w:val="auto"/>
        </w:rPr>
        <w:t>Sunshine Act</w:t>
      </w:r>
      <w:r>
        <w:rPr>
          <w:rFonts w:ascii="Times New Roman" w:cs="Times New Roman" w:eastAsia="Times New Roman" w:hAnsi="Times New Roman"/>
          <w:sz w:val="18"/>
          <w:szCs w:val="18"/>
          <w:color w:val="auto"/>
        </w:rPr>
        <w:t>”). The Sunshine Act requires, among others, “applicable manufacturers” of drugs, devices, biological products, and medical supplies reimbursed under Medicare, Medicaid or the Children’s Health Insurance Program to annually report to CMS information related to payments and other transfers of value provided to “covered recipients.” The term covered recipients includes U.S.-licensed physicians and teaching hospitals, and, for reports submitted on or after January 1, 2022, physician assistants, nurse practitioners, clinical nurse specialists, certified nurse anesthetists, and certified nurse-midwives. There is the risk that CMS or another government agency may take the position that our products are not human cell and tissue products regulated solely under Section 361, and thereby assert that we are currently subject to the Sunshine Act, which could subject us to civil penalties and the administrative burden of having to comply with the law.</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state law equivalents to the AKS and FCA. There are also so-called state “all-payer” anti-kickback laws which may apply to items or services reimbursed by any third-party payer, including commercial insurers, as well as when no insurer is involved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cash-pay patients).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enforcement of all of these laws is uncertain and subject to rapid change. Federal or state regulatory or enforcement authorities may investigate or challenge our current or future activities under these laws. Any investigation or challenge could have a material adverse effect on our business, financial condition and results of operations. Any state or federal regulatory or enforcement review of us, regardless of the outcome, would be costly and time consuming. Additionally, we cannot predict the impact of any changes in these laws, whether these changes are retroactive or will have effect on a going-forward basis only.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adversely affected by current and potential future healthcare reforms.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perceived increases in healthcare costs in recent years, there have been and continue to be proposals by the U.S. federal government, state governments, regulators and third-party payers to control these costs and, more generally, to reform the U.S. healthcare system. In the U.S., the PPACA was enacted in 2010 with a goal of reducing the cost of healthcare and substantially changing the way healthcare is financed by both government and private insurers.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PPACA was enacted.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of 2% per fiscal year, which went into effect on April 1, 2013. In January 2013, the American Taxpayer Relief Act was signed into law, which, among other things, further reduced Medicare payments to several provider types, including hospitals.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ACA, the Medicare Access and CHIP Reauthorization Act of 2015 (“</w:t>
      </w:r>
      <w:r>
        <w:rPr>
          <w:rFonts w:ascii="Times New Roman" w:cs="Times New Roman" w:eastAsia="Times New Roman" w:hAnsi="Times New Roman"/>
          <w:sz w:val="18"/>
          <w:szCs w:val="18"/>
          <w:b w:val="1"/>
          <w:bCs w:val="1"/>
          <w:i w:val="1"/>
          <w:iCs w:val="1"/>
          <w:color w:val="auto"/>
        </w:rPr>
        <w:t>MACRA</w:t>
      </w:r>
      <w:r>
        <w:rPr>
          <w:rFonts w:ascii="Times New Roman" w:cs="Times New Roman" w:eastAsia="Times New Roman" w:hAnsi="Times New Roman"/>
          <w:sz w:val="18"/>
          <w:szCs w:val="18"/>
          <w:color w:val="auto"/>
        </w:rPr>
        <w:t>”) repealed the Sustainable Growth Rate formula used to calculate Medicare payment updates for physicians providing services to Medicare beneficiaries. In its place, MACRA introduced the Quality Payment Program (“</w:t>
      </w:r>
      <w:r>
        <w:rPr>
          <w:rFonts w:ascii="Times New Roman" w:cs="Times New Roman" w:eastAsia="Times New Roman" w:hAnsi="Times New Roman"/>
          <w:sz w:val="18"/>
          <w:szCs w:val="18"/>
          <w:b w:val="1"/>
          <w:bCs w:val="1"/>
          <w:i w:val="1"/>
          <w:iCs w:val="1"/>
          <w:color w:val="auto"/>
        </w:rPr>
        <w:t>QPP</w:t>
      </w:r>
      <w:r>
        <w:rPr>
          <w:rFonts w:ascii="Times New Roman" w:cs="Times New Roman" w:eastAsia="Times New Roman" w:hAnsi="Times New Roman"/>
          <w:sz w:val="18"/>
          <w:szCs w:val="18"/>
          <w:color w:val="auto"/>
        </w:rPr>
        <w:t>”), which is a value-based program that focuses on quality and outcomes as a metric for physician reimbursement. The Centers for Medicare and Medicaid Services released its final rules for the QPP in October 2016. The QPP, which impacts more than 600,000 physicians and other practice-based clinicians, represents a fundamental change in physician reimbursement, transitioning from a system that solely rewards volume of care to one that also rewards quality and value of care. The rule may have an impact on our revenue in the future. The program’s increased emphasis on quality and cost of care may encourage physicians to merge practices or seek direct employment with hospitals. In addition, the ACA encourages hospitals and physicians to work collaboratively through shared savings programs as well as other bundled payment initiatives. These shifts could lead to a consolidation of hospital providers into larger delivery networks with increased price negotiation strength resulting in downward pressure on our selling prices. Although we believe that we are well positioned to minimize any such impact on our business, our inability to address the consolidation trend could materially and adversely affect our business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uncertainty with respect to the impact the U.S. Administration, the executive order, and the attempted legislation may have, if any, and any changes will likely take time to unfold and could have an impact on coverage and reimbursement for healthcare items and services, including our products. We believe that substantial uncertainty remains regarding the net effect of the PPACA, or its repeal and potential replacement, on our business, including uncertainty over how benefit plans purchased on exchanges will cover our products, how the expansion or contraction of the Medicaid program will affect access to our products, the effect of risk-sharing payment models such as Accountable Care Organizations and other value-based purchasing programs on coverage for our product, and the effect of the general increase or decrease in federal oversight of healthcare payers. The taxes imposed and the expansion in government’s role in the U.S. healthcare industry under the PPACA, if unchanged, may result in decreased revenues, lower reimbursements by payers for our products and reduced medical procedure volumes, all of which could have a material adverse effect on our business, results of operations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obtain or maintain foreign regulatory approvals to market our products in other countries.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market our products in a small number of foreign countries, including in Japan. Foreign jurisdictions require separate regulatory approvals and compliance with numerous and varying regulatory requirements. The approval procedures vary among countries and may involve requirements for additional testing. Certain of our products require clearance or approval by the FDA. However, such clearance or approval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We may not obtain foreign regulatory approvals on a timely basis, if at all. We may not be able to file for regulatory approvals or certifications and may not receive necessary approvals to commercialize our products in any foreign jurisdiction. Furthermore, many foreign jurisdictions operate under socialized medical care, and obtaining reimbursement for our products under that construct may also prove difficult. If we fail to receive necessary approvals, certifications, or reimbursements necessary to commercialize our products in foreign jurisdictions on a timely basis, or at all, our business, results of operations and financial condition could be adversely affected. Further, governmental authorities outside the U.S. have become increasingly stringent in their regulation of medical devices, and our products may become subject to more rigorous regulation by non-U.S. governmental authorities in the future. U.S. or non-U.S. government regulations may be imposed in the future that may have a material adverse effect on our business and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1" w:name="page32"/>
    <w:bookmarkEnd w:id="3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and state laws that protect the privacy and security of personal information may increase our costs and limit our ability to collect and use that information and subject us to liability if we are unable to fully comply with such laws.</w:t>
      </w:r>
    </w:p>
    <w:p>
      <w:pPr>
        <w:spacing w:after="0" w:line="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Numerous federal and state laws, rules and regulations govern the collection, dissemination, use, security and confidentiality of personal information, including protected health information and individually identifiable health information. These laws include:</w:t>
      </w:r>
    </w:p>
    <w:p>
      <w:pPr>
        <w:spacing w:after="0" w:line="94"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HIPAA that limit how covered entities and business associates may use and disclose protected health information, provide certain rights to individuals with respect to that information and impose certain security requirements</w:t>
      </w: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HITECH, which strengthened and expanded the HIPAA Privacy Rule and Security Rules, imposed data breach notification obligations,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laws restricting the use and protecting the privacy and security of personal information, including health information, many of which are not preempted by HIPAA;</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laws;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regulating the conduct of research with human subjects.</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California Consumer Protection Act (“</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which became effective on January 1, 2020, is a privacy law that requires certain companies doing business in California to disclose information regarding the collection and use of a consumer’s personal data and to delete a consumer’s data upon request. The Act also permits the imposition of civil penalties and expands existing state security laws by providing a private right of action for consumers in certain circumstances where consumer data is subject to a breach. We are still evaluating whether and how this rule will impact our U.S. operations and/or limit the ways in which we can provide services or use personal data collected while providing services.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business operations, including our medical record keeping, third-party billing and reimbursement and research and development activities, we collect and maintain protected health information in paper and electronic format. Standards related to collecting and maintaining health information, whether implemented pursuant to HIPAA, HITECH, state laws, federal or state action or otherwise, could have a significant effect on the manner in which we handle personal information, including healthcare-related data, and communicate with payers, providers, patients, donors and others, and compliance with these standards could impose significant costs on us or limit our ability to offer services, thereby negatively impacting the business opportunities available to us.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alleged to have not complied with existing or new laws, rules and regulations related to personal information, we could be subject to litigation and to sanctions that include monetary fines, civil or administrative penalties, civil damage awards or criminal penalties.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protect our intellectual property and proprietary technology through patents and other means is uncertain and may be inadequate, which could have an adverse effect on our business, results of operations and financial condition.</w:t>
      </w:r>
    </w:p>
    <w:p>
      <w:pPr>
        <w:spacing w:after="0" w:line="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success depends significantly on our ability to protect our proprietary rights to the technologies used in our products. We rely on patent protection, as well as a combination of copyright, trade secret and trademark laws and nondisclosure, confidentiality and other contractual restrictions to protect our proprietary technology, including our licensed technology. These legal means afford only limited protection and may not adequately protect our rights or permit us to gain or keep any competitive advantage. In addition, our pending patent applications include claims to material aspects of our products and procedures that may not be protected by issued patents. The patent application process can be time consuming and expensive. Our pending patent applications might not result in issued patents, and issued patents may later be determined to be invalid or unenforceable as a result of district court litigation or related administrative proceedings. Competitors may be able to design around our patents or develop products that provide outcomes that are comparable or even superior to ours. Although we have taken steps to protect our intellectual property and proprietary technology, including entering into confidentiality agreements and intellectual property assignment agreements with some of our officers, employees, consultants and advisors, such agreements may not be enforceable or may not provide meaningful protection for our trade secrets or other proprietary information in the event of unauthorized use or disclosure or other breaches of the agreements.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failure to obtain and maintain patents or protect our intellectual property rights could have an adverse effect on our business, results of operations, and financial condition. Whether a patent claim is valid is a complex matter of science, facts and law, and therefore we cannot be certain that, if challenged in a court of law, or through an administrative proceeding, our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patent claims would be upheld. If any of those patent claims are invalidated or determined to be unenforceable, our competitive advantage may be reduced or eliminated.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a competitor infringes upon our licensed patents, issued patents, pending patent applications or other intellectual property rights, enforcing those rights may be costly, uncertain, difficult and time consuming. Even if successful, litigation to enforce or defend our intellectual property rights could be expensive and time consuming and could divert our management’s attention. Further, bringing litigation to enforce our patents subjects us to the potential for counterclaims. Other companies or entities also have commenced, and may again commence, actions seeking to establish the invalidity of our patents and certain related claims. In the event that any of our patent claims are challenged, a court, the United States Patent and Trademark Office (“</w:t>
      </w:r>
      <w:r>
        <w:rPr>
          <w:rFonts w:ascii="Times New Roman" w:cs="Times New Roman" w:eastAsia="Times New Roman" w:hAnsi="Times New Roman"/>
          <w:sz w:val="18"/>
          <w:szCs w:val="18"/>
          <w:b w:val="1"/>
          <w:bCs w:val="1"/>
          <w:i w:val="1"/>
          <w:iCs w:val="1"/>
          <w:color w:val="auto"/>
        </w:rPr>
        <w:t>USPTO</w:t>
      </w:r>
      <w:r>
        <w:rPr>
          <w:rFonts w:ascii="Times New Roman" w:cs="Times New Roman" w:eastAsia="Times New Roman" w:hAnsi="Times New Roman"/>
          <w:sz w:val="18"/>
          <w:szCs w:val="18"/>
          <w:color w:val="auto"/>
        </w:rPr>
        <w:t>”), or the Patent Trial and Appeal Board (“</w:t>
      </w:r>
      <w:r>
        <w:rPr>
          <w:rFonts w:ascii="Times New Roman" w:cs="Times New Roman" w:eastAsia="Times New Roman" w:hAnsi="Times New Roman"/>
          <w:sz w:val="18"/>
          <w:szCs w:val="18"/>
          <w:b w:val="1"/>
          <w:bCs w:val="1"/>
          <w:i w:val="1"/>
          <w:iCs w:val="1"/>
          <w:color w:val="auto"/>
        </w:rPr>
        <w:t>PTAB</w:t>
      </w:r>
      <w:r>
        <w:rPr>
          <w:rFonts w:ascii="Times New Roman" w:cs="Times New Roman" w:eastAsia="Times New Roman" w:hAnsi="Times New Roman"/>
          <w:sz w:val="18"/>
          <w:szCs w:val="18"/>
          <w:color w:val="auto"/>
        </w:rPr>
        <w:t>”) of the USPTO may invalidate one or more challenged patent claims or determine that the patent is unenforceable, which could harm our competitive position. If the USPTO or the PTAB ultimately cancels or narrows the claim scope of any of our patents through these proceedings, it could prevent or hinder us from being able to enforce them against competitors. Such adverse decisions could negatively impact our business, results of operations, and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laws of some foreign countries do not protect intellectual property rights to the same extent as the laws of the United States. Many companies have encountered significant problems in enforcing and defending intellectual property rights in certain foreign jurisdictions. This could make it difficult for us to stop infringement of our foreign patents, if obtained,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Proceedings to enforce our patent rights in foreign jurisdictions could result in substantial costs and divert our efforts and attention from other aspects of our business. Accordingly, our efforts to protect our intellectual property rights in some countries may be inadequate.</w:t>
      </w:r>
    </w:p>
    <w:p>
      <w:pPr>
        <w:spacing w:after="0" w:line="1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of infringement of the intellectual property rights of others, which could prohibit us from developing our products, require us to obtain licenses from third parties or to develop non-infringing alternatives, and subject us to substantial monetary damages.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parties could assert that our products infringe one or more claims of their issued patents or other intellectual property rights. Whether a product infringes a patent claim or other intellectual property right involves a complex combination of legal and factual issues, the determination of which is often uncertain. Therefore, we cannot be certain that we have not infringed the intellectual property rights of others. Because patent applications are not immediately published, and may take years to issue, there also may be applications now pending of which we are unaware that may later result in issued patent claims that our products or processes may infringe. There also may be existing patents or pending patent applications of which we are unaware that our products or processes may inadvertently infringe.</w:t>
      </w: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Any infringement claim could cause us to incur significant costs, place significant strain on our financial resources, divert management’s attention from our business and harm our reputation. If the relevant patent claims at issue in such a dispute were upheld as valid and enforceable and we were found to infringe, we could be prohibited from selling any product that is found to infringe those claims through an injunction unless we could obtain licenses to use the technology covered by the asserted patent claims or other intellectual property, or are able to design around the patent claim or claims at issue or other intellectual property. We may be unable to obtain such a license on terms acceptable to us, if at all, and we may not be able to redesign our products to avoid infringement. A court could also order us to pay compensatory damages for such infringement, plus prejudgment interest and could, in addition, treble the compensatory damages and award attorney fees. These damages could be substantial and could harm our reputation, business, financial condition and operating results. A court also could enter orders that temporarily, preliminarily or permanently enjoin us and our customers from making, using, or selling products, and could enter an order mandating that we undertake certain remedial measures. Depending on the nature of the relief ordered by the court, we could become liable for additional damages to third parties. Further, because of the substantial amount of discovery required in connection with intellectual property litigation, there is a risk that some of our trade secrets or other confidential information could be compromised by inadvertent or court-ordered disclosure during this type of litigation.</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our employees, or our independent contractors have wrongfully used or disclosed alleged trade secrets, proprietary or confidential information of our competitors or are in breach of non-competition or non-solicitation agreements with our competitors.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employees were previously employed at other medical device, pharmaceutical or tissue companies. We may also hire additional employees who are currently employed at other medical device, pharmaceutical or tissue companies, including our competitors. Additionally, consultants or other independent agents with which we may contract may be or have been in a</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contractual arrangement with one or more of our competitors. Although no claims are currently pending, we may be subject to claims that we, our employees, or our independent contractors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be a distraction to management. If we fail to defend such claims, in addition to paying monetary damages, we may lose valuable intellectual property rights or personnel. Any future litigation or the threat thereof may adversely affect our ability to hire additional direct sales representatives. A loss of key personnel or their work product could hamper or prevent our ability to market existing or new products, which could severely harm our business, financial condition and operating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Consolidated Financial Statements, Internal Controls and Related Matters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adequate internal control over financial reporting in the future, this could adversely affect our business, financial condition and operating results.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 the past reported material weaknesses in our internal control over financial reporting which we have since remediated. If material weaknesses or deficiencies in our internal control over financial reporting are discovered or occur in the future, our consolidated financial statements might contain material misstatements and we could be required to restate our financial results. Moreover, because of the inherent limitations of any control system, material misstatements due to error or fraud may not be prevented or detected on a timely basis, or at all. If we are unable to provide reliable and timely financial reports in the future, our business and reputation may be further harmed. Failures in internal controls may also cause us to fail to meet reporting obligations, negatively affect investor confidence in our management and the accuracy of our financial statements and disclosures, or result in adverse publicity and concerns from investors, any of which could have a negative effect on the price of our Common Stock, subject us to regulatory investigations and penalties or shareholder litigation, and adversely impact our business, results of operations and financial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may adversely affect our financial health.</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As of January 2024, the Company had aggregate borrowings outstanding of $30.0 million under its Revolving Credit Facility and $20.0 million under its Term Loan Facility, all pursuant to its Citizens Credit Agreement (as defined below in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Our outstanding debt may limit our ability to borrow additional funds or may adversely affect the terms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additional funds may be available. Additionally, a default under certain other indebtedness constitutes an event of default under the Citizens Credit Agreement. Consequently, the effects of a default under other debt may be amplified by the lenders exercising the remedies available to it in the Citizens Credit Agreement for events of default, including foreclosure on the collateral securing our obligations and the declaration that all amounts outstanding under the Citizens Credit Agreement are immediately due and payable.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restrictive covenants in the Citizens Credit Agreement, and the Company’s obligation to make payments under the Citizens Credit Agreement, limit our operating and financial flexibility and may adversely affect our business, results of operations and financial condition.</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Citizens Credit Agreement imposes operating and financial restrictions and covenants. The Company must comply with certain financial covenants, including, a maximum total net leverage ratio and a minimum consolidated fixed charge coverage ratio. Additionally, the Citizens Credit Agreement includes certain customary restrictive covenants, including, but not limited to, limitations on indebtedness, liens, fundamental changes, dispositions, investments, loans, advances, guarantees, acquisitions, dividends and other restricted payments, transactions with affiliates, swap transactions, sale and leaseback transactions, prepayments on subordinated debt, and amendments to organizational and other material agreements.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Citizens Credit Agreement also contains certain customary events of default, including, without limitation, (i) failure to pay interest or principal when due, (i) failure to provide notice of certain material events and (iii) failure to perform or observe certain covenants under the Citizens Credit Agreement or any related loan documents (subject to a 30-day grace period in certain circumstances). If an event of default occurs and is continuing, the agent under the agreement may, and at the direction of the lenders, take one or more of the following actions: (i) terminate the commitments, (ii) declare any amounts outstanding immediately due and payable, and (iii) exercise any other right it has under the Citizens Credit Agreement or at law. Compliance with such covenants may restrict our operating flexibility, and in the event that we were unable to comply with such covenants, leading to default and acceleration, this could adversely affect our business, results of operations and financial condition.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EW Healthcare Partners and its interests may conflict with those of our other shareholders.</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December 31, 2023, EW Healthcare Partners and their affiliates owned approximately 19.3% of our Common Stock (calculated on the basis described in Item 12, “</w:t>
      </w:r>
      <w:r>
        <w:rPr>
          <w:rFonts w:ascii="Times New Roman" w:cs="Times New Roman" w:eastAsia="Times New Roman" w:hAnsi="Times New Roman"/>
          <w:sz w:val="18"/>
          <w:szCs w:val="18"/>
          <w:i w:val="1"/>
          <w:iCs w:val="1"/>
          <w:color w:val="auto"/>
        </w:rPr>
        <w:t>Security Ownership Of Certain Beneficial Owners And Management”</w:t>
      </w:r>
      <w:r>
        <w:rPr>
          <w:rFonts w:ascii="Times New Roman" w:cs="Times New Roman" w:eastAsia="Times New Roman" w:hAnsi="Times New Roman"/>
          <w:sz w:val="18"/>
          <w:szCs w:val="18"/>
          <w:color w:val="auto"/>
        </w:rPr>
        <w:t xml:space="preserve"> below). Also, for as long as EW Healthcare Partners and its affiliates collectively hold at least (i) 10% of the outstanding shares of our Common Stock, EW Healthcare Partners has the right to select two individuals that the Company must include among its nominees to serve on our Board and (ii) 5% (but less than 10%) of the outstanding shares of our outstanding Common Stock, EW Healthcare Partners has the right to select one individual that the Company must include among its nominees to serve on our Board. EW Healthcare Partners designated Martin P. Sutter and William A. Hawkins, III, who continue to serve on our board as directors. The interests of EW Healthcare Partners may conflict with those of our other shareholders, and EW Healthcare Partners may seek to influence, and may be able to influence, us through its director nomination rights and its share ownership.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will likely continue to be, volatile.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like that of the securities of many other healthcare companies that are engaged in research, development, and commercialization, has fluctuated over a wide range, and it is likely that the price of our Common Stock will fluctuate in the future. The market price of our Common Stock could be impacted by a variety of factors, including:</w:t>
      </w:r>
    </w:p>
    <w:p>
      <w:pPr>
        <w:spacing w:after="0" w:line="10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 or of the markets generally;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launch, market and earn significant revenue from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to support our continuing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details and results of our clinical trials and our regulatory applications and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and disclosure or publicity regarding existing or new litigation or contingent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our failure to comply with any such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research and development or other corporate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patents or other proprietary rights owned or licensed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product introductions;</w:t>
      </w:r>
    </w:p>
    <w:p>
      <w:pPr>
        <w:ind w:left="660" w:right="540" w:hanging="328"/>
        <w:spacing w:after="0" w:line="24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as a result of seasonality in our business, as well as any restatements of previously reported results;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consistently process or manufacture our products and avoid costs associated with the recall of defective or potentially defective products;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distribution partners to market and sell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for our products or the price for our products to our customers;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our products from the FSS, or changes in how government accounts purchase products such as ours or in the price for our products to government accounts;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market participants and investors, including analysts and MIMEDX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amounts of short-selling of our Common Stock;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detailed in this Item 1A.</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unanticipated shortfall in our revenue in any fiscal quarter could have an adverse effect on our results of operations in that quarter. The effect on our net income of such a shortfall could be exacerbated by the relatively fixed nature of most of our costs, which primarily include personnel costs as well as facilities costs. These fluctuations could cause the trading price of our stock to be negatively affected. Our quarterly operating results have varied substantially in the past and may vary substantially in the future, including as a result of seasonality in our business. Price volatility or a decrease in the market price of our Common Stock could have an adverse effect on our ability to raise capital, liquidity, business, financial condition and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analysts may elect not to report on our common stock or may issue negative reports that adversely affect the stock price.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fail to attract the coverage of securities analysts, or if securities analysts discontinue covering our common stock, the lack of research coverage may adversely affect the actual and potential market price of our common stock. The trading market for our common stock may be affected in part by the research and reports that industry participants, industry analysts or financial analysts publish about our business. If one or more analysts elect to cover us and then downgrade the stock, the stock price would likely decline rapidly. If one or more of these analysts cease coverage of us, we could lose visibility in the market, which in turn could cause our stock price to decline.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revenue or results of operations could cause additional volatility in our stock price.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Any unanticipated shortfall in our revenue in any fiscal quarter could have an adverse effect on our results of operations in that quarter. The effect on our net income of such a shortfall could be exacerbated by the relatively fixed nature of most of our costs, which primarily include personnel costs as well as facilities costs. These fluctuations could cause the trading price of our stock to be negatively affected. Our quarterly operating results have varied substantially in the past and may vary substantially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expect to use available funds and any future earnings; in the development, operation and expansion of our business; to repay debt; and, to the extent authorized by our Board, repurchasing our Common Stock. We do not anticipate paying any cash dividends on our Common Stock in the foreseeable future. As a result, capital appreciation, if any, of our Common Stock will be an investor’s only source of potential gain from our Common Stock for the foreseeable future.</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Florida law and anti-takeover provisions in our organizational documents may discourage or prevent a change of control, even if an acquisition would be beneficial to shareholders, which could affect our share price adversely and prevent attempts by shareholders to remove current management.</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Florida Business Corporation Act (the “</w:t>
      </w:r>
      <w:r>
        <w:rPr>
          <w:rFonts w:ascii="Times New Roman" w:cs="Times New Roman" w:eastAsia="Times New Roman" w:hAnsi="Times New Roman"/>
          <w:sz w:val="18"/>
          <w:szCs w:val="18"/>
          <w:b w:val="1"/>
          <w:bCs w:val="1"/>
          <w:i w:val="1"/>
          <w:iCs w:val="1"/>
          <w:color w:val="auto"/>
        </w:rPr>
        <w:t>FBCA</w:t>
      </w:r>
      <w:r>
        <w:rPr>
          <w:rFonts w:ascii="Times New Roman" w:cs="Times New Roman" w:eastAsia="Times New Roman" w:hAnsi="Times New Roman"/>
          <w:sz w:val="18"/>
          <w:szCs w:val="18"/>
          <w:color w:val="auto"/>
        </w:rPr>
        <w:t>”) includes several provisions applicable to the Company that may discourage potential acquirors. Such provisions include provisions that:</w:t>
      </w:r>
    </w:p>
    <w:p>
      <w:pPr>
        <w:spacing w:after="0" w:line="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directors to take other stakeholders into account in discharging their duties;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certain transactions with a shareholder of 10% or more ownership must be approved by the affirmative vote of two-thirds of the other shareholders unless approved by a majority of the disinterested directors or certain fair price requirements are met; and</w:t>
      </w:r>
    </w:p>
    <w:p>
      <w:pPr>
        <w:jc w:val="both"/>
        <w:ind w:left="660" w:right="20" w:hanging="328"/>
        <w:spacing w:after="0" w:line="290"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rights acquired by a shareholder at ownership levels at or above one-fifth, one-third and a majority of voting power are denied unless authorized by the Board prior to such acquisition or by a majority of the other shareholders (excluding interested shares (as defined in the FBCA)).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our organizational documents contain provisions:</w:t>
      </w:r>
    </w:p>
    <w:p>
      <w:pPr>
        <w:spacing w:after="0" w:line="2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persons who may call shareholder meetings;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shareholders to remove directors only “for cause” and only by super-majority vote;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with the exclusive right to fill vacancies and to fix the number of directors.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provisions of Florida law and our articles of incorporation and bylaws could negatively affect our share price, prevent attempts by shareholders to remove current management, prohibit or delay mergers or other takeovers or changes of control of the Company and discourage attempts by other companies to acquire us, even if such a transaction would be beneficial to our shareholders.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unresolved SEC Staff comments with respect to our SEC filings.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significant and persistent cybersecurity risks due primarily to: the substantial level of harm that could occur to us and our customers were we to suffer impacts of a material cybersecurity incident; and our use of third-party products, services and components. We are committed to maintaining robust governance and oversight of these risks and to implementing mechanisms, controls, technologies, and processes designed to help us assess, identify, and manage these risks. While we have not, as of the date of this Annual Report, experienced a cybersecurity threat or incident that resulted in a material adverse impact to our business or operations, there can be no guarantee that we will not experience such an incident in the future. In addition, these threats are constantly evolving, thereby increasing the difficulty of successfully defending against them or implementing adequate preventative measures. We seek to detect and investigate unauthorized attempts and attacks against our network, products, and services, and to prevent their occurrence and recurrence where practicable through changes or updates to our internal processes and tools and changes or updates to our products and services; however, we remain potentially vulnerable to known or unknown threats.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aim to incorporate industry best practices throughout our cybersecurity program. Our cybersecurity strategy focuses on implementing effective and efficient controls, technologies, and other processes to assess, identify, and manage material cybersecurity risks. Our cybersecurity program is designed to be aligned with applicable industry standards and is assessed periodically by independent third-parties. We have processes in place to assess, identify, manage, and address material cybersecurity threats and incidents. These include, among other things: annual and ongoing security awareness training for employees; mechanisms to detect and monitor unusual network activity; and containment and incident response tools. We monitor issues that are internally discovered or externally reported that may affect our business, and have processes to assess those issues for potential cybersecurity impact or risk. We also have a process in place to manage cybersecurity risks associated with third-party service providers. We impose security requirements upon our suppliers, including: maintaining an effective security management program and abiding by information handling and asset management requirements. Our Board of Directors has ultimate oversight of cybersecurity risk, which it manages as part of our enterprise risk management program. That program is utilized in making decisions with respect to company priorities, resource allocations, and oversight structures. The Board of Directors is assisted by the Audit Committee, which regularly reviews our cybersecurity program with management and reports to the Board of Directors. Cybersecurity reviews by the Audit Committee or the Board of Directors generally occur at least annually, or more frequently as determined to be necessary or advisable. Our cybersecurity program is run by the head of our information security department, who reports to our Chief Financial Officer. Our Chief Financial Officer is informed about and monitors prevention, detection, mitigation, and remediation efforts through regular communication and reporting from professionals in the information security team, who hold cybersecurity certifications such as a Certified Information Systems Security Professional, and through the use of technological tools and software and results from third party audits. We have an escalation process in place to inform senior management and the Board of Directors of material issues.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Marietta, Georgia, where we lease office, laboratory, tissue processing and warehouse space. We also lease a facility in Kennesaw, Georgia, which primarily consists of laboratory, tissue processing and warehouse space. Our properties are used for the design, manufacture and marketing of Wound &amp; Surgical product portfolio. We believe that such properties are suitable and adequate to meet the needs of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description of the </w:t>
      </w:r>
      <w:r>
        <w:rPr>
          <w:rFonts w:ascii="Times New Roman" w:cs="Times New Roman" w:eastAsia="Times New Roman" w:hAnsi="Times New Roman"/>
          <w:sz w:val="18"/>
          <w:szCs w:val="18"/>
          <w:i w:val="1"/>
          <w:iCs w:val="1"/>
          <w:color w:val="auto"/>
        </w:rPr>
        <w:t>Welker v. MiMedx, et. al.</w:t>
      </w:r>
      <w:r>
        <w:rPr>
          <w:rFonts w:ascii="Times New Roman" w:cs="Times New Roman" w:eastAsia="Times New Roman" w:hAnsi="Times New Roman"/>
          <w:sz w:val="18"/>
          <w:szCs w:val="18"/>
          <w:color w:val="auto"/>
        </w:rPr>
        <w:t xml:space="preserve"> case contained in </w:t>
      </w:r>
      <w:r>
        <w:rPr>
          <w:rFonts w:ascii="Times New Roman" w:cs="Times New Roman" w:eastAsia="Times New Roman" w:hAnsi="Times New Roman"/>
          <w:sz w:val="18"/>
          <w:szCs w:val="18"/>
          <w:u w:val="single" w:color="auto"/>
          <w:color w:val="0000FF"/>
        </w:rPr>
        <w:t>Note 16, Commitments and Contingencies</w:t>
      </w:r>
      <w:r>
        <w:rPr>
          <w:rFonts w:ascii="Times New Roman" w:cs="Times New Roman" w:eastAsia="Times New Roman" w:hAnsi="Times New Roman"/>
          <w:sz w:val="18"/>
          <w:szCs w:val="18"/>
          <w:color w:val="auto"/>
        </w:rPr>
        <w:t xml:space="preserve"> to our financial statements included in Item 8 is incorporated herein by reference.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Stock Market under the trading symbol “MDXG”.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information supplied from our transfer agent, there were approximately 810 shareholders of record of our Common Stock as of February 23,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dividends since our inception and do not anticipate declaring or paying any cash dividends on our Common Stock in the foreseeable future. Payment of future dividends, if any, will be at the discretion of our Board of Directors and will depend on many factors, including general economic and business conditions, our strategic plans, our financial results and condition, legal requirements and other factors as our Board deems relevant.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stockholder return of the Nasdaq Composite Index and the Russell 2000 Index, for the five year period that commenced on December 31, 2018 and ended December 31, 2023, assuming an investment of $100.00 on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863590" cy="39001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359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ASSUMES $100 INVESTED ON DEC. 31, 2018 ASSUMES DIVIDEND REINVESTMENT; NO DIVIDENDS ISSUED BY MIMEDX FISCAL YEAR ENDED DEC. 31, 2023</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Information about securities authorized for issuance under our equity compensation plans is incorporated herein by reference to Item 12 of Part III of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December 22, 2023, all 95,000 outstanding shares of the Company’s Series B Convertible Preferred Stock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together with accrued dividends, were mandatorily converted into shares of the Company’s Common Stock in accordance with the Preferred Stock terms set forth in the Company’s Articles of Incorporation, as amended. The Preferred Stock conversion, triggered by the Company’s increased Common Stock share price and following the third anniversary of the Preferred Stock financing transaction in July of 2020. As a result of this conversion, 29,761,650 new shares of Common Stock were issued by the Company to an affiliate of EW Healthcare Partners and to certain funds managed by Hayfin Capital Management LLP. The Company received no consideration upon the conversion. The shares of Common Stock issued pursuant to the conversion of the Preferred Stock were issued in reliance upon exemptions pursuant to Section 3(a)(9) under the Securities Act of 1933, as amended, and pursuant to applicable state securities laws and regulations, in that the shares of Common Stock were issued by the Company to its existing security holders and no commission or other remuneration was paid or given directly or indirectly for soliciting such exchange.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our Common Stock made by or on behalf of the Company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98" w:lineRule="exact"/>
        <w:rPr>
          <w:sz w:val="20"/>
          <w:szCs w:val="20"/>
          <w:color w:val="auto"/>
        </w:rPr>
      </w:pPr>
    </w:p>
    <w:p>
      <w:pPr>
        <w:ind w:right="3820"/>
        <w:spacing w:after="0" w:line="45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Executive Summary</w:t>
      </w: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the Company delivered 20.0% growth in net sales, with broad-based contributions by customer type. This growth was driven by a combination of commercial execution, favorable end market demand and contributions from newer products to our portfolio. Operating and financial highlights during the year include:</w:t>
      </w:r>
    </w:p>
    <w:p>
      <w:pPr>
        <w:spacing w:after="0" w:line="149"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and full year 2023 net sales of $86.8 million and $321.5 million, respectively, reflecting 16.7% and 20.0% growth over the fourth quarter and full year 2022, respectively.</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continuing operations for the fourth quarter and full year 2023 of $51.3 million and $67.4 million, respectively.</w:t>
      </w:r>
    </w:p>
    <w:p>
      <w:pPr>
        <w:spacing w:after="0" w:line="10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strategic realignment of the Company, increasing focus on Wound &amp; Surgical business and significantly improving profitability; disbanded the Regenerative Medicine business unit and suspended knee osteoarthritis clinical trial program.</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EPIEFFECT, the latest addition to the Company’s broad portfolio of Advanced Wound Care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conversion of outstanding Series B convertible preferred stock to common stock.</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new members to the Company’s Executive Leadership Team, including a new CEO, CFO and Chief Operating Officer.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MIMEDX is a pioneer and leader in placental biologics focused on delivering innovative solutions to patients and the healthcare professionals who treat them. With more than a decade of experience helping clinicians manage acute and chronic wounds, MIMEDX has been dedicated to providing a leading portfolio of products for applications in the wound care, burn, and surgical sectors of healthcare. All of our products sold in the United States are regulated by the U.S. Food &amp;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We apply Current Good Tissue Practices (</w:t>
      </w:r>
      <w:r>
        <w:rPr>
          <w:rFonts w:ascii="Times New Roman" w:cs="Times New Roman" w:eastAsia="Times New Roman" w:hAnsi="Times New Roman"/>
          <w:sz w:val="18"/>
          <w:szCs w:val="18"/>
          <w:b w:val="1"/>
          <w:bCs w:val="1"/>
          <w:i w:val="1"/>
          <w:iCs w:val="1"/>
          <w:color w:val="auto"/>
        </w:rPr>
        <w:t>“CGTP”</w:t>
      </w:r>
      <w:r>
        <w:rPr>
          <w:rFonts w:ascii="Times New Roman" w:cs="Times New Roman" w:eastAsia="Times New Roman" w:hAnsi="Times New Roman"/>
          <w:sz w:val="18"/>
          <w:szCs w:val="18"/>
          <w:color w:val="auto"/>
        </w:rPr>
        <w:t>) and other applicable quality standards in addition to terminal sterilization to produce our allografts.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portfolio is divided into two categories (1) Wound Care Products and (2) Surgical and Other Products.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Wound Care Products include EPIFIX, EPICORD and EPIEFFECT, which are all marketed for external use, such as in Advanced Wound Care applications. Within Surgical and Other, our product offering includes AMNIOFIX, AMNIOCORD and AMNIOEFFECT, which are positioned for use in a variety of applications and surgical settings, including lower extremity repair, plastic surgery, vascular surgery and multiple orthopedic repairs and reconstructions. Our AXIOFILL product has also seen the most uptake by clinicians for surgical applications.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specific source material, our primary platform technologies include tissue allografts derived from human placental membrane (EPIFIX, AMNIOFIX, EPIEFFECT, and AMNIOEFFECT), tissue allografts derived from human umbilical cord (EPICORD and AMNIOCORD), and a particulate extracellular matrix derived from human placental disc (AXIOFILL).</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discussion, which presents our results for the fiscal years ended December 31, 2023 and 2022, should be read in conjunction with our Consolidated Financial Statements and the accompanying notes. Also, please refer to Part I,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and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which include detailed discussions of various items impacting our business, results of operations and financial condition. We intend for this discussion to provide the reader with information that will assist in understanding our financial statements, the changes in certain key items in those financial statements from period to period and the primary factors that accounted for those changes. We also discuss certain performance metrics that management uses to assess the Company's performance.</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Annual Report for the year ended December 31, 2022 (the “</w:t>
      </w:r>
      <w:r>
        <w:rPr>
          <w:rFonts w:ascii="Times New Roman" w:cs="Times New Roman" w:eastAsia="Times New Roman" w:hAnsi="Times New Roman"/>
          <w:sz w:val="18"/>
          <w:szCs w:val="18"/>
          <w:b w:val="1"/>
          <w:bCs w:val="1"/>
          <w:i w:val="1"/>
          <w:iCs w:val="1"/>
          <w:color w:val="auto"/>
        </w:rPr>
        <w:t>2022 Annual Report</w:t>
      </w:r>
      <w:r>
        <w:rPr>
          <w:rFonts w:ascii="Times New Roman" w:cs="Times New Roman" w:eastAsia="Times New Roman" w:hAnsi="Times New Roman"/>
          <w:sz w:val="18"/>
          <w:szCs w:val="18"/>
          <w:color w:val="auto"/>
        </w:rPr>
        <w:t xml:space="preserve">”) includes a discussion and analysis of our total company financial condition and results of operations for 2022 compared to 2021 in Part II,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Please note that, subsequent to the publication of our 2022 Annual Report, we announced our plan to disband our Regenerative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Medicine business unit, the results of which we believe are not material to an understanding of our financial condition, changes in financial condition and results of operation, is now classified as discontinued operations. For further details, please see Note 13,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to our consolidated financial statements included in Part II, Item 8 of this Annual Report.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Components of and Key Factors Influencing Our Results of Continuing Operations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We believe the items discussed below provide insight into the factors that affect these key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net sales are derived from selling to a wide range of customers, including hospitals, wound care centers and private physician offices that have clinicians using our suite of products to aid in the management of patients with chronic or hard-to-heal wounds. These customers choose products like ours based upon a variety of factors, including clinical efficacy, availability, handling characteristics, and reimbursement coverage and payer sources. Net sales is recognized based on the consideration we expect to receive from the sale at the point in time when control of the goods is transferred to the customer, which generally occurs upon our delivery to a third-party carrier or implantation for consignment arrangements. Net sales consists of the gross selling price of the product, less any discounts, rebates, fees paid to GPOs, and returns.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profit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includes product testing costs, quality assurance costs, personnel costs, manufacturing costs, raw materials and product costs, depreciation and facility costs associated with our manufacturing and warehouse facilities. Fluctuations in our cost of goods sold correspond with the fluctuations in these costs as well as sales volume.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is calculated as net sales less cost of goods sold. Gross margin is calculated as gross profit divided by net sales. Our gross margin is affected by product and geographic sales mix, realized pricing of our products, the efficiency of our manufacturing operations and the costs of materials used to make our products. Regulatory actions, including with respect to reimbursement for our products, may require costly expenditures or result in pricing pressure, and may decrease our gross profit and gross margin.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w:t>
      </w:r>
      <w:r>
        <w:rPr>
          <w:rFonts w:ascii="Times New Roman" w:cs="Times New Roman" w:eastAsia="Times New Roman" w:hAnsi="Times New Roman"/>
          <w:sz w:val="18"/>
          <w:szCs w:val="18"/>
          <w:b w:val="1"/>
          <w:bCs w:val="1"/>
          <w:i w:val="1"/>
          <w:iCs w:val="1"/>
          <w:color w:val="auto"/>
        </w:rPr>
        <w:t>SG&amp;A</w:t>
      </w:r>
      <w:r>
        <w:rPr>
          <w:rFonts w:ascii="Times New Roman" w:cs="Times New Roman" w:eastAsia="Times New Roman" w:hAnsi="Times New Roman"/>
          <w:sz w:val="18"/>
          <w:szCs w:val="18"/>
          <w:color w:val="auto"/>
        </w:rPr>
        <w:t>”) expense includes costs to execute our sales strategy. These include personnel costs pertaining to our sales force and sales support functions, including salaries, commissions and other incentive compensation, commissions to sales agents, customer support, travel expenses, and bad debt expense. SG&amp;A expense also includes costs related to functions which support our business, such as legal, finance, human resources, and other such functions that include costs such as personnel costs, insurance, and certain professional fees. We expect our SG&amp;A expense to fluctuate based on revenue fluctuations, geographic changes, and any changes to the size of our headcount, particularly that of our sales and marketing forces. Certain of these costs scale with sales, but can fluctuate depending on sales mix. For example, we pay sales agents a greater commission than our internal sales force, meaning that we could incur greater commission expenses if a greater proportion of our sales are through sales agents.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relates to our investments to expand our product pipeline and platforms, including historically through clinical trials, as well as expenditures in improvements to our manufacturing process and the enhancement of existing products. Our research and development costs also include expenses such as salaries and benefits related to our research department, consulting costs and advisory costs, and regulatory costs.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Fluctuations in research and development expenses can be impacted by the timing and cadence of our clinical trials.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Investigation, restatement and related expense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Investigation, restatement and related expense primarily relates to legal fees advanced to certain former officers and directors of the Company under certain indemnification agreements and our liability from legal proceedings taken against us. The timing and extent of these expenses depend on the stage and status of legal proceedings. Other activity includes amounts received from certain director and officer insurance providers.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 interest expense primarily through stated interest on our outstanding term and revolving loans. The interest on our term and revolving loans are currently tied to applicable Secured Overnight Financing Rates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Increases in SOFR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could cause our interest expense to increase. Other activity influencing interest expense relates to the amortization of deferred financing costs and original issue discount associated with credit facilities outstanding.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tax liability primarily in the United States and have net operating losses, research and development tax credit carryforwards, and other deferred tax assets which defray our liability. Large fluctuations are generally due to changes in our expectations of the realizability of our deferred tax assets.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for further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 for 2023 Compared to 2022</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Year Ended December 31,</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321,477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266,843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219,525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47,318</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208,673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Investigation, restatement and related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(expense)</w:t>
            </w:r>
          </w:p>
        </w:tc>
        <w:tc>
          <w:tcPr>
            <w:tcW w:w="32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37,012</w:t>
            </w:r>
          </w:p>
        </w:tc>
        <w:tc>
          <w:tcPr>
            <w:tcW w:w="120" w:type="dxa"/>
            <w:vAlign w:val="bottom"/>
          </w:tcPr>
          <w:p>
            <w:pPr>
              <w:spacing w:after="0"/>
              <w:rPr>
                <w:sz w:val="21"/>
                <w:szCs w:val="21"/>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2"/>
        </w:trPr>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87,392</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net sales for the year ended December 31, 2023 of $321.5 million, an increase of $53.6 million, or 20.0%, over the year ended December 31, 2022 net sales of $267.8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by care setting were as follows (amounts in thousands):</w:t>
      </w:r>
    </w:p>
    <w:p>
      <w:pPr>
        <w:spacing w:after="0" w:line="252"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Year Ended December 31,</w:t>
            </w:r>
          </w:p>
        </w:tc>
        <w:tc>
          <w:tcPr>
            <w:tcW w:w="360" w:type="dxa"/>
            <w:vAlign w:val="bottom"/>
          </w:tcPr>
          <w:p>
            <w:pPr>
              <w:spacing w:after="0"/>
              <w:rPr>
                <w:sz w:val="20"/>
                <w:szCs w:val="20"/>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Change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Office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1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321,477</w:t>
            </w:r>
          </w:p>
        </w:tc>
        <w:tc>
          <w:tcPr>
            <w:tcW w:w="100" w:type="dxa"/>
            <w:vAlign w:val="bottom"/>
          </w:tcPr>
          <w:p>
            <w:pPr>
              <w:spacing w:after="0"/>
              <w:rPr>
                <w:sz w:val="18"/>
                <w:szCs w:val="18"/>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267,841</w:t>
            </w:r>
          </w:p>
        </w:tc>
        <w:tc>
          <w:tcPr>
            <w:tcW w:w="120" w:type="dxa"/>
            <w:vAlign w:val="bottom"/>
          </w:tcPr>
          <w:p>
            <w:pPr>
              <w:spacing w:after="0"/>
              <w:rPr>
                <w:sz w:val="18"/>
                <w:szCs w:val="18"/>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Hospital setting were $187.0 million for the year ended December 31, 2023, a $23.8 million, or 14.6% increase, compared to $163.2 million for the year ended December 31, 2022. The increase was primarily driven by sales of our new products introduced since the third quarter of 2022, particularly AMNIOEFFECT.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Private Office setting grew by $18.6 million, or 24.1%, to $95.8 million for the year ended December 31, 2023, compared to $77.2 million for the year ended December 31, 2022. The increase reflects general increases in sales volume, driven by strong commercial execution, an evolving Medicare reimbursement landscape in this site of service and sales of our new products introduced since the fourth quarter of 2023.</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Other care settings increased by $11.2 million, or 40.8%, to $38.7 million for the year ended December 31, 2023 compared to $27.5 million for the year ended December 31, 2022. The increase was primarily driven by the addition of new customers in certain other sites of service and, to a lesser extent, initial contributions related to our commercial efforts in Japan.</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auto"/>
        </w:rPr>
        <w:t>Gross Margin and Cost of Sales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in 2023 was 83.0%, compared to 82.0% in 2022. The increase in margin was driven by a higher proportion of sales with lower manufacturing costs as well as increased throughput efficiencies compared to 2022.</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for the year ended December 31, 2023 was $54.6 million, an increase of $6.3 million, or 13.1%, compared to $48.3 million for the year ended December 31, 2022. The increase in cost of sales was driven by the increase in sales volume and the changes in margins noted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 increased $2.5 million, or 1.2%, to $211.1 million for December 31, 2023, compared to $208.7 million for December 31, 2022. The increase was driven by higher levels of sales commissions due to higher sales volumes, as well as increases in stock-based compensation in 2023. These increases were partially offset by a decrease in certain administrative expenses, including severance expenses associated with the departure of our former CEO in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research and development (“</w:t>
      </w:r>
      <w:r>
        <w:rPr>
          <w:rFonts w:ascii="Times New Roman" w:cs="Times New Roman" w:eastAsia="Times New Roman" w:hAnsi="Times New Roman"/>
          <w:sz w:val="18"/>
          <w:szCs w:val="18"/>
          <w:b w:val="1"/>
          <w:bCs w:val="1"/>
          <w:i w:val="1"/>
          <w:iCs w:val="1"/>
          <w:color w:val="auto"/>
        </w:rPr>
        <w:t>R&amp;D</w:t>
      </w:r>
      <w:r>
        <w:rPr>
          <w:rFonts w:ascii="Times New Roman" w:cs="Times New Roman" w:eastAsia="Times New Roman" w:hAnsi="Times New Roman"/>
          <w:sz w:val="18"/>
          <w:szCs w:val="18"/>
          <w:color w:val="auto"/>
        </w:rPr>
        <w:t>”) expense remained essentially flat at $12.7 million for the years ended December 31, 2023 and December 31, 2022. Our R&amp;D expenses in 2022 and 2023 were primarily driven by the development and launches of our newest products in the portfolio, AMNIOEFFECT, AXIOFILL and EPIEFFECT, along with additional early-stage Wound &amp; Surgical products in development.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Investigation, Restatement and Related Expense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Investigation, restatement, and related expenses decreased $7.0 million to $5.2 million for the year ended December 31, 2023, compared to $12.2 million for the year ended December 31, 2022. The decrease was related to negotiated reductions in legal fees previously incurred under indemnification agreements with certain former members of management year-over-year. In addition, following the end of a legal proceeding, expenses under our last material indemnification agreement substantially ceased in 2023. Prior to this, the Company had incurred significant expenses in fulfilling its obligations under indemnification agreements by advancing and reimbursing legal fees of certain former officers and directors of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 Assets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increased $0.1 million from $0.7 million for the year ended December 31, 2022 to $0.8 million for the year ended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$1.4 million to $6.5 million for the year ended December 31, 2023 from $5.0 million for the year ended December 31, 2022. The increase was the result of year-over-year increases in the reference market interest rates on our outstanding debt. We expect interest expense to decrease in future quarters as a result of our debt refinancing transactions completed on January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Provision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tax rate for 2023 and 2022 was (120.2)% and (1.0)%, respectively, on pre-tax book income from continuing operations of $30.6 million for 2023 and pre-tax book loss from continuing operations of $19.7 million for 2022. Our effective tax rate for the year ended December 31, 2023 was significantly influenced by the reversal of a valuation allowance, reflecting a change in the determination of the likelihood of the realizability of certain of the Company’s deferred tax assets as of that date. This re-evaluation occurred as a result of the conclusion that the disbanding of our Regenerative Medicine segment qualified as a discontinued operation, in concert with the Company’s operating results. Net operating losses incurred during 2022 were offset by a full valuation allowance.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require capital for our operating activities, including costs associated with the sale of product through direct and indirect sales channels, research and development activities, compliance costs, costs to sell and market our products, regulatory fees, and legal and consulting fees in connection with ongoing litigation and other matters. We generally fund our operating capital requirements through our operating activities and cash reserves. We expect to use capital to invest in the broadening of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3" w:name="page44"/>
    <w:bookmarkEnd w:id="4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 portfolio, including through potential acquisitions, licensing agreements or other arrangements, the international expansion of our business and certain capital projects.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$82.0 million of cash and cash equivalents.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working capital at December 31, 2023 was $118.3 million, an increase of $27.6 million from $90.6 million at December 31, 2022. Our current ratio was 3.6 to 1 as of December 31, 2023 and 3.1 to 1 as of December 31, 2022.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currently paying its obligations in the ordinary course of business. We believe that our anticipated cash from operating activities, existing cash and cash equivalents, and available credit under the Citizens Credit Agreement, as defined below, will enable us to meet our operational liquidity needs for the twelve months following the filing date of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 xml:space="preserve">Contractual obligations associated with ongoing business activities are expected to result in cash payments in future periods. See Item 8,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Consolidated Financial Statements for more information regarding our contractual commitments.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Citizens Loan Facilities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January 19, 2024, we entered into a Credit Agreement (the “</w:t>
      </w:r>
      <w:r>
        <w:rPr>
          <w:rFonts w:ascii="Times New Roman" w:cs="Times New Roman" w:eastAsia="Times New Roman" w:hAnsi="Times New Roman"/>
          <w:sz w:val="18"/>
          <w:szCs w:val="18"/>
          <w:b w:val="1"/>
          <w:bCs w:val="1"/>
          <w:i w:val="1"/>
          <w:iCs w:val="1"/>
          <w:color w:val="auto"/>
        </w:rPr>
        <w:t>Citizens Credit Agreement</w:t>
      </w:r>
      <w:r>
        <w:rPr>
          <w:rFonts w:ascii="Times New Roman" w:cs="Times New Roman" w:eastAsia="Times New Roman" w:hAnsi="Times New Roman"/>
          <w:sz w:val="18"/>
          <w:szCs w:val="18"/>
          <w:color w:val="auto"/>
        </w:rPr>
        <w:t>”) with a syndicate of banks comprised of Citizens Bank, N.A. as administrative agent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and Bank of America, N.A. The Citizens Credit Agreement was designed to simultaneously improve our capital structure, providing the ability to refinance the $50 million Hayfin Term Loan at lower interest rates and have access to additional borrowing capacity that could be deployed in the future in support of our organic and potential inorganic growth objectives.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Citizens Credit Agreement provides for senior secured credit facilities in an aggregate principal amount of up to $95.0 million consisting of: (i) a $75.0 million senior secured revolving credit facility (the “</w:t>
      </w:r>
      <w:r>
        <w:rPr>
          <w:rFonts w:ascii="Times New Roman" w:cs="Times New Roman" w:eastAsia="Times New Roman" w:hAnsi="Times New Roman"/>
          <w:sz w:val="18"/>
          <w:szCs w:val="18"/>
          <w:b w:val="1"/>
          <w:bCs w:val="1"/>
          <w:i w:val="1"/>
          <w:iCs w:val="1"/>
          <w:color w:val="auto"/>
        </w:rPr>
        <w:t>Revolving Credit Facility</w:t>
      </w:r>
      <w:r>
        <w:rPr>
          <w:rFonts w:ascii="Times New Roman" w:cs="Times New Roman" w:eastAsia="Times New Roman" w:hAnsi="Times New Roman"/>
          <w:sz w:val="18"/>
          <w:szCs w:val="18"/>
          <w:color w:val="auto"/>
        </w:rPr>
        <w:t>”) with a $10.0 million letter of credit sublimit and a $10.0 million swingline loan sublimit, and (ii) a $20.0 million senior secured term loan facility (the “</w:t>
      </w:r>
      <w:r>
        <w:rPr>
          <w:rFonts w:ascii="Times New Roman" w:cs="Times New Roman" w:eastAsia="Times New Roman" w:hAnsi="Times New Roman"/>
          <w:sz w:val="18"/>
          <w:szCs w:val="18"/>
          <w:b w:val="1"/>
          <w:bCs w:val="1"/>
          <w:i w:val="1"/>
          <w:iCs w:val="1"/>
          <w:color w:val="auto"/>
        </w:rPr>
        <w:t>Term Loan Facility</w:t>
      </w:r>
      <w:r>
        <w:rPr>
          <w:rFonts w:ascii="Times New Roman" w:cs="Times New Roman" w:eastAsia="Times New Roman" w:hAnsi="Times New Roman"/>
          <w:sz w:val="18"/>
          <w:szCs w:val="18"/>
          <w:color w:val="auto"/>
        </w:rPr>
        <w:t>” and, together with the Revolving Credit Facility, the “</w:t>
      </w:r>
      <w:r>
        <w:rPr>
          <w:rFonts w:ascii="Times New Roman" w:cs="Times New Roman" w:eastAsia="Times New Roman" w:hAnsi="Times New Roman"/>
          <w:sz w:val="18"/>
          <w:szCs w:val="18"/>
          <w:b w:val="1"/>
          <w:bCs w:val="1"/>
          <w:i w:val="1"/>
          <w:iCs w:val="1"/>
          <w:color w:val="auto"/>
        </w:rPr>
        <w:t>Credit Facilities</w:t>
      </w:r>
      <w:r>
        <w:rPr>
          <w:rFonts w:ascii="Times New Roman" w:cs="Times New Roman" w:eastAsia="Times New Roman" w:hAnsi="Times New Roman"/>
          <w:sz w:val="18"/>
          <w:szCs w:val="18"/>
          <w:color w:val="auto"/>
        </w:rPr>
        <w:t>”). All obligations are required to be paid in full on January 19, 2029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and are guaranteed by certain of the Company’s subsidiaries, and secured by substantially all of the assets of the Company and the guarantors pursuant to a customary security agreement. Subject to the terms of the Citizens Credit Agreement, the Company has the option to obtain one or more incremental term loan facilities and/or increase the commitments under the Revolving Credit Facility in an aggregate principal amount equal to the greater of (i) $50.0 million and (ii) 1.00 times the Company’s Consolidated EBITDA as defined therein, each subject to the existing or any new lenders’ election to extend additional term loans or revolving commitments.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our option, borrowings under the Citizens Credit Agreement (other than any swingline loan) will bear interest at a rate per annum equal to (i) the Alternate Base Rate, as defined therein, or (ii) a Term SOFR as defined therein, in each case plus an applicable margin ranging from 1.25% and 2.50% with respect to Alternate Base Rate borrowings and 2.25% and 3.50% for Term SOFR borrowings. Swingline loans will bear interest at a rate per annum equal to one-month Term SOFR plus the applicable margin. The applicable margin will be determined based on the Company’s consolidated total net leverage ratio.</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required to pay a quarterly commitment fee on any unused portion of the Revolving Credit Facility, letter of credit fees, and other customary fees to the Agent and the Lenders. The Term Loan Facility will amortize on a quarterly basis at 1.25% (for year one and two), 1.875% (for year three and four), and 2.5% (for year five) based on the aggregate principal amount outstanding under the Term Loan Facility, with the remainder due on the Maturity Date. The Company must make mandatory prepayments in connection with certain asset dispositions and casualty events, subject in each case to customary reinvestment rights. The Company may prepay borrowings under the Credit Facilities at any time, without premium or penalty, and may, at its option, reduce the aggregate unused commitments under the Revolving Credit Facility in whole or in part, in each case subject to the terms of the Credit Agreement. The Company must also comply with certain financial covenants, including a maximum total net leverage ratio and a minimum consolidated fixed charge coverage ratio, as well as other customary restrictive covenants.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on January 19, 2024, we borrowed $30.0 million under the Revolving Credit Facility and $20.0 million under the Term Loan Facility. Proceeds from the initial drawings under the Credit Facilities, together with cash on hand, were used to repay in full the $50.0 million principal amount and other obligations under that certain Loan Agreement, dated as of June 30, 2020 (as amended from time to time), by and among the Company, the guarantors party thereto, the lenders party thereto and Hayfin Services LLP, as administrative and collateral agent (as amended from time to time, the “</w:t>
      </w:r>
      <w:r>
        <w:rPr>
          <w:rFonts w:ascii="Times New Roman" w:cs="Times New Roman" w:eastAsia="Times New Roman" w:hAnsi="Times New Roman"/>
          <w:sz w:val="18"/>
          <w:szCs w:val="18"/>
          <w:b w:val="1"/>
          <w:bCs w:val="1"/>
          <w:i w:val="1"/>
          <w:iCs w:val="1"/>
          <w:color w:val="auto"/>
        </w:rPr>
        <w:t>Hayfin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to pay related fees, premiums, costs and expenses (collectively with the entry into the Citizens Credit Agreement and the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borrowings thereunder, the “</w:t>
      </w:r>
      <w:r>
        <w:rPr>
          <w:rFonts w:ascii="Times New Roman" w:cs="Times New Roman" w:eastAsia="Times New Roman" w:hAnsi="Times New Roman"/>
          <w:sz w:val="18"/>
          <w:szCs w:val="18"/>
          <w:b w:val="1"/>
          <w:bCs w:val="1"/>
          <w:i w:val="1"/>
          <w:iCs w:val="1"/>
          <w:color w:val="auto"/>
        </w:rPr>
        <w:t>Debt Refinancing Transactions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27, 2024, we repaid the initial $30.0 million drawing under the Revolving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Hayfin Term Loan</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June 2020, we entered into the Hayfin Loan Agreement, under which Hayfin provided us with a senior secured term loan of $50 million (the “</w:t>
      </w:r>
      <w:r>
        <w:rPr>
          <w:rFonts w:ascii="Times New Roman" w:cs="Times New Roman" w:eastAsia="Times New Roman" w:hAnsi="Times New Roman"/>
          <w:sz w:val="18"/>
          <w:szCs w:val="18"/>
          <w:b w:val="1"/>
          <w:bCs w:val="1"/>
          <w:i w:val="1"/>
          <w:iCs w:val="1"/>
          <w:color w:val="auto"/>
        </w:rPr>
        <w:t>Hayfin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Term Loan</w:t>
      </w:r>
      <w:r>
        <w:rPr>
          <w:rFonts w:ascii="Times New Roman" w:cs="Times New Roman" w:eastAsia="Times New Roman" w:hAnsi="Times New Roman"/>
          <w:sz w:val="18"/>
          <w:szCs w:val="18"/>
          <w:color w:val="auto"/>
        </w:rPr>
        <w:t>”). The Hayfin Term Loan was to mature on June 30, 2025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Interest on any borrowings was based on SOFR, plus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fallback provision of 0.15%, subject to a floor of 1.5%, plus a margin of 6.75%. As of December 31, 2023, the Hayfin Term Loan carried an interest rate of 12.3%.</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in January 2024, we repaid in full the Hayfin Term Loan as part of the Debt Refinancing Transactions and terminated the Hayfin Loan Agreement.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the Company entered into a Separation Agreement and General Release with Timothy R. Wright, the former Chief Executive Officer of the Company (the “</w:t>
      </w:r>
      <w:r>
        <w:rPr>
          <w:rFonts w:ascii="Times New Roman" w:cs="Times New Roman" w:eastAsia="Times New Roman" w:hAnsi="Times New Roman"/>
          <w:sz w:val="18"/>
          <w:szCs w:val="18"/>
          <w:b w:val="1"/>
          <w:bCs w:val="1"/>
          <w:i w:val="1"/>
          <w:iCs w:val="1"/>
          <w:color w:val="auto"/>
        </w:rPr>
        <w:t>Separation Agreement</w:t>
      </w:r>
      <w:r>
        <w:rPr>
          <w:rFonts w:ascii="Times New Roman" w:cs="Times New Roman" w:eastAsia="Times New Roman" w:hAnsi="Times New Roman"/>
          <w:sz w:val="18"/>
          <w:szCs w:val="18"/>
          <w:color w:val="auto"/>
        </w:rPr>
        <w:t>”). Pursuant to the terms of the Separation Agreement and Mr. Wright’s general release of all claims against the Company, the Company will pay Mr. Wright a total of $3.1 million in cash in a series of installments through September 2024. Of this amount, $1.2 million is reflected in accrued compensation in the consolidated balance sheet as of December 31,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 for 2023 Compared to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 from Continuing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operating activities of continuing operations increased $42.9 million to $34.9 million compared to cash used of $8.0 million for the year ended December 31, 2022. The increase in cash provided by operating activities was primarily as a result of year-over-year increases in net sales, which drove increases in collections from customers, as well as year-over-year decreases in operating expenses during the year ended December 31,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used in investing activities was $2.2 million, a decrease of $0.5 million, compared to $2.7 million for the year ended December 31, 2022. The primary reason for the decrease was a $0.5 million increase in capital expenditures, year-over-year, offset by $1.0 million of payments made pursuant to a licensing agreement in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net cash used in financing activities was $8.6 million, an increase of $8.0 million compared to cash used in financing activities of $0.6 million for the year ended December 31, 2022. During 2023, we repurchased 5,000 shares of our Series B Preferred Stock for $9.5 million. The repurchase was offset by increases in proceeds from option exercises ($0.3 million) and decreases in stock repurchases for tax withholdings ($1.2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discusses our consolidated financial statements, which have been prepared in accordance with accounting principles generally accepted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The preparation of these financial statements requires that we make judgments and estimates which may affect the reported amounts of assets and liabilities, the disclosure of contingent assets and liabilities at the date of the financial statements, and the reported amounts of revenues and expenses during the reporting period. We derive these judgments and estimates on historical experience and other relevant factors which we believe to be reasonable. Actual results may differ from these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auto"/>
        </w:rPr>
        <w:t>Description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the fair value of stock options and other stock-based awards granted to employees on the grant date and recognize the assessed fair value as share-based compensation expense, straight-line, over the requisite service period to achieve the award based on the vesting requirements, to the extent that the achievement of performance conditions associated with such awards, as applicable, are determined to be “probable.”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Judgments and Uncertainties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Share-based payment arrangements are measured at fair value on the grant date. The fair value of equity incentive awards, which are usually shares of our common stock, are generally measured at the last trading price on the grant date.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stock options is calculated using an appropriate valuation technique. The valuation technique generally requires us to make certain assumptions, including (1) the fair value of the common stock, (2) the expected volatility of our stock price, (3) the expected term of the award, (4) the risk-free interest rate, and (5) expected dividends. Our expectation for volatility is generally based on historical daily share price movements, with certain adjustments for abnormal share price activity associated with events which are not expected to recur during the expected term. The expected term of the award requires us to make assumptions regarding the post-vesting behavior of the recipients, which is based off available evidence. Our assumption for the risk-free rate is derived from prevailing U.S. Treasuries with similar terms to the award on the grant date. Our assumption for dividends is derived from our own dividend history.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any such awards are subject to a market condition, the resolution of the market condition is reflected in the fair value of the grant date. Further, the requisite service period associated with an award containing a market condition must derive the service period over which the market condition is expected to be met. Fair value and derived service periods are generally determined using a Monte Carlo simulation.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Subsequent to the determination of fair value, we recognize expense to the extent we evaluate that performance conditions associated with share-based payment arrangements are probable of occurring. In certain cases where the extent of vesting is based on the extent of achievement, we are required to determine the extent to which achievement is probable. We determine probable performance based on actual performance to date, internally-developed budgets and forecasts for periods covered by the relevant performance condition, and other evidence deemed relevant to this determination. We re-evaluate our probability assessments at least quarterly, with any revisions reflected as a cumulative adjustment to expense. Because of the cumulative nature of adjustments, during any period in which we re-evaluate probability, the adjustments could significantly impact our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Sensitivity of Estimate to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we granted stock options with a fair value on the grant date of $7.0 million. This estimate was determined using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Monte Carlo simulation using the following inputs: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46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Assumption</w:t>
            </w:r>
          </w:p>
        </w:tc>
      </w:tr>
      <w:tr>
        <w:trPr>
          <w:trHeight w:val="22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grant date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3.70</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(annualized)</w:t>
            </w:r>
          </w:p>
        </w:tc>
        <w:tc>
          <w:tcPr>
            <w:tcW w:w="56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r>
      <w:tr>
        <w:trPr>
          <w:trHeight w:val="23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6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1.93</w:t>
            </w:r>
          </w:p>
        </w:tc>
      </w:tr>
    </w:tbl>
    <w:p>
      <w:pPr>
        <w:spacing w:after="0" w:line="22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granted stock options reflected an expected term based on our expectations for exercise activity. Changes in any of these assumptions could result in a revised estimate of fair value of the granted stock options, which would impact the amount of expense recognized over the requisite service period, and could materially affect the total fair value or the amount of expense recognized in a particular period.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cumulative expense recognized for unvested performance stock unit awards was $1.7 million for the year ended December 31, 2023. This is based on determinations regarding probable resolution or the extent of probable resolution of relevant performance conditions to earn such awards. If it is subsequently determined that the performance conditions associated with these awards are no longer probable of being met, or performance conditions which were determined to be probable of occurring do not actually occur, we could reverse up to this amount of expense in the period such determination is made. Furthermore, if probable levels of achievement are later determined to be greater, or actual achievement exceeds the level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of achievement assessed as probable, we could record increases to expense to reflect this level of achievement. The amount of any incremental expense recognition or reversal will depend on the magnitude and timing of such change in estimate.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estimates for returns and allowances as a reduction to net sales based on our expectation for such returns.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Judgments and Uncertainties</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sell our products to individual customer and independent distributors (collectively referred to as “</w:t>
      </w: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Customers obtain and use products either through ship and bill sales or consignment arrangements. We recognize revenue as performance obligations are fulfilled, which generally occurs upon the shipment of product to customers for ship and bill sales or upon implantation for consignment sales. We recognize revenue based on consideration we expect to receive from the sale. This consists of the gross selling price of the product, less any discounts, rebates, fees paid to GPOs, and an expectation for sales returns.</w:t>
      </w:r>
    </w:p>
    <w:p>
      <w:pPr>
        <w:spacing w:after="0" w:line="1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return policy that allows our customers to return product for any reason within 30 days of sale, and to return product that is damaged or non-conforming, ordered in error, or due to recall at any time. We anticipate increases in sales returns in light of potential or actual regulatory actions.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derive an expectation for product returns based on historical return patterns and other factors, including shifts in our regulatory environment and product recalls. Determinations involving other factors are based on our estimates for product at customer sites that are eligible for return.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Additions or reversals to our return allowance, as determined necessary, are accounted for prospectively and recorded as a decrease or increase to net sales, respectively. Actual returns are recorded against the recorded accrual.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Sensitivity of Estimate to Change</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accrued $1.1 million for sales returns as of December 31, 2023. Changes in return patterns or unforeseen changes in regulations or identified product recalls could cause returns significantly in excess of this estimate.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a valuation allowance to offset our net deferred tax asset to the extent that realization is not likely.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Judgments and Uncertainties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Transactions which result in lower taxable income in the future give rise to deferred tax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our ability to recover deferred tax assets based on projected future taxable income, scheduled reversals of deferred tax liabilities, tax planning strategies, and our recent operating results. Judgment is required to determine whether the totality of this evidence suggests that we can recover our deferred tax assets in the future.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Sensitivity of Estimate to Change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had $0.9 million in valuation allowances recorded against our deferred tax assets balance of $41.7 million. The amount and extent of the valuation allowance necessary to reflect the extent of realization of these deferred tax assets being more likely than not may change due to changes in tax law, a revision to our expectation regarding taxable income in the future, taxable income generated in a period in which we had not previously anticipated taxable income, a change in scheduled reversals of deferred tax liabilities, and other changes.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weight of available evidence suggests that some or all of this amount is more likely than not to be realized, we will change the valuation allowance with a corresponding adjustment to income tax provision (benefit) expense to the extent that the underlying deferred tax asset is more likely than not to be realized.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0" w:lineRule="exact"/>
        <w:rPr>
          <w:sz w:val="20"/>
          <w:szCs w:val="20"/>
          <w:color w:val="auto"/>
        </w:rPr>
      </w:pPr>
    </w:p>
    <w:p>
      <w:pPr>
        <w:ind w:right="880"/>
        <w:spacing w:after="0" w:line="455" w:lineRule="auto"/>
        <w:rPr>
          <w:sz w:val="20"/>
          <w:szCs w:val="20"/>
          <w:color w:val="auto"/>
        </w:rPr>
      </w:pPr>
      <w:r>
        <w:rPr>
          <w:rFonts w:ascii="Times New Roman" w:cs="Times New Roman" w:eastAsia="Times New Roman" w:hAnsi="Times New Roman"/>
          <w:sz w:val="18"/>
          <w:szCs w:val="18"/>
          <w:color w:val="auto"/>
        </w:rPr>
        <w:t xml:space="preserve">See Item 8,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the Consolidated Financial Statements for recently adopted accounting pronouncements. </w:t>
      </w:r>
      <w:r>
        <w:rPr>
          <w:rFonts w:ascii="Times New Roman" w:cs="Times New Roman" w:eastAsia="Times New Roman" w:hAnsi="Times New Roman"/>
          <w:sz w:val="18"/>
          <w:szCs w:val="18"/>
          <w:b w:val="1"/>
          <w:bCs w:val="1"/>
          <w:color w:val="auto"/>
        </w:rPr>
        <w:t>Item 7A. Quantitative and Qualitative Disclosures About Market Risk</w:t>
      </w: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risks associated with changes in interest rates that could adversely affect our results of operations and financial condition. We do not hedge against interest rate risk.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on our new Term Loan Facility is currently determined quarterly based on the 1-month SOFR. As of December 31, 2023, after giving effect to the Debt Refinancing Transactions, the interest rate on our Term Loan Facility was 7.9%. A 100-basis point change in SOFR would change interest expense by $0.5 million on an annualized basis.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incurred $1.5 million in incremental interest expense as a result of increases in relevant reference rates during the year under the Hayfin Loan Agreement.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10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109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10900" w:type="dxa"/>
            <w:vAlign w:val="bottom"/>
            <w:tcBorders>
              <w:bottom w:val="single" w:sz="8" w:color="CCEEFF"/>
            </w:tcBorders>
            <w:gridSpan w:val="3"/>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Report of Deloitte &amp; Touche LLP, Independent Registered Public Accounting Firm (PCAOB ID: 34)</w:t>
            </w:r>
          </w:p>
        </w:tc>
        <w:tc>
          <w:tcPr>
            <w:tcW w:w="3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4"/>
              </w:rPr>
              <w:t>F- 2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900" w:type="dxa"/>
            <w:vAlign w:val="bottom"/>
            <w:gridSpan w:val="3"/>
          </w:tcPr>
          <w:p>
            <w:pPr>
              <w:ind w:left="360"/>
              <w:spacing w:after="0" w:line="189" w:lineRule="exact"/>
              <w:rPr>
                <w:sz w:val="20"/>
                <w:szCs w:val="20"/>
                <w:color w:val="auto"/>
              </w:rPr>
            </w:pPr>
            <w:r>
              <w:rPr>
                <w:rFonts w:ascii="Times New Roman" w:cs="Times New Roman" w:eastAsia="Times New Roman" w:hAnsi="Times New Roman"/>
                <w:sz w:val="18"/>
                <w:szCs w:val="18"/>
                <w:color w:val="auto"/>
              </w:rPr>
              <w:t>Consolidated Balance Sheets – As of December 31, 2023 and 2022</w:t>
            </w: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F- 4</w:t>
            </w:r>
          </w:p>
        </w:tc>
      </w:tr>
      <w:tr>
        <w:trPr>
          <w:trHeight w:val="20"/>
        </w:trPr>
        <w:tc>
          <w:tcPr>
            <w:tcW w:w="3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900" w:type="dxa"/>
            <w:vAlign w:val="bottom"/>
            <w:tcBorders>
              <w:bottom w:val="single" w:sz="8" w:color="CCEEFF"/>
            </w:tcBorders>
            <w:gridSpan w:val="3"/>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 For the years ended December 31, 2023, 2022 and 2021</w:t>
            </w:r>
          </w:p>
        </w:tc>
        <w:tc>
          <w:tcPr>
            <w:tcW w:w="3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4"/>
              </w:rPr>
              <w:t>F- 5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900" w:type="dxa"/>
            <w:vAlign w:val="bottom"/>
            <w:gridSpan w:val="3"/>
          </w:tcPr>
          <w:p>
            <w:pPr>
              <w:ind w:left="360"/>
              <w:spacing w:after="0" w:line="189" w:lineRule="exact"/>
              <w:rPr>
                <w:sz w:val="20"/>
                <w:szCs w:val="20"/>
                <w:color w:val="auto"/>
              </w:rPr>
            </w:pPr>
            <w:r>
              <w:rPr>
                <w:rFonts w:ascii="Times New Roman" w:cs="Times New Roman" w:eastAsia="Times New Roman" w:hAnsi="Times New Roman"/>
                <w:sz w:val="18"/>
                <w:szCs w:val="18"/>
                <w:color w:val="auto"/>
              </w:rPr>
              <w:t xml:space="preserve">Consolidated Statements of Stockholders’ </w:t>
            </w:r>
            <w:r>
              <w:rPr>
                <w:rFonts w:ascii="Times New Roman" w:cs="Times New Roman" w:eastAsia="Times New Roman" w:hAnsi="Times New Roman"/>
                <w:sz w:val="18"/>
                <w:szCs w:val="18"/>
                <w:color w:val="0000FF"/>
              </w:rPr>
              <w:t>Equity (Deficit)</w:t>
            </w:r>
            <w:r>
              <w:rPr>
                <w:rFonts w:ascii="Times New Roman" w:cs="Times New Roman" w:eastAsia="Times New Roman" w:hAnsi="Times New Roman"/>
                <w:sz w:val="18"/>
                <w:szCs w:val="18"/>
                <w:color w:val="auto"/>
              </w:rPr>
              <w:t xml:space="preserve"> – For the years ended December 31, 2023, 2022 and 2021</w:t>
            </w: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F- 6</w:t>
            </w:r>
          </w:p>
        </w:tc>
      </w:tr>
      <w:tr>
        <w:trPr>
          <w:trHeight w:val="20"/>
        </w:trPr>
        <w:tc>
          <w:tcPr>
            <w:tcW w:w="34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900" w:type="dxa"/>
            <w:vAlign w:val="bottom"/>
            <w:tcBorders>
              <w:bottom w:val="single" w:sz="8" w:color="CCEEFF"/>
            </w:tcBorders>
            <w:gridSpan w:val="3"/>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 For the years ended December 31, 2023, 2022 and 2021</w:t>
            </w:r>
          </w:p>
        </w:tc>
        <w:tc>
          <w:tcPr>
            <w:tcW w:w="3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4"/>
              </w:rPr>
              <w:t>F- 7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900" w:type="dxa"/>
            <w:vAlign w:val="bottom"/>
            <w:gridSpan w:val="3"/>
          </w:tcPr>
          <w:p>
            <w:pPr>
              <w:ind w:left="36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00" w:type="dxa"/>
            <w:vAlign w:val="bottom"/>
            <w:tcBorders>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4"/>
              </w:rPr>
              <w:t>F- 8</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49" w:name="page50"/>
    <w:bookmarkEnd w:id="49"/>
    <w:p>
      <w:pPr>
        <w:ind w:right="5060"/>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MiMedx Group, Inc. </w:t>
      </w:r>
      <w:r>
        <w:rPr>
          <w:rFonts w:ascii="Times New Roman" w:cs="Times New Roman" w:eastAsia="Times New Roman" w:hAnsi="Times New Roman"/>
          <w:sz w:val="18"/>
          <w:szCs w:val="18"/>
          <w:b w:val="1"/>
          <w:bCs w:val="1"/>
          <w:color w:val="auto"/>
        </w:rPr>
        <w:t>Opinion on the Financial Statements</w:t>
      </w:r>
    </w:p>
    <w:p>
      <w:pPr>
        <w:spacing w:after="0" w:line="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MiMedx Group, Inc. and subsidiaries (the "Company") as of December 31, 2023 and 2022, the related consolidated statements of operations, stockholders'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28, 2024, expressed an unqualified opinion on the Company's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2" w:lineRule="exact"/>
        <w:rPr>
          <w:sz w:val="20"/>
          <w:szCs w:val="20"/>
          <w:color w:val="auto"/>
        </w:rPr>
      </w:pPr>
    </w:p>
    <w:p>
      <w:pPr>
        <w:ind w:right="518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Net Sales - Revenue Recognition — Refer to Note 2 to the Financial Statements </w:t>
      </w:r>
      <w:r>
        <w:rPr>
          <w:rFonts w:ascii="Times New Roman" w:cs="Times New Roman" w:eastAsia="Times New Roman" w:hAnsi="Times New Roman"/>
          <w:sz w:val="18"/>
          <w:szCs w:val="18"/>
          <w:i w:val="1"/>
          <w:iCs w:val="1"/>
          <w:color w:val="auto"/>
        </w:rPr>
        <w:t>Critical Audit Matter Description</w:t>
      </w: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sells its products primarily to individual customers and independent distributors (collectively referred to as “customers”). Customers obtain and use products either through ship and bill sales or consignment arrangements. Under ship and bill arrangements, the Company retains possession of the product until the customer submits an order and the order is shipped to the customer. Under consignment arrangements, the customer takes possession of the product, but the Company retains title until the implantation, or application of the Company’s product to the end user. The Company recognizes revenue as performance obligations are fulfilled, which generally occurs upon the shipment of product to the customers for ship and bill orders or upon implantation for consignment sales.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timing of revenue recognition for ship and bill and consignment sales at or near year end as a critical audit matter because of the judgments involved in evaluating that the performance obligations are fulfilled. This required a higher degree of audit effort and auditor judgment when performing audit procedures and evaluating the results of these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timing of revenue recognition transactions included the following,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0" w:name="page51"/>
    <w:bookmarkEnd w:id="50"/>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recognition of ship and bill and consignment sales at or near year end.</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created data visualizations using a detail of all revenue transactions and evaluated trends in the transactional revenue data with emphasis on activity at or near year end.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and tested corollary relationships between revenue and related accounts.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and consistency of the methods and assumptions utilized by management to estimate consignment revenue.</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a sample of consignment revenue transactions manually accrued as of year-end and evaluated whether the transactions were recorded in the correct period.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ship and bill revenue transactions close to period end by agreeing the amounts recognized to source documents and evaluating whether the transaction was recorded in the correct period.</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a sample of credits issued after year end by agreeing to documents supporting the authorization for the issuance of the credit and to evaluate if the credit was issued in the correct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1" w:name="page52"/>
    <w:bookmarkEnd w:id="5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MIMEDX GROUP,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65,950</w:t>
            </w:r>
          </w:p>
        </w:tc>
        <w:tc>
          <w:tcPr>
            <w:tcW w:w="0" w:type="dxa"/>
            <w:vAlign w:val="bottom"/>
          </w:tcPr>
          <w:p>
            <w:pPr>
              <w:spacing w:after="0"/>
              <w:rPr>
                <w:sz w:val="1"/>
                <w:szCs w:val="1"/>
                <w:color w:val="auto"/>
              </w:rPr>
            </w:pPr>
          </w:p>
        </w:tc>
      </w:tr>
      <w:tr>
        <w:trPr>
          <w:trHeight w:val="229"/>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0" w:type="dxa"/>
            <w:vAlign w:val="bottom"/>
          </w:tcPr>
          <w:p>
            <w:pPr>
              <w:spacing w:after="0"/>
              <w:rPr>
                <w:sz w:val="1"/>
                <w:szCs w:val="1"/>
                <w:color w:val="auto"/>
              </w:rPr>
            </w:pPr>
          </w:p>
        </w:tc>
      </w:tr>
      <w:tr>
        <w:trPr>
          <w:trHeight w:val="229"/>
        </w:trPr>
        <w:tc>
          <w:tcPr>
            <w:tcW w:w="8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134,198</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48"/>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LIABILITIES, CONVERTIBLE PREFERRED STOCK, AND STOCKHOLDERS’ EQUITY (DEFICIT)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20,856</w:t>
            </w:r>
          </w:p>
        </w:tc>
        <w:tc>
          <w:tcPr>
            <w:tcW w:w="0" w:type="dxa"/>
            <w:vAlign w:val="bottom"/>
          </w:tcPr>
          <w:p>
            <w:pPr>
              <w:spacing w:after="0"/>
              <w:rPr>
                <w:sz w:val="1"/>
                <w:szCs w:val="1"/>
                <w:color w:val="auto"/>
              </w:rPr>
            </w:pPr>
          </w:p>
        </w:tc>
      </w:tr>
      <w:tr>
        <w:trPr>
          <w:trHeight w:val="230"/>
        </w:trPr>
        <w:tc>
          <w:tcPr>
            <w:tcW w:w="8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debt,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96,924</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 preferred stock Series B; $.001 par value; 100,000 shares authorized, 0 shares issued and outstanding</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December 31, 2023 and 100,000 shares issued and outstanding at December 31, 2022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$.001 par value; 250,000,000 shares authorized, 146,227,639 issued and outstanding at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2023 and 187,500,000 authorized, 113,705,447 issued and outstanding at December 31, 2022</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173,804</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(191,906)</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239,047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171,430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62" w:right="459" w:bottom="1440" w:gutter="0" w:footer="0" w:header="0"/>
        </w:sectPr>
      </w:pPr>
    </w:p>
    <w:bookmarkStart w:id="52" w:name="page53"/>
    <w:bookmarkEnd w:id="52"/>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MIMEDX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118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242,019</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39,628</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202,391</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194,846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0" w:type="dxa"/>
            <w:vAlign w:val="bottom"/>
          </w:tcPr>
          <w:p>
            <w:pPr>
              <w:spacing w:after="0"/>
              <w:rPr>
                <w:sz w:val="1"/>
                <w:szCs w:val="1"/>
                <w:color w:val="auto"/>
              </w:rPr>
            </w:pPr>
          </w:p>
        </w:tc>
      </w:tr>
      <w:tr>
        <w:trPr>
          <w:trHeight w:val="229"/>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Investigation, restatement and related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 provision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(expense) from continuing operations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income (loss) from continuing operations available to common stockholders</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55,796</w:t>
            </w:r>
          </w:p>
        </w:tc>
        <w:tc>
          <w:tcPr>
            <w:tcW w:w="120" w:type="dxa"/>
            <w:vAlign w:val="bottom"/>
          </w:tcPr>
          <w:p>
            <w:pPr>
              <w:spacing w:after="0"/>
              <w:rPr>
                <w:sz w:val="16"/>
                <w:szCs w:val="16"/>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(18,437)</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10)</w:t>
            </w:r>
          </w:p>
        </w:tc>
        <w:tc>
          <w:tcPr>
            <w:tcW w:w="38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116,495,810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112,909,266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110,353,406</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145,962,462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112,909,266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110,353,406</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jc w:val="center"/>
        <w:spacing w:after="0" w:line="267" w:lineRule="auto"/>
        <w:rPr>
          <w:sz w:val="20"/>
          <w:szCs w:val="20"/>
          <w:color w:val="auto"/>
        </w:rPr>
      </w:pPr>
      <w:r>
        <w:rPr>
          <w:rFonts w:ascii="Times New Roman" w:cs="Times New Roman" w:eastAsia="Times New Roman" w:hAnsi="Times New Roman"/>
          <w:sz w:val="18"/>
          <w:szCs w:val="18"/>
          <w:b w:val="1"/>
          <w:bCs w:val="1"/>
          <w:color w:val="auto"/>
        </w:rPr>
        <w:t>MIMEDX GROUP, INC. AND SUBSIDIARIES CONSOLIDATED STATEMENTS OF STOCKHOLDERS’ EQUITY (DEFICIT) (in thousands, except share data)</w:t>
      </w:r>
    </w:p>
    <w:tbl>
      <w:tblPr>
        <w:tblLayout w:type="fixed"/>
        <w:tblInd w:w="0" w:type="dxa"/>
        <w:tblCellMar>
          <w:top w:w="0" w:type="dxa"/>
          <w:left w:w="0" w:type="dxa"/>
          <w:bottom w:w="0" w:type="dxa"/>
          <w:right w:w="0" w:type="dxa"/>
        </w:tblCellMar>
      </w:tblPr>
      <w:tr>
        <w:trPr>
          <w:trHeight w:val="191"/>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rPr>
              <w:t>Additional</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236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Paid-in</w:t>
            </w: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Treasury Stock</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Accumulated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11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Capital</w:t>
            </w:r>
          </w:p>
        </w:tc>
        <w:tc>
          <w:tcPr>
            <w:tcW w:w="11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Deficit</w:t>
            </w: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112,703,926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158,610</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1,773,683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Deemed dividends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shares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canceled/forfeited</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repurchased for tax</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469,239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December 31, 2021</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112,703,926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165,695</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778,710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(161,709)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shares</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canceled/forfeited</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repurchased for tax</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249,442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0" w:type="dxa"/>
            <w:vAlign w:val="bottom"/>
          </w:tcPr>
          <w:p>
            <w:pPr>
              <w:spacing w:after="0"/>
              <w:rPr>
                <w:sz w:val="1"/>
                <w:szCs w:val="1"/>
                <w:color w:val="auto"/>
              </w:rPr>
            </w:pPr>
          </w:p>
        </w:tc>
      </w:tr>
      <w:tr>
        <w:trPr>
          <w:trHeight w:val="221"/>
        </w:trPr>
        <w:tc>
          <w:tcPr>
            <w:tcW w:w="26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December 31, 2022</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113,705,447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173,804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(191,906)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(17,988)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Conversion of Series B Preferred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64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29,761,650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87,840</w:t>
            </w: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87,870</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Repurchase of Series B Preferred</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shares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canceled/forfeited</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58,228</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146,227,639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276,249</w:t>
            </w:r>
          </w:p>
        </w:tc>
        <w:tc>
          <w:tcPr>
            <w:tcW w:w="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(133,678)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142,717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1136015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941" w:right="559" w:bottom="1440" w:gutter="0" w:footer="0" w:header="0"/>
        </w:sectPr>
      </w:pPr>
    </w:p>
    <w:bookmarkStart w:id="54" w:name="page55"/>
    <w:bookmarkEnd w:id="5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MIMEDX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80" w:type="dxa"/>
            <w:vAlign w:val="bottom"/>
            <w:tcBorders>
              <w:bottom w:val="single" w:sz="8" w:color="auto"/>
            </w:tcBorders>
          </w:tcPr>
          <w:p>
            <w:pPr>
              <w:spacing w:after="0"/>
              <w:rPr>
                <w:sz w:val="20"/>
                <w:szCs w:val="20"/>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w:t>
            </w:r>
          </w:p>
        </w:tc>
      </w:tr>
      <w:tr>
        <w:trPr>
          <w:trHeight w:val="184"/>
        </w:trPr>
        <w:tc>
          <w:tcPr>
            <w:tcW w:w="760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Adjustments to reconcile net income (loss) from continuing operations to net cash flows provided by</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4"/>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(used in) operating activities of continuing operations: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r>
      <w:tr>
        <w:trPr>
          <w:trHeight w:val="230"/>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2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on fixed asset disposal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cash resulting from changes in: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r>
      <w:tr>
        <w:trPr>
          <w:trHeight w:val="229"/>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0"/>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w:t>
            </w:r>
          </w:p>
        </w:tc>
      </w:tr>
      <w:tr>
        <w:trPr>
          <w:trHeight w:val="22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r>
      <w:tr>
        <w:trPr>
          <w:trHeight w:val="22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(20,497)</w:t>
            </w:r>
          </w:p>
        </w:tc>
      </w:tr>
      <w:tr>
        <w:trPr>
          <w:trHeight w:val="230"/>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(used in) operating activities of continuing operations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r>
      <w:tr>
        <w:trPr>
          <w:trHeight w:val="230"/>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flows (used in) provided by operating activities of discontinued operations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w:t>
            </w:r>
          </w:p>
        </w:tc>
      </w:tr>
      <w:tr>
        <w:trPr>
          <w:trHeight w:val="22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equipment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r>
      <w:tr>
        <w:trPr>
          <w:trHeight w:val="230"/>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Patent application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of equipment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licensing agreement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payments from note receivable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3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under finance lease obligations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Series B Preferred Shares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repurchased for tax withholdings on vesting of restricted stock</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3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r>
      <w:tr>
        <w:trPr>
          <w:trHeight w:val="229"/>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95,812</w:t>
            </w:r>
          </w:p>
        </w:tc>
      </w:tr>
      <w:tr>
        <w:trPr>
          <w:trHeight w:val="248"/>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561975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62" w:right="3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MIMEDX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MiMedx Group, Inc. (together with its subsidiaries, except where the context otherwise requires, “</w:t>
      </w:r>
      <w:r>
        <w:rPr>
          <w:rFonts w:ascii="Times New Roman" w:cs="Times New Roman" w:eastAsia="Times New Roman" w:hAnsi="Times New Roman"/>
          <w:sz w:val="18"/>
          <w:szCs w:val="18"/>
          <w:b w:val="1"/>
          <w:bCs w:val="1"/>
          <w:i w:val="1"/>
          <w:iCs w:val="1"/>
          <w:color w:val="auto"/>
        </w:rPr>
        <w:t>MIMEDX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a pioneer and leader in placental biologics focused on helping humans heal. With more than a decade of helping clinicians manage chronic and other hard-to-heal wounds, MIMEDX is dedicated to providing a leading portfolio of products for applications in the wound care, burn, and surgical sectors of healthcare. The Company’s vision is to be the leading global provider of healing solutions through relentless innovation to restore quality of life. All of our products sold in the United States are regulated by the United States Food and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 portfolio and product development focuses on Wound and Surgical markets.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business is focused primarily on the United States of America but the Company also has a small commercial presence in several international locations, including Japan.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Disbanding of Regenerative Medicine Business Unit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June 20, 2023, the Company announced the disbanding of its Regenerative Medicine business unit and the suspension of its Knee Osteoarthritis clinical trial program. During the fourth quarter of 2023, the Company completed the regulatory obligations associated with the clinical trial and concluded that the business unit met the criteria for presentation as a discontinued operation at that time. Refer to Note 13,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further discussion.</w:t>
      </w:r>
    </w:p>
    <w:p>
      <w:pPr>
        <w:spacing w:after="0" w:line="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MiMedx Group, Inc. and its wholly-owned subsidiaries. All intercompany balances and transactions have been eliminated upon consolidation.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Increases in cash resulting from changes in income taxes of $0 and $9.3 million for the years ended December 31, 2022 and 2021, respectively, were separately presented in previously issued consolidated statements of cash flows. These amounts are reflected as part of changes in other assets in the consolidated statements of cash flows included in these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GAAP requires management to make estimates and assumptions that affect the reported amounts of assets and liabilities and disclosure of contingent assets and liabilities at the date of the consolidated financial statements and the reported consolidated statements of operations during the reporting period. Actual results could differ from those estimates. Significant estimates include estimated useful lives and potential impairment of property and equipment, goodwill and intangible assets, estimates of loss for contingent liabilities, estimate of allowance for doubtful accounts, estimate of fair value of share-based payments, the extent of probable achievement of performance conditions in share-based payment awards, estimates of returns and allowances, and valuation of deferred tax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application of GAAP requires the use of the “management approach” model for segment reporting. The management approach model is based on the way a company’s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organizes segments within the Company for which separate financial information is available regarding resource allocation and assessing performance. The Company has concluded that its Chief Executive Officer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is its CODM. The Company reassesses the existence of operating segments when facts and circumstances suggest that there may have been a change in the way that the Company is managed. Prior to the fourth quarter of 2023, the Company assessed that it operated as two operating and reportable segments: Wound &amp; Surgical and Regenerative Medicine. During the fourth quarter of 2023, upon the conclusion that the Regenerative Medicine segment met all the requirements to be classified as a discontinued operation, the Company reassessed its operating segments, concluding that the CODM assesses performance and resources as one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held at various banks. The Company considers all highly-liquid investments purchased with an original maturity of three months or less at the date of purchase and money market mutual funds to be cash equivalents.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Concentrations and Credit Risk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places its cash and cash equivalents on deposit with U.S.-based financial institutions. The U.S. Federal Deposit Insurance Corporation (“</w:t>
      </w:r>
      <w:r>
        <w:rPr>
          <w:rFonts w:ascii="Times New Roman" w:cs="Times New Roman" w:eastAsia="Times New Roman" w:hAnsi="Times New Roman"/>
          <w:sz w:val="18"/>
          <w:szCs w:val="18"/>
          <w:b w:val="1"/>
          <w:bCs w:val="1"/>
          <w:i w:val="1"/>
          <w:iCs w:val="1"/>
          <w:color w:val="auto"/>
        </w:rPr>
        <w:t>FDIC</w:t>
      </w:r>
      <w:r>
        <w:rPr>
          <w:rFonts w:ascii="Times New Roman" w:cs="Times New Roman" w:eastAsia="Times New Roman" w:hAnsi="Times New Roman"/>
          <w:sz w:val="18"/>
          <w:szCs w:val="18"/>
          <w:color w:val="auto"/>
        </w:rPr>
        <w:t>”) provides insurance coverage for deposits up to $250,000 for substantially all depository accounts. As of December 31, 2023 and 2022, the Company had cash and cash equivalents of approximately $81.3 million and $65.2 million, respectively, in excess of the insured amounts in five depository institutions.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represent amounts due from customers for which revenue has been recognized. Generally, the Company does not require collateral or any other security to support its receivables.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doubtful accounts is calculated based on the Company’s current expectations for credit losses, which is generally informed by historical trends. The Company’s policy to reserve for potential bad debts based on the age of the individual receivable as well as customer-specific qualitative factors, such as bankruptcy proceedings. The Company manages credit risk by routinely performing credit checks on customers prior to sales. Individual receivables are written-off after all reasonable efforts to collect the funds have been made. Actual write-offs may differ from the amounts reserved.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Inventory is valued at the lower of cost or net realizable value. Costs of inventory sold are recognized using the first–in, first-out (“</w:t>
      </w:r>
      <w:r>
        <w:rPr>
          <w:rFonts w:ascii="Times New Roman" w:cs="Times New Roman" w:eastAsia="Times New Roman" w:hAnsi="Times New Roman"/>
          <w:sz w:val="18"/>
          <w:szCs w:val="18"/>
          <w:b w:val="1"/>
          <w:bCs w:val="1"/>
          <w:i w:val="1"/>
          <w:iCs w:val="1"/>
          <w:color w:val="auto"/>
        </w:rPr>
        <w:t>FIFO</w:t>
      </w:r>
      <w:r>
        <w:rPr>
          <w:rFonts w:ascii="Times New Roman" w:cs="Times New Roman" w:eastAsia="Times New Roman" w:hAnsi="Times New Roman"/>
          <w:sz w:val="18"/>
          <w:szCs w:val="18"/>
          <w:color w:val="auto"/>
        </w:rPr>
        <w:t>”) method. Inventory is tracked through raw material, work-in-process, and finished goods stages as the product progresses through various production steps and stocking locations. Labor and overhead costs are absorbed through the various production processes up to when the work order closes. Historical yields and normal capacities are utilized in the calculation of production overhead rates. Write-downs are utilized to account for slow-moving inventory as well as inventory no longer needed due to diminished demand or regulatory action.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on a straight-line method over their estimated useful lives, principally three to seven years. Leasehold improvements are depreciated on a straight-line method over the shorter of the estimated useful lives and the remaining lease term.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records obligations associated with the legal requirement to retire long-lived assets when an estimate for the cost of retirement can reasonably be made. The Company reviews legal obligations associated with the retirement of long-lived assets that result from contractual obligations or the acquisition, construction, development and/or normal use of the assets. If it is determined that a legal obligation exists, regardless of whether the obligation is conditional on a future event, the fair value of the liability for an asset retirement obligation is recognized in the period in which it is incurred, if a reasonable estimate of fair value can be made. The fair value is calculated as the estimate of the expected cash outflow to satisfy the legal obligation discounted to present value using the Company’s then-prevailing incremental borrowing rate. At such point in time, an asset and liability are recorded for the amount of the expected liability. The asset amount is depreciated, straight-line, over the life of the underlying asset, while the liability is accreted to the amount of the expected outflow through selling, general and administrative expense using the effective interest method. Subsequent revisions to estimates for future cash flows related to the asset retirement obligations are recorded as equal increases or decreases to the retirement asset and liability.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(property, equipment, right of use, and intangible assets with finite lives) whenever adverse events or changes in business climate indicate that the expected undiscounted future cash flows from the related assets may be less than their carrying amounts. When a situation arises which results in a conclusion that it is more likely than not that an asset is not recoverable, the Company estimates cash flows expected to be derived from the continuing use and eventual disposition of the asset. If the sum of those cash flows, not discounted to present value, does not exceed the net book value of the asset, the Company estimates the fair value of the asset. Impairment loss is recorded to the extent that the net book value exceeds the fair value of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Impairment reviews are based on an estimated future cash flow approach that requires significant judgment with respect to future revenue and expense growth rates, selection of appropriate discount rate (as applicable), asset groupings, and other assumptions and estimates. The Company uses estimates that are consistent with its business plans and a market participant view of the assets being evaluated. Actual results may differ from these estimates.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no impairment losses on intangible assets for the years ended December 31, 2023 and 2022 and $0.1 million for the year ended December 31, 2021. The Company recorded no impairment losses with respect to any other classes of long-lived assets in those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goodwill for impairment at least annually on October 1 and more frequently whenever events or substantive changes in circumstances indicate that it is more likely than not that goodwill is impaired. In performing the goodwill impairment test, the Company first assesses qualitative factors to determine the existence of impairment. If the qualitative factors indicate that the carrying value of a reporting unit exceeds its fair value, the Company proceeds to a quantitative test to measure the existence and amount, if any, of goodwill impairment. The Company may also choose to bypass the qualitative assessment and proceed directly to the quantitative test.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the quantitative test, impairment loss is recorded to the extent that the carrying value of the reporting unit exceeds its assessed fair value.</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Company concludes that the way in which it is being managed has changed and results in a change to its concluded reporting units, the goodwill assigned to the original reporting unit is allocated to the new reporting units based on the relative fair value of the new reporting units.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reporting units using the income and market approaches, as applicable. Under the income approach, the fair value of a reporting unit is the present value of its future cash flows as viewed from the lens of a hypothetical market participant in an orderly transaction. These future cash flows are derived from expectations of revenue, expenses, tax deductions and credits, working capital flows, capital expenditures, and other projected sources and uses of cash, as applicable. Value indications are developed by discounting expected cash flows to their present value using a discount rate commensurate with the risks associated with the reporting unit subject to testing. Under the market approach, the Company uses market multiples derived from various comparable companies based on measures salient to investors in those companies.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2023, the Company announced the disbanding of its Regenerative Medicine business unit and the suspension of its Knee Osteoarthritis clinical trial program. As a result of this event, the Company evaluated goodwill associated with the Regenerative Medicine reporting unit for potential impairment. The Company estimated fair value for the reporting unit using the income approach; specifically, a discounted cash flow method. As a result of this assessment, management concluded that the fair value of the reporting unit exceeded its carrying value by an amount that exceeded its goodwill balance. Accordingly, the Company recognized an impairment loss for the full amount of the goodwill ascribed to the Regenerative Medicine reporting unit.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Costs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incurs certain legal and related costs in connection with patent applications. The Company capitalizes such costs to be amortized over the expected life of the patent to the extent that an economic benefit is anticipated from the resulting patent or an alternative future use is available to the Company. The Company capitalized $0.2 million, $0.2 million, and $0.3 million of patent costs for the years ended December 31, 2023, 2022, and 2021,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 contract is, or contains, a lease at inception. Leases provide the Company with the right to control an underlying asset for a contractual term, subject to certain renewal and other rights, in exchange for a series of stipulated cash flows. Right of use (“</w:t>
      </w:r>
      <w:r>
        <w:rPr>
          <w:rFonts w:ascii="Times New Roman" w:cs="Times New Roman" w:eastAsia="Times New Roman" w:hAnsi="Times New Roman"/>
          <w:sz w:val="18"/>
          <w:szCs w:val="18"/>
          <w:b w:val="1"/>
          <w:bCs w:val="1"/>
          <w:i w:val="1"/>
          <w:iCs w:val="1"/>
          <w:color w:val="auto"/>
        </w:rPr>
        <w:t>ROU</w:t>
      </w:r>
      <w:r>
        <w:rPr>
          <w:rFonts w:ascii="Times New Roman" w:cs="Times New Roman" w:eastAsia="Times New Roman" w:hAnsi="Times New Roman"/>
          <w:sz w:val="18"/>
          <w:szCs w:val="18"/>
          <w:color w:val="auto"/>
        </w:rPr>
        <w:t>”) assets represent the Company's right to use an underlying asset for the lease term and lease liabilities represent the Company's obligation to make lease payments arising from the lease.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 assets and liabilities are recognized at the lease commencement date based on the estimated present value of lease payments over the lease term. The Company calculates the present value of lease payments by discounting the lease payments using the Company’s incremental borrowing rate for a collateralized or secured borrowing over a term equivalent to that of the lease. Lease payments that vary according to an index or rate are measured using the index or rate at lease inception. The lease term and applicable payments include options to extend or terminate the lease when it is reasonably certain that the Company will exercise such options. Options to renew or terminate a lease are included in the lease term to the extent that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are reasonably certain to be exercised. This determination is reassessed as new information arises and is accounted for prospectively. As an accounting policy election, the Company does not capitalize leases having initial terms of 12 months or fewer. The Company has made an accounting policy election not to separate lease components from non-lease components in the event that the agreement contains both.</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right of use assets and the related liabilities are included in right of use asset, other current liabilities, and other liabilities, respectively, in the consolidated balance sheets. Lease expense associated with operating leases is recognized, straight-line, over the lease term. The Company does not recognize interest expense from operating lease liabilities.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lease right of use assets and the related liabilities are included in property and equipment, net, other current liabilities, and other liabilities, respectively, in the consolidated balance sheets. Finance lease right of use assets are amortized, straight-line, over the lease term as depreciation expense. Interest expense is recognized using the effective interest method on finance lease liabilities as part of interest expense, net.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repurchased by the Company are recorded as treasury stock at the cost to acquire such shares. Subsequent issuances of shares held in treasury are assumed to be released on a FIFO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is or has been subject to various patent challenges, product liability claims, government investigations, former employee matters, and other legal proceedings. 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discussion of material matters. Legal fees and other expenses related to litigation are expensed as incurred and included in selling, general and administrative expenses or investigation, restatement and related expenses in the consolidated statements of operations, depending on the nature of the matter. The Company records an accrual for resolution costs and other contingencies in the consolidated financial statements when the Company determines that a loss is both probable and reasonably estimable. Subsequent revisions to the Company’s accrual are made as new information emerges and are accounted for prospectively. The Company discloses all ongoing legal matters for which a loss is reasonably possible, regardless of whether an estimate can be reasonably determined.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fact that legal proceedings and other contingencies are inherently unpredictable, the Company’s estimates of the probability and amount of any such liabilities involve significant judgment regarding future events. The actual costs of resolving a claim may be substantially different from the amount of reserve the Company recorded. The Company records a receivable from its insurance carriers only when the resolution of any dispute has been reached and realization of the amounts equal to the potential claim for recovery is considered probable. Any recovery of an amount in excess of the related recorded contingent loss will be recognized only when all contingencies relating to recovery have been resolved.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sells its products primarily to individual customers and independent distributors (collectively referred to as “</w:t>
      </w: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Customers obtain and use products either through ship and bill sales or consignment arrangements. Under ship and bill arrangements, the Company retains possession of the product until the customer submits an order. Upon approval of the sales order, the Company ships product to the customer and invoices them for the product sold. Under consignment arrangements, the customer takes possession of the product, but the Company retains title until the implantation or application of the Company’s product to the end user.</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as performance obligations are fulfilled, which generally occurs upon the shipment of product to the customers for ship and bill orders or upon implantation for consignment sales.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based on the consideration the Company expects to receive from the sale. This consists of the gross selling price of the product, less any discounts, rebates or other amounts paid to customers, fees paid to Group Purchasing Organizations (“</w:t>
      </w:r>
      <w:r>
        <w:rPr>
          <w:rFonts w:ascii="Times New Roman" w:cs="Times New Roman" w:eastAsia="Times New Roman" w:hAnsi="Times New Roman"/>
          <w:sz w:val="18"/>
          <w:szCs w:val="18"/>
          <w:b w:val="1"/>
          <w:bCs w:val="1"/>
          <w:i w:val="1"/>
          <w:iCs w:val="1"/>
          <w:color w:val="auto"/>
        </w:rPr>
        <w:t>GPOs</w:t>
      </w:r>
      <w:r>
        <w:rPr>
          <w:rFonts w:ascii="Times New Roman" w:cs="Times New Roman" w:eastAsia="Times New Roman" w:hAnsi="Times New Roman"/>
          <w:sz w:val="18"/>
          <w:szCs w:val="18"/>
          <w:color w:val="auto"/>
        </w:rPr>
        <w:t>”), and returns (collectively, “</w:t>
      </w:r>
      <w:r>
        <w:rPr>
          <w:rFonts w:ascii="Times New Roman" w:cs="Times New Roman" w:eastAsia="Times New Roman" w:hAnsi="Times New Roman"/>
          <w:sz w:val="18"/>
          <w:szCs w:val="18"/>
          <w:b w:val="1"/>
          <w:bCs w:val="1"/>
          <w:i w:val="1"/>
          <w:iCs w:val="1"/>
          <w:color w:val="auto"/>
        </w:rPr>
        <w:t>deductions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sales deductions</w:t>
      </w:r>
      <w:r>
        <w:rPr>
          <w:rFonts w:ascii="Times New Roman" w:cs="Times New Roman" w:eastAsia="Times New Roman" w:hAnsi="Times New Roman"/>
          <w:sz w:val="18"/>
          <w:szCs w:val="18"/>
          <w:color w:val="auto"/>
        </w:rPr>
        <w:t>”). Gross selling price is a standard set by the Company for all customers unless a contract governing the sale provides for a specified price. Sales deductions are specified in individual contracts with customers. The Company estimates the total sales deductions which a specific customer will achieve over the relevant term and applies the reduction to sales as they are made throughout the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deductions owed to customers and other parties are accrued and recorded in accrued expenses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acts as the principal in all of its customer arrangements and records revenue on a gross basis. Shipping is considered immaterial in the context of the overall customer arrangement, and damages or loss of goods in transit are rare. Therefore, shipping is not deemed a separately recognized performance obligation and the Company has elected to treat shipping costs as activities to fulfill the promise to transfer the product. The Company maintains a returns policy that allows its customers to return product that is damaged or non-conforming, ordered in error, or due to a recall. The estimate of the provision for returns is based upon historical experience with actual returns. The Company’s payment terms for customers are typically 30 to 60 days from receipt of title of the goods.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includes all costs directly related to bringing the Company’s products to their final selling destination. Amounts include direct and indirect costs to manufacture products including raw materials, personnel costs and direct overhead expenses necessary to convert collected tissues into finished goods, product testing costs, quality assurance costs, facility costs associated with the Company’s manufacturing and warehouse facilities, including depreciation, freight charges, costs to operate equipment and other shipping and handling costs for products shipped to customers.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obtains raw material in the form of human placenta donations from participating mothers who give birth via scheduled Caesarean section.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costs consist of direct and indirect costs associated with the development of the Company’s technologies. Historically, these expenses largely represented costs associated with our clinical trials, but now largely represent costs associated with new product development and pilot production. These costs are expensed as incurred.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expense</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expense consists primarily of print media promotional materials. Advertising costs are expensed as incurred. Advertising expense for the year ended December 31, 2023, 2022, and 2021 was $0.6 million, $0.2 million, and $0.1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provision, deferred tax assets and liabilities, and liabilities for unrecognized tax benefits reflect management’s best assessment of estimated current and future taxes to be paid. The Company is subject to income taxes in the United States and numerous states.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 The Company recognizes deferred tax assets to the extent that it believes these assets are more likely than not to be realized. If the Company determines that it would be able to realize its deferred tax assets in the future in excess of their net recorded amount, the Company would make an adjustment to the deferred tax asset valuation allowance.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the Company’s ability to recover its deferred tax assets within the jurisdiction from which they arise, management considers all available positive and negative evidence, including scheduled reversals of deferred tax liabilities, projected future taxable income, tax-planning strategies, results of recent operations, and changes in tax laws. In projecting future taxable income, the Company begins with historical results and incorporates assumptions about the amount of future state and federal pretax operating income adjusted for items that do not have tax consequences. The assumptions about future taxable income require significant judgment and are consistent with the plans and estimates the Company uses to manage the underlying businesses. In evaluating the objective evidence that historical results provide, management considers three years of cumulative income (loss) exclusive of items that will not recur, such as discontinued operations. 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 and tax bases of assets and liabilities using enacted tax rates in effect for the year in which the differences are expected to reverse. The effect of a change in tax rates on deferred tax assets and liabilities is recognized in the tax provision (benefit) in the period that includes the enactment date.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calculation of income tax liabilities involves dealing with uncertainties in the application of complex tax laws and regulations both for U.S. federal income tax purposes and across numerous state jurisdictions.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states that a tax benefit from an uncertain tax position may be recognized when it is more likely than not that the position will be sustained upon examination, including resolutions of any related appeals or litigation processes, on the basis of the technical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merits. The Company records unrecognized tax benefits within other current liabilities on the consolidated balance sheets and adjusts these liabilities when management’s judgment changes as a result of the evaluation of new information not previously available. Because of the complexity of some of these uncertainties, the ultimate resolution may result in a payment that is materially different from management’s current estimate of the unrecognized tax benefit liabilities. These differences will be reflected as increases or decreases to the deferred tax asset or income tax expense in the period in which new information is available.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percent likely to be realized upon ultimate settlement with the related tax authority.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within the income tax expense line in the consolidated statements of operations. Accrued interest and penalties, if any, are included within the related deferred tax liability line in the consolidated balance sheets and recorded as a component of income tax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The Company grants share-based awards to employees and members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Awards to employees and the Board are generally made annually. Grants are issued outside of the annual cadence for certain new hires, promotions, and other events.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expense to be recognized is determined by the fair value of the award using inputs available as of the grant date. The fair value of equity incentive awards that are not subject to a market condition is the value of common stock on the grant date. For equity incentive awards that are subject to a market condition, the fair value of common stock on the grant date is adjusted to reflect the value of the market condition, generally using a path-dependent pricing model, such as a Monte Carlo simulation.</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awards with service-based vesting conditions only, the Company recognizes share-based compensation expense on a straight-line basis through the vesting date of the last tranche of the award. For awards which are subject to a condition other than a service condition, the Company recognizes stock-based compensation expense using the graded-vesting method, treating each tranche as if it were a separately-granted award and recognizing expense through the vesting date of each individual tranche. In each scenario, the Company recognizes share-based compensation expense based upon the probability that the award will ultimately vest. The Company recognizes the cumulative effect of changes in the probability outcomes in the period in which the changes occur.</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awards subject to a market condition, the resolution of the market condition is not subsequently considered in expense recognition. Consequently, the Company could recognize expense for awards that do not ultimately vest.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Basic and Diluted Net Income (Loss) per Common Share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(loss) per common share is calculated as net income (loss) from continuing operations available to common stockholders divided by weighted average common shares outstanding for the applicable period. Net income (loss) from continuing operations available to common stockholders is calculated by adjusting net income (loss) for dividends on the Company’s previously outstanding Series B Convertible Preferred Stock (“</w:t>
      </w:r>
      <w:r>
        <w:rPr>
          <w:rFonts w:ascii="Times New Roman" w:cs="Times New Roman" w:eastAsia="Times New Roman" w:hAnsi="Times New Roman"/>
          <w:sz w:val="18"/>
          <w:szCs w:val="18"/>
          <w:b w:val="1"/>
          <w:bCs w:val="1"/>
          <w:i w:val="1"/>
          <w:iCs w:val="1"/>
          <w:color w:val="auto"/>
        </w:rPr>
        <w:t>Series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This amount is divided by the weighted average common shares outstanding during the period.</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Weighted average common shares outstanding is calculated as shares of the Company outstanding adjusted for the portion of the period for which they are outstanding. Unvested non-option share awards are excluded from the calculation of weighted average common shares outstanding until they have vested. Unexercised stock options are excluded from the calculation of weighted average common shares outstanding until they are exercised. Shares issuable pursuant to the Company’s Employee Stock Purchase Plan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are included for the minimum number of shares issuable beginning at the point in time that all contingencies for share issuance are resolved.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Diluted net income (loss) per common share adjusts basic net income (loss) per common share for convertible securities, options, equity incentive awards, and other share-based payment awards which have yet to vest and vest only upon the satisfaction of a service condition. Equity incentive awards and options that are subject to a performance or market condition are included only if the performance or market condition would be satisfied if the end of the applicable period were the end of the performance period. In any case, these adjustments are reflected in the calculation of diluted net income (loss) per common share to the extent that they reduce basic net income (loss) from continuing operations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income (loss) per common share from discontinued operations are evaluated using the same denominator as basic and diluted net income (loss) per common share from continued operations.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if-converted method to calculate the dilutive effect of the Series B Preferred Stock and other convertible securities to the extent they are outstanding. The if-converted method assumes that convertible securities are converted at the later of the issuance date and the beginning of the period. If the hypothetical conversion of convertible securities, and the consequential avoidance of any accumulated preferred dividends, would decrease basic net income (loss) from continuing operations per common share, these effects are incorporated in the calculation of diluted net income (loss) from continuing operations per common share, adjusted for the portion of the period the securities were outstanding.</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treasury stock method to calculate the dilutive effect of options, non-option share awards, and certain other share-based payments. The treasury stock method assumes that the proceeds from exercise are used to repurchase common shares at the weighted average market price during the period, increasing the denominator for the net effect of shares issued upon exercise less hypothetical shares repurchased.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issuable pursuant to the ESPP are included in the calculation of diluted net loss per common share to the extent that such shares would be issued based on the share price at the conclusion of the period, excluding the shares already reflected in the calculation of weighted average common shares outstanding.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 and Fair Value Measurements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respective carrying value of certain on-balance sheet financial instruments approximated their fair values due to the short-term nature and type of these instruments. These financial instruments include cash and cash equivalents, accounts receivable, notes receivable, and certain other financial assets and liabilities.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certain non-financial assets at fair value on a non-recurring basis. These non-recurring valuations include evaluating assets such as long-lived assets, and non-amortizing intangible assets for impairment, allocating value to assets in an acquired asset group, and accounting for business combinations. The Company uses the fair value measurement framework to value these assets and reports these fair values in the periods in which they are recorded or written down.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financial instruments are recorded in accordance with the fair value measurement framework. The fair value measurement framework includes a fair value hierarchy that prioritizes observable and unobservable inputs used to measure fair values in their broad levels. These levels from highest to lowest priority are as follows:</w:t>
      </w:r>
    </w:p>
    <w:p>
      <w:pPr>
        <w:spacing w:after="0" w:line="13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that are accessible at the measurement date for identical assets or liabilities;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active markets for similar assets or liabilities or observable prices that are based on inputs not quoted on active markets, but corroborated by market data.</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or valuation techniques that are used when little or no market data is available.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of fair value and the assessment of a measurement’s placement within the hierarchy require judgment. Level 3 valuations often involve a higher degree of judgment and complexity. Level 3 valuations may require the use of various valuation methodologies which incorporate unobservable inputs, management estimates, and assumptions. Management’s assumptions could vary depending on the asset or liability valued and the valuation method used. Such assumptions could include: estimates of prices, earnings, costs, actions of market participants, market factors, or the weighting of various valuation methods. The Company may also engage external advisors to assist it in determining fair value, as appropriate.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Company believes that the recorded fair value of its financial instruments is appropriate, these fair values may not be indicative of net realizable value or reflective of future fair values.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Assistance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receives benefits from various government entities for various purposes from time to time. With respect to any benefits that are not dependent on income (which are subject to the policy described under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above), the Company recognizes such benefits at the point in time in which all barriers to receive the assistance have been overcome in an amount equal to the expected benefit. Benefits are reflected in the consolidated statements of operations in the line item to which the associated benefit relates.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683260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2" w:name="page63"/>
    <w:bookmarkEnd w:id="62"/>
    <w:p>
      <w:pPr>
        <w:jc w:val="both"/>
        <w:spacing w:after="0" w:line="262" w:lineRule="auto"/>
        <w:rPr>
          <w:sz w:val="20"/>
          <w:szCs w:val="20"/>
          <w:color w:val="auto"/>
        </w:rPr>
      </w:pPr>
      <w:r>
        <w:rPr>
          <w:rFonts w:ascii="Times New Roman" w:cs="Times New Roman" w:eastAsia="Times New Roman" w:hAnsi="Times New Roman"/>
          <w:sz w:val="18"/>
          <w:szCs w:val="18"/>
          <w:color w:val="auto"/>
        </w:rPr>
        <w:t>In March 2020, the Financial Accounting Standards Board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ASU 2020-04 provides temporary expedients to accounting guidance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contract modifications and hedging arrangements to ease financial reporting burdens as a result of market transitions from certain reference rates, including the London Interbank Offered Rate (“</w:t>
      </w:r>
      <w:r>
        <w:rPr>
          <w:rFonts w:ascii="Times New Roman" w:cs="Times New Roman" w:eastAsia="Times New Roman" w:hAnsi="Times New Roman"/>
          <w:sz w:val="18"/>
          <w:szCs w:val="18"/>
          <w:b w:val="1"/>
          <w:bCs w:val="1"/>
          <w:i w:val="1"/>
          <w:iCs w:val="1"/>
          <w:color w:val="auto"/>
        </w:rPr>
        <w:t>LIBOR</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June 2023, the Company entered into Amendment No. 2 (the “</w:t>
      </w:r>
      <w:r>
        <w:rPr>
          <w:rFonts w:ascii="Times New Roman" w:cs="Times New Roman" w:eastAsia="Times New Roman" w:hAnsi="Times New Roman"/>
          <w:sz w:val="18"/>
          <w:szCs w:val="18"/>
          <w:b w:val="1"/>
          <w:bCs w:val="1"/>
          <w:i w:val="1"/>
          <w:iCs w:val="1"/>
          <w:color w:val="auto"/>
        </w:rPr>
        <w:t>Amendment No. 2</w:t>
      </w:r>
      <w:r>
        <w:rPr>
          <w:rFonts w:ascii="Times New Roman" w:cs="Times New Roman" w:eastAsia="Times New Roman" w:hAnsi="Times New Roman"/>
          <w:sz w:val="18"/>
          <w:szCs w:val="18"/>
          <w:color w:val="auto"/>
        </w:rPr>
        <w:t>”) to the loan agreement, dated as of June 30, 2020, by and among the Company, Hayfin Services, LLP (“</w:t>
      </w:r>
      <w:r>
        <w:rPr>
          <w:rFonts w:ascii="Times New Roman" w:cs="Times New Roman" w:eastAsia="Times New Roman" w:hAnsi="Times New Roman"/>
          <w:sz w:val="18"/>
          <w:szCs w:val="18"/>
          <w:b w:val="1"/>
          <w:bCs w:val="1"/>
          <w:i w:val="1"/>
          <w:iCs w:val="1"/>
          <w:color w:val="auto"/>
        </w:rPr>
        <w:t>Hayfin</w:t>
      </w:r>
      <w:r>
        <w:rPr>
          <w:rFonts w:ascii="Times New Roman" w:cs="Times New Roman" w:eastAsia="Times New Roman" w:hAnsi="Times New Roman"/>
          <w:sz w:val="18"/>
          <w:szCs w:val="18"/>
          <w:color w:val="auto"/>
        </w:rPr>
        <w:t>”), an affiliate of Hayfin Capital Management LLP, and certain other parties, (as amended, the “</w:t>
      </w:r>
      <w:r>
        <w:rPr>
          <w:rFonts w:ascii="Times New Roman" w:cs="Times New Roman" w:eastAsia="Times New Roman" w:hAnsi="Times New Roman"/>
          <w:sz w:val="18"/>
          <w:szCs w:val="18"/>
          <w:b w:val="1"/>
          <w:bCs w:val="1"/>
          <w:i w:val="1"/>
          <w:iCs w:val="1"/>
          <w:color w:val="auto"/>
        </w:rPr>
        <w:t>Hayfin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pursuant to which the reference rate used to determine the interest rate was changed from the LIBOR to the Secured Overnight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Because the only terms of Amendment No. 2 that affected the Company’s contractual cash flows were related to the changes in the reference rate, the Company adopted the optional guidance prescribed by Topic 848 to this transaction. The adoption of ASU 2020-04 and its application to the Second Amendment did not materially impact the Company’s audited consolidated financial statements for the year ended December 31,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Improvements to Reportable Segment Disclosures (Topic 280)</w:t>
      </w:r>
      <w:r>
        <w:rPr>
          <w:rFonts w:ascii="Times New Roman" w:cs="Times New Roman" w:eastAsia="Times New Roman" w:hAnsi="Times New Roman"/>
          <w:sz w:val="18"/>
          <w:szCs w:val="18"/>
          <w:color w:val="auto"/>
        </w:rPr>
        <w:t>”. The standard seeks to improve the disclosures about a public entity’s reportable segments and address requests from investors for additional, more detailed information about a reportable segment’s expenses. ASU 2023-07 is effective for annual reporting periods beginning after December 15, 2023, and interim periods in fiscal years beginning after December 15, 2024. As of December 31, 2023, the Company is evaluating the impact of this standard on its consolidated financial statements.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Improvement to Income Tax Disclosures (Topic 740)</w:t>
      </w:r>
      <w:r>
        <w:rPr>
          <w:rFonts w:ascii="Times New Roman" w:cs="Times New Roman" w:eastAsia="Times New Roman" w:hAnsi="Times New Roman"/>
          <w:sz w:val="18"/>
          <w:szCs w:val="18"/>
          <w:color w:val="auto"/>
        </w:rPr>
        <w:t>”,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The Company is currently evaluating the impact of this standard on its consolidated financial statements and related disclosures.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other ASUs issued and not yet effective as of December 31, 2023, and through the date of this report, were assessed and determined to be either not applicable or are expected to have minimal impact on the Company’s current and future financial position or results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Accounts Receivable, Net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05"/>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640" w:type="dxa"/>
            <w:vAlign w:val="bottom"/>
          </w:tcPr>
          <w:p>
            <w:pPr>
              <w:spacing w:after="0"/>
              <w:rPr>
                <w:sz w:val="19"/>
                <w:szCs w:val="19"/>
                <w:color w:val="auto"/>
              </w:rPr>
            </w:pPr>
          </w:p>
        </w:tc>
        <w:tc>
          <w:tcPr>
            <w:tcW w:w="7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4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57,015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46,867</w:t>
            </w:r>
          </w:p>
        </w:tc>
      </w:tr>
      <w:tr>
        <w:trPr>
          <w:trHeight w:val="230"/>
        </w:trPr>
        <w:tc>
          <w:tcPr>
            <w:tcW w:w="64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(3,144)</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8"/>
              </w:rPr>
              <w:t>(3,783)</w:t>
            </w:r>
          </w:p>
        </w:tc>
      </w:tr>
      <w:tr>
        <w:trPr>
          <w:trHeight w:val="248"/>
        </w:trPr>
        <w:tc>
          <w:tcPr>
            <w:tcW w:w="6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53,871</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43,084</w:t>
            </w:r>
          </w:p>
        </w:tc>
      </w:tr>
      <w:tr>
        <w:trPr>
          <w:trHeight w:val="20"/>
        </w:trPr>
        <w:tc>
          <w:tcPr>
            <w:tcW w:w="64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allowance for doubtful accounts during the year ended December 31, 2023 was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Allowance for Doubtful</w:t>
            </w:r>
          </w:p>
        </w:tc>
      </w:tr>
      <w:tr>
        <w:trPr>
          <w:trHeight w:val="234"/>
        </w:trPr>
        <w:tc>
          <w:tcPr>
            <w:tcW w:w="80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Accounts</w:t>
            </w:r>
          </w:p>
        </w:tc>
      </w:tr>
      <w:tr>
        <w:trPr>
          <w:trHeight w:val="230"/>
        </w:trPr>
        <w:tc>
          <w:tcPr>
            <w:tcW w:w="800" w:type="dxa"/>
            <w:vAlign w:val="bottom"/>
          </w:tcPr>
          <w:p>
            <w:pPr>
              <w:spacing w:after="0"/>
              <w:rPr>
                <w:sz w:val="19"/>
                <w:szCs w:val="19"/>
                <w:color w:val="auto"/>
              </w:rPr>
            </w:pPr>
          </w:p>
        </w:tc>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78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780" w:type="dxa"/>
            <w:vAlign w:val="bottom"/>
          </w:tcPr>
          <w:p>
            <w:pPr>
              <w:spacing w:after="0"/>
              <w:rPr>
                <w:sz w:val="19"/>
                <w:szCs w:val="19"/>
                <w:color w:val="auto"/>
              </w:rPr>
            </w:pPr>
          </w:p>
        </w:tc>
      </w:tr>
      <w:tr>
        <w:trPr>
          <w:trHeight w:val="229"/>
        </w:trPr>
        <w:tc>
          <w:tcPr>
            <w:tcW w:w="800" w:type="dxa"/>
            <w:vAlign w:val="bottom"/>
          </w:tcPr>
          <w:p>
            <w:pPr>
              <w:spacing w:after="0"/>
              <w:rPr>
                <w:sz w:val="19"/>
                <w:szCs w:val="19"/>
                <w:color w:val="auto"/>
              </w:rPr>
            </w:pPr>
          </w:p>
        </w:tc>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78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78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780" w:type="dxa"/>
            <w:vAlign w:val="bottom"/>
          </w:tcPr>
          <w:p>
            <w:pPr>
              <w:spacing w:after="0"/>
              <w:rPr>
                <w:sz w:val="19"/>
                <w:szCs w:val="19"/>
                <w:color w:val="auto"/>
              </w:rPr>
            </w:pPr>
          </w:p>
        </w:tc>
      </w:tr>
      <w:tr>
        <w:trPr>
          <w:trHeight w:val="229"/>
        </w:trPr>
        <w:tc>
          <w:tcPr>
            <w:tcW w:w="800" w:type="dxa"/>
            <w:vAlign w:val="bottom"/>
          </w:tcPr>
          <w:p>
            <w:pPr>
              <w:spacing w:after="0"/>
              <w:rPr>
                <w:sz w:val="19"/>
                <w:szCs w:val="19"/>
                <w:color w:val="auto"/>
              </w:rPr>
            </w:pPr>
          </w:p>
        </w:tc>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780" w:type="dxa"/>
            <w:vAlign w:val="bottom"/>
          </w:tcPr>
          <w:p>
            <w:pPr>
              <w:spacing w:after="0"/>
              <w:rPr>
                <w:sz w:val="19"/>
                <w:szCs w:val="19"/>
                <w:color w:val="auto"/>
              </w:rPr>
            </w:pPr>
          </w:p>
        </w:tc>
      </w:tr>
      <w:tr>
        <w:trPr>
          <w:trHeight w:val="248"/>
        </w:trPr>
        <w:tc>
          <w:tcPr>
            <w:tcW w:w="80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78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129"/>
        </w:trPr>
        <w:tc>
          <w:tcPr>
            <w:tcW w:w="80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05"/>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640" w:type="dxa"/>
            <w:vAlign w:val="bottom"/>
          </w:tcPr>
          <w:p>
            <w:pPr>
              <w:spacing w:after="0"/>
              <w:rPr>
                <w:sz w:val="19"/>
                <w:szCs w:val="19"/>
                <w:color w:val="auto"/>
              </w:rPr>
            </w:pPr>
          </w:p>
        </w:tc>
        <w:tc>
          <w:tcPr>
            <w:tcW w:w="7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4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9"/>
        </w:trPr>
        <w:tc>
          <w:tcPr>
            <w:tcW w:w="64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r>
      <w:tr>
        <w:trPr>
          <w:trHeight w:val="229"/>
        </w:trPr>
        <w:tc>
          <w:tcPr>
            <w:tcW w:w="64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r>
      <w:tr>
        <w:trPr>
          <w:trHeight w:val="223"/>
        </w:trPr>
        <w:tc>
          <w:tcPr>
            <w:tcW w:w="64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13,183</w:t>
            </w:r>
          </w:p>
        </w:tc>
      </w:tr>
      <w:tr>
        <w:trPr>
          <w:trHeight w:val="20"/>
        </w:trPr>
        <w:tc>
          <w:tcPr>
            <w:tcW w:w="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Consignment inventory, included as a component of finished goods in the table above, was $4.0 million and $3.4 million as of December 31, 2023 and 2022,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05"/>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6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and clean room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230"/>
        </w:trPr>
        <w:tc>
          <w:tcPr>
            <w:tcW w:w="66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w:t>
            </w:r>
          </w:p>
        </w:tc>
      </w:tr>
      <w:tr>
        <w:trPr>
          <w:trHeight w:val="229"/>
        </w:trPr>
        <w:tc>
          <w:tcPr>
            <w:tcW w:w="66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w:t>
            </w:r>
          </w:p>
        </w:tc>
      </w:tr>
      <w:tr>
        <w:trPr>
          <w:trHeight w:val="229"/>
        </w:trPr>
        <w:tc>
          <w:tcPr>
            <w:tcW w:w="66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30"/>
        </w:trPr>
        <w:tc>
          <w:tcPr>
            <w:tcW w:w="66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cost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660" w:type="dxa"/>
            <w:vAlign w:val="bottom"/>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660" w:type="dxa"/>
            <w:vAlign w:val="bottom"/>
          </w:tcPr>
          <w:p>
            <w:pPr>
              <w:spacing w:after="0"/>
              <w:rPr>
                <w:sz w:val="19"/>
                <w:szCs w:val="19"/>
                <w:color w:val="auto"/>
              </w:rPr>
            </w:pPr>
          </w:p>
        </w:tc>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43,783</w:t>
            </w:r>
          </w:p>
        </w:tc>
      </w:tr>
      <w:tr>
        <w:trPr>
          <w:trHeight w:val="230"/>
        </w:trPr>
        <w:tc>
          <w:tcPr>
            <w:tcW w:w="660" w:type="dxa"/>
            <w:vAlign w:val="bottom"/>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(35,927)</w:t>
            </w:r>
          </w:p>
        </w:tc>
      </w:tr>
      <w:tr>
        <w:trPr>
          <w:trHeight w:val="248"/>
        </w:trPr>
        <w:tc>
          <w:tcPr>
            <w:tcW w:w="66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r>
      <w:tr>
        <w:trPr>
          <w:trHeight w:val="20"/>
        </w:trPr>
        <w:tc>
          <w:tcPr>
            <w:tcW w:w="660" w:type="dxa"/>
            <w:vAlign w:val="bottom"/>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for each of the years ended December 31, 2023, 2022, and 2021 was recorded in certain captions of the consolidated statements of operations for those periods in the amounts shown in the table below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Year Ended December 31,</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148"/>
        </w:trPr>
        <w:tc>
          <w:tcPr>
            <w:tcW w:w="5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4" w:name="page65"/>
    <w:bookmarkEnd w:id="64"/>
    <w:p>
      <w:pPr>
        <w:ind w:left="360" w:hanging="352"/>
        <w:spacing w:after="0"/>
        <w:tabs>
          <w:tab w:leader="none" w:pos="3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leases for corporate offices, manufacturing facilities, vehicles, and certain equipment. Such leases do not require any contingent rental payments, impose any financial restrictions, or contain any residual value guarantees.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related to the Company’s leases, including the financial statement caption in which the amounts are presented, is as follows (amounts in thousands, except lease term and discount rate):</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20"/>
                <w:szCs w:val="20"/>
                <w:color w:val="auto"/>
              </w:rPr>
            </w:pPr>
          </w:p>
        </w:tc>
        <w:tc>
          <w:tcPr>
            <w:tcW w:w="25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23"/>
        </w:trPr>
        <w:tc>
          <w:tcPr>
            <w:tcW w:w="38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top w:val="single" w:sz="8" w:color="auto"/>
              <w:bottom w:val="single" w:sz="8" w:color="auto"/>
            </w:tcBorders>
          </w:tcPr>
          <w:p>
            <w:pPr>
              <w:spacing w:after="0"/>
              <w:rPr>
                <w:sz w:val="19"/>
                <w:szCs w:val="19"/>
                <w:color w:val="auto"/>
              </w:rPr>
            </w:pPr>
          </w:p>
        </w:tc>
      </w:tr>
      <w:tr>
        <w:trPr>
          <w:trHeight w:val="223"/>
        </w:trPr>
        <w:tc>
          <w:tcPr>
            <w:tcW w:w="3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0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use asset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r>
      <w:tr>
        <w:trPr>
          <w:trHeight w:val="270"/>
        </w:trPr>
        <w:tc>
          <w:tcPr>
            <w:tcW w:w="38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3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8.3 %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lease costs are as follows (amounts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8"/>
          </w:tcPr>
          <w:p>
            <w:pPr>
              <w:jc w:val="center"/>
              <w:ind w:left="9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1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3"/>
        </w:trPr>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19"/>
                <w:szCs w:val="19"/>
                <w:color w:val="auto"/>
              </w:rPr>
            </w:pPr>
          </w:p>
        </w:tc>
      </w:tr>
      <w:tr>
        <w:trPr>
          <w:trHeight w:val="250"/>
        </w:trPr>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340" w:type="dxa"/>
            <w:vAlign w:val="bottom"/>
          </w:tcPr>
          <w:p>
            <w:pPr>
              <w:spacing w:after="0"/>
              <w:rPr>
                <w:sz w:val="21"/>
                <w:szCs w:val="21"/>
                <w:color w:val="auto"/>
              </w:rPr>
            </w:pPr>
          </w:p>
        </w:tc>
      </w:tr>
      <w:tr>
        <w:trPr>
          <w:trHeight w:val="270"/>
        </w:trPr>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finance lease ROU assets</w:t>
            </w:r>
          </w:p>
        </w:tc>
        <w:tc>
          <w:tcPr>
            <w:tcW w:w="1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3"/>
                <w:szCs w:val="23"/>
                <w:color w:val="auto"/>
              </w:rPr>
            </w:pPr>
          </w:p>
        </w:tc>
      </w:tr>
      <w:tr>
        <w:trPr>
          <w:trHeight w:val="270"/>
        </w:trPr>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Interest expense on finance lease liabilities</w:t>
            </w:r>
          </w:p>
        </w:tc>
        <w:tc>
          <w:tcPr>
            <w:tcW w:w="1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3"/>
                <w:szCs w:val="23"/>
                <w:color w:val="auto"/>
              </w:rPr>
            </w:pPr>
          </w:p>
        </w:tc>
      </w:tr>
      <w:tr>
        <w:trPr>
          <w:trHeight w:val="486"/>
        </w:trPr>
        <w:tc>
          <w:tcPr>
            <w:tcW w:w="6080" w:type="dxa"/>
            <w:vAlign w:val="bottom"/>
            <w:gridSpan w:val="6"/>
          </w:tcPr>
          <w:p>
            <w:pPr>
              <w:jc w:val="right"/>
              <w:ind w:right="1110"/>
              <w:spacing w:after="0"/>
              <w:rPr>
                <w:sz w:val="20"/>
                <w:szCs w:val="20"/>
                <w:color w:val="auto"/>
              </w:rPr>
            </w:pPr>
            <w:r>
              <w:rPr>
                <w:rFonts w:ascii="Times New Roman" w:cs="Times New Roman" w:eastAsia="Times New Roman" w:hAnsi="Times New Roman"/>
                <w:sz w:val="18"/>
                <w:szCs w:val="18"/>
                <w:color w:val="auto"/>
                <w:w w:val="99"/>
              </w:rPr>
              <w:t>Maturities of lease liabilities are as follows (amounts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600" w:type="dxa"/>
            <w:vAlign w:val="bottom"/>
          </w:tcPr>
          <w:p>
            <w:pPr>
              <w:spacing w:after="0"/>
              <w:rPr>
                <w:sz w:val="24"/>
                <w:szCs w:val="24"/>
                <w:color w:val="auto"/>
              </w:rPr>
            </w:pPr>
          </w:p>
        </w:tc>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00" w:type="dxa"/>
            <w:vAlign w:val="bottom"/>
          </w:tcPr>
          <w:p>
            <w:pPr>
              <w:spacing w:after="0"/>
              <w:rPr>
                <w:sz w:val="19"/>
                <w:szCs w:val="19"/>
                <w:color w:val="auto"/>
              </w:rPr>
            </w:pP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30"/>
        </w:trPr>
        <w:tc>
          <w:tcPr>
            <w:tcW w:w="60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30"/>
        </w:trPr>
        <w:tc>
          <w:tcPr>
            <w:tcW w:w="600" w:type="dxa"/>
            <w:vAlign w:val="bottom"/>
          </w:tcPr>
          <w:p>
            <w:pPr>
              <w:spacing w:after="0"/>
              <w:rPr>
                <w:sz w:val="19"/>
                <w:szCs w:val="19"/>
                <w:color w:val="auto"/>
              </w:rPr>
            </w:pP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60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00" w:type="dxa"/>
            <w:vAlign w:val="bottom"/>
          </w:tcPr>
          <w:p>
            <w:pPr>
              <w:spacing w:after="0"/>
              <w:rPr>
                <w:sz w:val="19"/>
                <w:szCs w:val="19"/>
                <w:color w:val="auto"/>
              </w:rPr>
            </w:pP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 w:type="dxa"/>
            <w:vAlign w:val="bottom"/>
          </w:tcPr>
          <w:p>
            <w:pPr>
              <w:spacing w:after="0"/>
              <w:rPr>
                <w:sz w:val="19"/>
                <w:szCs w:val="19"/>
                <w:color w:val="auto"/>
              </w:rPr>
            </w:pPr>
          </w:p>
        </w:tc>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 w:type="dxa"/>
            <w:vAlign w:val="bottom"/>
          </w:tcPr>
          <w:p>
            <w:pPr>
              <w:spacing w:after="0"/>
              <w:rPr>
                <w:sz w:val="19"/>
                <w:szCs w:val="19"/>
                <w:color w:val="auto"/>
              </w:rPr>
            </w:pP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30"/>
        </w:trPr>
        <w:tc>
          <w:tcPr>
            <w:tcW w:w="600" w:type="dxa"/>
            <w:vAlign w:val="bottom"/>
          </w:tcPr>
          <w:p>
            <w:pPr>
              <w:spacing w:after="0"/>
              <w:rPr>
                <w:sz w:val="19"/>
                <w:szCs w:val="19"/>
                <w:color w:val="auto"/>
              </w:rPr>
            </w:pPr>
          </w:p>
        </w:tc>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8"/>
        </w:trPr>
        <w:tc>
          <w:tcPr>
            <w:tcW w:w="60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r>
      <w:tr>
        <w:trPr>
          <w:trHeight w:val="20"/>
        </w:trPr>
        <w:tc>
          <w:tcPr>
            <w:tcW w:w="60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lease agreements require the Company to return designated areas of leased space to its original condition upon termination of the lease agreement, for which the Company records an asset retirement obligation and a corresponding capital asset in an amount equal to the estimated fair value of the obligation. In subsequent periods, the asset retirement obligation is accreted for the change in its present value and the capitalized asset is depreciated, both over the term of the associated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agreement. Asset retirement obligations of $1.2 million are included in other liabilities in the consolidated balance sheets as of both December 31, 2023 and 2022.</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Goodwill and Intangible Assets,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concert with the disbanding of its Regenerative Medicine business unit, management concluded that the Company operated as a single operating segment. This operating segment reflected its sole reporting unit for goodwill impairment testing purposes.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annual impairment test performed on October 1, 2023, the Company performed a qualitative assessment to determine the existence of impairment. The qualitative assessment concluded that it was more likely than not that goodwill was not impaired, and the Company did not proceed to the quantitative assessment. There was no impairment of goodwill in 2022 or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changes in the carrying amount of goodwill for 2023 and 2022 (in thousands):</w:t>
      </w:r>
    </w:p>
    <w:p>
      <w:pPr>
        <w:spacing w:after="0" w:line="239" w:lineRule="exact"/>
        <w:rPr>
          <w:sz w:val="20"/>
          <w:szCs w:val="20"/>
          <w:color w:val="auto"/>
        </w:rPr>
      </w:pPr>
    </w:p>
    <w:tbl>
      <w:tblPr>
        <w:tblLayout w:type="fixed"/>
        <w:tblInd w:w="3080" w:type="dxa"/>
        <w:tblCellMar>
          <w:top w:w="0" w:type="dxa"/>
          <w:left w:w="0" w:type="dxa"/>
          <w:bottom w:w="0" w:type="dxa"/>
          <w:right w:w="0" w:type="dxa"/>
        </w:tblCellMar>
      </w:tblPr>
      <w:tr>
        <w:trPr>
          <w:trHeight w:val="234"/>
        </w:trPr>
        <w:tc>
          <w:tcPr>
            <w:tcW w:w="3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Goodwill</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Activity</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Activity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are summarized as follows (in thousands):</w:t>
      </w:r>
    </w:p>
    <w:p>
      <w:pPr>
        <w:spacing w:after="0" w:line="225"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center"/>
              <w:ind w:left="790"/>
              <w:spacing w:after="0"/>
              <w:rPr>
                <w:sz w:val="20"/>
                <w:szCs w:val="20"/>
                <w:color w:val="auto"/>
              </w:rPr>
            </w:pPr>
            <w:r>
              <w:rPr>
                <w:rFonts w:ascii="Times New Roman" w:cs="Times New Roman" w:eastAsia="Times New Roman" w:hAnsi="Times New Roman"/>
                <w:sz w:val="18"/>
                <w:szCs w:val="18"/>
                <w:color w:val="auto"/>
              </w:rPr>
              <w:t>December 31, 2023</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left="810"/>
              <w:spacing w:after="0"/>
              <w:rPr>
                <w:sz w:val="20"/>
                <w:szCs w:val="20"/>
                <w:color w:val="auto"/>
              </w:rPr>
            </w:pPr>
            <w:r>
              <w:rPr>
                <w:rFonts w:ascii="Times New Roman" w:cs="Times New Roman" w:eastAsia="Times New Roman" w:hAnsi="Times New Roman"/>
                <w:sz w:val="18"/>
                <w:szCs w:val="18"/>
                <w:color w:val="auto"/>
              </w:rPr>
              <w:t>December 31, 2022</w:t>
            </w:r>
          </w:p>
        </w:tc>
        <w:tc>
          <w:tcPr>
            <w:tcW w:w="1100" w:type="dxa"/>
            <w:vAlign w:val="bottom"/>
            <w:tcBorders>
              <w:bottom w:val="single" w:sz="8" w:color="auto"/>
            </w:tcBorders>
          </w:tcPr>
          <w:p>
            <w:pPr>
              <w:spacing w:after="0"/>
              <w:rPr>
                <w:sz w:val="20"/>
                <w:szCs w:val="20"/>
                <w:color w:val="auto"/>
              </w:rPr>
            </w:pPr>
          </w:p>
        </w:tc>
      </w:tr>
      <w:tr>
        <w:trPr>
          <w:trHeight w:val="178"/>
        </w:trPr>
        <w:tc>
          <w:tcPr>
            <w:tcW w:w="2800" w:type="dxa"/>
            <w:vAlign w:val="bottom"/>
          </w:tcPr>
          <w:p>
            <w:pPr>
              <w:spacing w:after="0"/>
              <w:rPr>
                <w:sz w:val="15"/>
                <w:szCs w:val="15"/>
                <w:color w:val="auto"/>
              </w:rPr>
            </w:pPr>
          </w:p>
        </w:tc>
        <w:tc>
          <w:tcPr>
            <w:tcW w:w="124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Gross Carrying</w:t>
            </w:r>
          </w:p>
        </w:tc>
        <w:tc>
          <w:tcPr>
            <w:tcW w:w="120" w:type="dxa"/>
            <w:vAlign w:val="bottom"/>
          </w:tcPr>
          <w:p>
            <w:pPr>
              <w:spacing w:after="0"/>
              <w:rPr>
                <w:sz w:val="15"/>
                <w:szCs w:val="15"/>
                <w:color w:val="auto"/>
              </w:rPr>
            </w:pPr>
          </w:p>
        </w:tc>
        <w:tc>
          <w:tcPr>
            <w:tcW w:w="112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5"/>
                <w:szCs w:val="15"/>
                <w:color w:val="auto"/>
              </w:rPr>
            </w:pPr>
          </w:p>
        </w:tc>
        <w:tc>
          <w:tcPr>
            <w:tcW w:w="110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9"/>
              </w:rPr>
              <w:t>Net Carrying</w:t>
            </w:r>
          </w:p>
        </w:tc>
        <w:tc>
          <w:tcPr>
            <w:tcW w:w="100" w:type="dxa"/>
            <w:vAlign w:val="bottom"/>
          </w:tcPr>
          <w:p>
            <w:pPr>
              <w:spacing w:after="0"/>
              <w:rPr>
                <w:sz w:val="15"/>
                <w:szCs w:val="15"/>
                <w:color w:val="auto"/>
              </w:rPr>
            </w:pPr>
          </w:p>
        </w:tc>
        <w:tc>
          <w:tcPr>
            <w:tcW w:w="124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Gross Carrying</w:t>
            </w:r>
          </w:p>
        </w:tc>
        <w:tc>
          <w:tcPr>
            <w:tcW w:w="100" w:type="dxa"/>
            <w:vAlign w:val="bottom"/>
          </w:tcPr>
          <w:p>
            <w:pPr>
              <w:spacing w:after="0"/>
              <w:rPr>
                <w:sz w:val="15"/>
                <w:szCs w:val="15"/>
                <w:color w:val="auto"/>
              </w:rPr>
            </w:pPr>
          </w:p>
        </w:tc>
        <w:tc>
          <w:tcPr>
            <w:tcW w:w="1140" w:type="dxa"/>
            <w:vAlign w:val="bottom"/>
          </w:tcPr>
          <w:p>
            <w:pPr>
              <w:jc w:val="center"/>
              <w:ind w:right="5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5"/>
                <w:szCs w:val="15"/>
                <w:color w:val="auto"/>
              </w:rPr>
            </w:pPr>
          </w:p>
        </w:tc>
        <w:tc>
          <w:tcPr>
            <w:tcW w:w="11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99"/>
              </w:rPr>
              <w:t>Net Carrying</w:t>
            </w:r>
          </w:p>
        </w:tc>
      </w:tr>
      <w:tr>
        <w:trPr>
          <w:trHeight w:val="234"/>
        </w:trPr>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amortization</w:t>
            </w:r>
          </w:p>
        </w:tc>
        <w:tc>
          <w:tcPr>
            <w:tcW w:w="1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amortization</w:t>
            </w:r>
          </w:p>
        </w:tc>
        <w:tc>
          <w:tcPr>
            <w:tcW w:w="12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r>
      <w:tr>
        <w:trPr>
          <w:trHeight w:val="209"/>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Patents and know-how</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30"/>
        </w:trPr>
        <w:tc>
          <w:tcPr>
            <w:tcW w:w="2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3"/>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r>
      <w:tr>
        <w:trPr>
          <w:trHeight w:val="250"/>
        </w:trPr>
        <w:tc>
          <w:tcPr>
            <w:tcW w:w="2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29"/>
        </w:trPr>
        <w:tc>
          <w:tcPr>
            <w:tcW w:w="2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Patents in process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Amortization expense and impairment expense for the years ended December 31, 2023, 2022, and 2021, is summarized in the table below (amounts in thousands):</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29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6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intangible assets in 2021 related to supplier relationship assets that were determined to be unrecoverable due to attrition.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impairment of intangible assets in 2023 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Expected future amortization of intangible assets as of December 31, 2023,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Estimated</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Amortization</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Expense</w:t>
            </w:r>
          </w:p>
        </w:tc>
        <w:tc>
          <w:tcPr>
            <w:tcW w:w="0" w:type="dxa"/>
            <w:vAlign w:val="bottom"/>
          </w:tcPr>
          <w:p>
            <w:pPr>
              <w:spacing w:after="0"/>
              <w:rPr>
                <w:sz w:val="1"/>
                <w:szCs w:val="1"/>
                <w:color w:val="auto"/>
              </w:rPr>
            </w:pPr>
          </w:p>
        </w:tc>
      </w:tr>
      <w:tr>
        <w:trPr>
          <w:trHeight w:val="223"/>
        </w:trPr>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9"/>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80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20" w:type="dxa"/>
            <w:vAlign w:val="bottom"/>
            <w:vMerge w:val="continue"/>
          </w:tcPr>
          <w:p>
            <w:pPr>
              <w:spacing w:after="0"/>
              <w:rPr>
                <w:sz w:val="24"/>
                <w:szCs w:val="24"/>
                <w:color w:val="auto"/>
              </w:rPr>
            </w:pPr>
          </w:p>
        </w:tc>
        <w:tc>
          <w:tcPr>
            <w:tcW w:w="58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December 31,</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commissions</w:t>
            </w:r>
          </w:p>
        </w:tc>
        <w:tc>
          <w:tcPr>
            <w:tcW w:w="12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Accrued GPO Fees</w:t>
            </w:r>
          </w:p>
        </w:tc>
        <w:tc>
          <w:tcPr>
            <w:tcW w:w="1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returns</w:t>
            </w:r>
          </w:p>
        </w:tc>
        <w:tc>
          <w:tcPr>
            <w:tcW w:w="1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Legal costs</w:t>
            </w:r>
          </w:p>
        </w:tc>
        <w:tc>
          <w:tcPr>
            <w:tcW w:w="1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1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Accrued travel</w:t>
            </w:r>
          </w:p>
        </w:tc>
        <w:tc>
          <w:tcPr>
            <w:tcW w:w="1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5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Long Term Debt</w:t>
            </w: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20" w:type="dxa"/>
            <w:vAlign w:val="bottom"/>
            <w:vMerge w:val="continue"/>
          </w:tcPr>
          <w:p>
            <w:pPr>
              <w:spacing w:after="0"/>
              <w:rPr>
                <w:sz w:val="24"/>
                <w:szCs w:val="24"/>
                <w:color w:val="auto"/>
              </w:rPr>
            </w:pPr>
          </w:p>
        </w:tc>
        <w:tc>
          <w:tcPr>
            <w:tcW w:w="58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Hayfin Loan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2020, the Company entered into the Hayfin Loan Agreement, under which Hayfin provided the Company with a senior secured term loan of $50 million (the “</w:t>
      </w:r>
      <w:r>
        <w:rPr>
          <w:rFonts w:ascii="Times New Roman" w:cs="Times New Roman" w:eastAsia="Times New Roman" w:hAnsi="Times New Roman"/>
          <w:sz w:val="18"/>
          <w:szCs w:val="18"/>
          <w:b w:val="1"/>
          <w:bCs w:val="1"/>
          <w:i w:val="1"/>
          <w:iCs w:val="1"/>
          <w:color w:val="auto"/>
        </w:rPr>
        <w:t>Hayfin Term Loan</w:t>
      </w:r>
      <w:r>
        <w:rPr>
          <w:rFonts w:ascii="Times New Roman" w:cs="Times New Roman" w:eastAsia="Times New Roman" w:hAnsi="Times New Roman"/>
          <w:sz w:val="18"/>
          <w:szCs w:val="18"/>
          <w:color w:val="auto"/>
        </w:rPr>
        <w:t>”). The Hayfin Term Loan was to mature on June 30, 2025 (the “</w:t>
      </w:r>
      <w:r>
        <w:rPr>
          <w:rFonts w:ascii="Times New Roman" w:cs="Times New Roman" w:eastAsia="Times New Roman" w:hAnsi="Times New Roman"/>
          <w:sz w:val="18"/>
          <w:szCs w:val="18"/>
          <w:b w:val="1"/>
          <w:bCs w:val="1"/>
          <w:i w:val="1"/>
          <w:iCs w:val="1"/>
          <w:color w:val="auto"/>
        </w:rPr>
        <w:t>Hayfin Maturity Date</w:t>
      </w:r>
      <w:r>
        <w:rPr>
          <w:rFonts w:ascii="Times New Roman" w:cs="Times New Roman" w:eastAsia="Times New Roman" w:hAnsi="Times New Roman"/>
          <w:sz w:val="18"/>
          <w:szCs w:val="18"/>
          <w:color w:val="auto"/>
        </w:rPr>
        <w:t>”). Interest on the Hayfin Term Loan was based on SOFR, plus a fallback provision of 0.15%, subject to the Floor, plus the Margin. As of December 31, 2023, the Hayfin Term Loan carried an interest rate of 12.3%.</w:t>
      </w:r>
    </w:p>
    <w:p>
      <w:pPr>
        <w:spacing w:after="0" w:line="13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 noted below in Note 19.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January 2024, the Company repaid in full the Hayfin Term Loan and terminated the Hayfin Loan Agreement as part of the Debt Refinancing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was in compliance with all applicable financial covenants under the Hayfin Loan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Annually, the Company was required to prepay the outstanding loans based on a percentage of Excess Cash Flow (as defined in the Hayfin Loan Agreement), if such were generated. Had the Company not executed the Debt Refinancing Transactions (as defined in Note 19), the Company would have been required to prepay a portion of the outstanding principal pursuant to the Excess Cash Flow provision under the Hayfin Loan Agreement for the year ended December 31, 2023. The Company refinanced this short-term obligation prior to issuance of these consolidated financial statements. The $1.0 million of principal repayments for the year ending December 31, 2024 reflects the scheduled principal payments pursuant to the Citizens Credit Agreement (as defined in Note 19) during that period, therefore representing the current obligation that was not refinanced on a long-term basis. This amount is classified in other current liabilities in the Company’s consolidated balance sheets.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Hayfin Loan Agreement also specified that a prepayment of the loan, voluntary or mandatory, would subject the Company to a prepayment premium after July 2, 2023, but on or before July 2, 2024, of 1% of the principal balance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Deferred financing costs and original issue discount allocated to the Hayfin Term Loan were amortized using the effective interest method through the Hayfin Maturity Date. The amortization of such amounts is presented as part of interest expense, net on the consolidated statement of operations for the years ended December 31, 2023, 2022, and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Hayfin Term Loan as of December 31, 2023 and 2022 were as follows (amounts in thousands):</w:t>
      </w:r>
    </w:p>
    <w:p>
      <w:pPr>
        <w:spacing w:after="0" w:line="225"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280" w:type="dxa"/>
            <w:vAlign w:val="bottom"/>
          </w:tcPr>
          <w:p>
            <w:pPr>
              <w:spacing w:after="0"/>
              <w:rPr>
                <w:sz w:val="20"/>
                <w:szCs w:val="20"/>
                <w:color w:val="auto"/>
              </w:rPr>
            </w:pP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23"/>
        </w:trPr>
        <w:tc>
          <w:tcPr>
            <w:tcW w:w="2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Long term debt, net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Long term debt, net</w:t>
            </w:r>
          </w:p>
        </w:tc>
      </w:tr>
      <w:tr>
        <w:trPr>
          <w:trHeight w:val="223"/>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19"/>
                <w:szCs w:val="19"/>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3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issue discount</w:t>
            </w: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Net principal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48,594</w:t>
            </w:r>
          </w:p>
        </w:tc>
      </w:tr>
      <w:tr>
        <w:trPr>
          <w:trHeight w:val="21"/>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Interest expense related to the Hayfin Term Loan, included in interest expense, net in the consolidated statements of operations, was as follows (amounts in thousands):</w:t>
      </w:r>
    </w:p>
    <w:p>
      <w:pPr>
        <w:spacing w:after="0" w:line="16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Year Ended December 31,</w:t>
            </w: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36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Stated interest</w:t>
            </w: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r>
      <w:tr>
        <w:trPr>
          <w:trHeight w:val="21"/>
        </w:trPr>
        <w:tc>
          <w:tcPr>
            <w:tcW w:w="3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principal payments on the Hayfin Term Loan as of December 31, 2023 were as follows:</w:t>
      </w:r>
    </w:p>
    <w:p>
      <w:pPr>
        <w:spacing w:after="0" w:line="239" w:lineRule="exact"/>
        <w:rPr>
          <w:sz w:val="20"/>
          <w:szCs w:val="20"/>
          <w:color w:val="auto"/>
        </w:rPr>
      </w:pPr>
    </w:p>
    <w:tbl>
      <w:tblPr>
        <w:tblLayout w:type="fixed"/>
        <w:tblInd w:w="3240" w:type="dxa"/>
        <w:tblCellMar>
          <w:top w:w="0" w:type="dxa"/>
          <w:left w:w="0" w:type="dxa"/>
          <w:bottom w:w="0" w:type="dxa"/>
          <w:right w:w="0" w:type="dxa"/>
        </w:tblCellMar>
      </w:tblPr>
      <w:tr>
        <w:trPr>
          <w:trHeight w:val="23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40" w:type="dxa"/>
            <w:vAlign w:val="bottom"/>
          </w:tcPr>
          <w:p>
            <w:pPr>
              <w:spacing w:after="0"/>
              <w:rPr>
                <w:sz w:val="20"/>
                <w:szCs w:val="20"/>
                <w:color w:val="auto"/>
              </w:rPr>
            </w:pPr>
          </w:p>
        </w:tc>
        <w:tc>
          <w:tcPr>
            <w:tcW w:w="18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Principal</w:t>
            </w: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fair value of the Hayfin Term Loan was $46.7 million. This valuation was calculated based on a series of Level 2 and Level 3 inputs, including a discount rate based on the credit risk spread of debt instruments of similar risk character in reference to U.S. Treasury instruments with similar maturities, with an incremental risk premium for risk factors specific to the Company. The remaining cash flows associated with the Hayfin Term Loan were discounted to December 31, 2023 using this discount rate to derive the fair value.</w:t>
      </w:r>
    </w:p>
    <w:p>
      <w:pPr>
        <w:spacing w:after="0" w:line="1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Basic and Diluted Net Loss Per Common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common share is calculated using two methods: basic and diluted.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Basic Net Loss Per Common Share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to net loss available to common shareholders and calculation of basic net loss per common share for each of the years ended December 31, 2023, 2022, and 2021 (amounts in thousands, except share and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loss available to common stockholders: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dividend on previously converted Series B Preferred Stock</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share repurchase in excess of book value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increasing-rate dividend feature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stockholders from continuing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(18,437)</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116,495,810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112,909,266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110,353,406</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Diluted Net Loss Per Common Share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diluted net loss per common share (in thousands, except share and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stockholders from continuing operations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(18,437)</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on previously converted Series B Preferred Stock</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share repurchase in excess of book value</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antidilutive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available to common stockholders from continuing operations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(18,437)</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116,495,810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112,909,266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110,353,406</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Potential common shares (a)</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Previously converted Series B Preferred Stock</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27,457,905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Performance stock unit awards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29,466,652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adjusted for potential common shares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145,962,462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112,909,266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110,353,406</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247" w:lineRule="exact"/>
        <w:rPr>
          <w:sz w:val="20"/>
          <w:szCs w:val="20"/>
          <w:color w:val="auto"/>
        </w:rPr>
      </w:pPr>
    </w:p>
    <w:p>
      <w:pPr>
        <w:ind w:left="660" w:hanging="328"/>
        <w:spacing w:after="0" w:line="282" w:lineRule="auto"/>
        <w:tabs>
          <w:tab w:leader="none" w:pos="6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common shares outstanding for the calculation of diluted net loss per common share does not include the following adjustments for potential common shares below because their effects were determined to be anti-dilutive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168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7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1,219,348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27,850,916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26,497,570</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546,883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1,393,910</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217,971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1,121,019</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65,720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771,409</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 awards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17,928</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 common shares</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28,705,593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29,801,836</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all 95,000 outstanding shares of the Company’s Series B Preferred Stock, together with accrued dividends, were mandatorily converted into shares of the Company’s Common Stock in accordance with the Series B Preferred Stock terms set forth in the Company’s Articles of Incorporation. As a result of this conversion, the Company issued 29,761,650 shares of Common Stock. The conversion of the shares ended the dividend accrual associated with the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mandatory conversion, in October 2023, the Company repurchased 5,000 shares of the Company’s Series B Preferred Stock for $9.5 million (the “</w:t>
      </w:r>
      <w:r>
        <w:rPr>
          <w:rFonts w:ascii="Times New Roman" w:cs="Times New Roman" w:eastAsia="Times New Roman" w:hAnsi="Times New Roman"/>
          <w:sz w:val="18"/>
          <w:szCs w:val="18"/>
          <w:b w:val="1"/>
          <w:bCs w:val="1"/>
          <w:i w:val="1"/>
          <w:iCs w:val="1"/>
          <w:color w:val="auto"/>
        </w:rPr>
        <w:t>Repurchase</w:t>
      </w:r>
      <w:r>
        <w:rPr>
          <w:rFonts w:ascii="Times New Roman" w:cs="Times New Roman" w:eastAsia="Times New Roman" w:hAnsi="Times New Roman"/>
          <w:sz w:val="18"/>
          <w:szCs w:val="18"/>
          <w:color w:val="auto"/>
        </w:rPr>
        <w:t>”) pursuant to a Securities Purchase Agreement with certain entities managed by or affiliated with Hayfin Capital Management LLP (the “</w:t>
      </w:r>
      <w:r>
        <w:rPr>
          <w:rFonts w:ascii="Times New Roman" w:cs="Times New Roman" w:eastAsia="Times New Roman" w:hAnsi="Times New Roman"/>
          <w:sz w:val="18"/>
          <w:szCs w:val="18"/>
          <w:b w:val="1"/>
          <w:bCs w:val="1"/>
          <w:i w:val="1"/>
          <w:iCs w:val="1"/>
          <w:color w:val="auto"/>
        </w:rPr>
        <w:t>Hayfin Shareholders</w:t>
      </w:r>
      <w:r>
        <w:rPr>
          <w:rFonts w:ascii="Times New Roman" w:cs="Times New Roman" w:eastAsia="Times New Roman" w:hAnsi="Times New Roman"/>
          <w:sz w:val="18"/>
          <w:szCs w:val="18"/>
          <w:color w:val="auto"/>
        </w:rPr>
        <w:t>”). In connection with the Repurchase, the Hayfin Shareholders entered into customary lock-up provisions requiring them to retain the balance of their equity positions for a period of at least one year. Management assessed whether the consideration paid could have reflected a non pro-rata distribution and reached the conclusion that it was not.</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below table illustrates changes in the Company’s balance of the Series B Preferred Stock for the years ended December 31, 2023, 2022, and 2021 (in thousands, except per share amounts):</w:t>
      </w:r>
    </w:p>
    <w:p>
      <w:pPr>
        <w:spacing w:after="0" w:line="16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Series B Preferred Stock</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3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Shares</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91,568</w:t>
            </w:r>
          </w:p>
        </w:tc>
      </w:tr>
      <w:tr>
        <w:trPr>
          <w:trHeight w:val="229"/>
        </w:trPr>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Deemed dividends</w:t>
            </w:r>
          </w:p>
        </w:tc>
        <w:tc>
          <w:tcPr>
            <w:tcW w:w="1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43"/>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92,494</w:t>
            </w:r>
          </w:p>
        </w:tc>
      </w:tr>
      <w:tr>
        <w:trPr>
          <w:trHeight w:val="20"/>
        </w:trPr>
        <w:tc>
          <w:tcPr>
            <w:tcW w:w="47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3"/>
        </w:trPr>
        <w:tc>
          <w:tcPr>
            <w:tcW w:w="33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Activity</w:t>
            </w:r>
          </w:p>
        </w:tc>
        <w:tc>
          <w:tcPr>
            <w:tcW w:w="14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92,494</w:t>
            </w:r>
          </w:p>
        </w:tc>
      </w:tr>
      <w:tr>
        <w:trPr>
          <w:trHeight w:val="20"/>
        </w:trPr>
        <w:tc>
          <w:tcPr>
            <w:tcW w:w="4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Repurchase of Series B Preferred Stock</w:t>
            </w:r>
          </w:p>
        </w:tc>
        <w:tc>
          <w:tcPr>
            <w:tcW w:w="1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(4,625)</w:t>
            </w: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B Preferred Stock</w:t>
            </w:r>
          </w:p>
        </w:tc>
        <w:tc>
          <w:tcPr>
            <w:tcW w:w="1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(87,869)</w:t>
            </w:r>
          </w:p>
        </w:tc>
      </w:tr>
      <w:tr>
        <w:trPr>
          <w:trHeight w:val="223"/>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3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Awards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two share-based compensation plans which provide for the granting of equity awards, including qualified incentive and non-qualified stock options and restricted stock awards: the MiMedx Group, Inc. 2016 Equity and Cash Incentive Plan Amended and Restated through March 2, 2023 (the “</w:t>
      </w:r>
      <w:r>
        <w:rPr>
          <w:rFonts w:ascii="Times New Roman" w:cs="Times New Roman" w:eastAsia="Times New Roman" w:hAnsi="Times New Roman"/>
          <w:sz w:val="18"/>
          <w:szCs w:val="18"/>
          <w:b w:val="1"/>
          <w:bCs w:val="1"/>
          <w:i w:val="1"/>
          <w:iCs w:val="1"/>
          <w:color w:val="auto"/>
        </w:rPr>
        <w:t>2016 Plan</w:t>
      </w:r>
      <w:r>
        <w:rPr>
          <w:rFonts w:ascii="Times New Roman" w:cs="Times New Roman" w:eastAsia="Times New Roman" w:hAnsi="Times New Roman"/>
          <w:sz w:val="18"/>
          <w:szCs w:val="18"/>
          <w:color w:val="auto"/>
        </w:rPr>
        <w:t>”), which was approved by shareholders on May 18, 2016, and the MiMedx Group, Inc. Assumed 2006 Stock Incentive Plan (the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Incentive Plan</w:t>
      </w:r>
      <w:r>
        <w:rPr>
          <w:rFonts w:ascii="Times New Roman" w:cs="Times New Roman" w:eastAsia="Times New Roman" w:hAnsi="Times New Roman"/>
          <w:sz w:val="18"/>
          <w:szCs w:val="18"/>
          <w:color w:val="auto"/>
        </w:rPr>
        <w:t>”). During the years ended December 31, 2023, 2022, and 2021 the Company used only the 2016 Plan to make grants.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2016 Plan permits the grant of equity awards to the Company’s employees, directors, consultants and advisors for up to 13,400,000 shares of the Company’s common stock plus (i) the number of shares of the Company’s common stock that remain available for issuance under the Prior Incentive Plan, and (ii) the number of shares that are represented by outstanding awards that later become available because of the expiration or forfeiture of the award without the issuance of the underlying shares. Awards granted under the 2016 Plan are subject to a vesting schedule as set forth in each individual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2023 is presented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8"/>
                <w:szCs w:val="18"/>
                <w:color w:val="auto"/>
                <w:w w:val="99"/>
              </w:rPr>
              <w:t>Weighted-</w:t>
            </w:r>
          </w:p>
        </w:tc>
        <w:tc>
          <w:tcPr>
            <w:tcW w:w="15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Remaining</w:t>
            </w:r>
          </w:p>
        </w:tc>
        <w:tc>
          <w:tcPr>
            <w:tcW w:w="26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8"/>
              </w:rPr>
              <w:t>Average</w:t>
            </w:r>
          </w:p>
        </w:tc>
        <w:tc>
          <w:tcPr>
            <w:tcW w:w="15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Contractual</w:t>
            </w:r>
          </w:p>
        </w:tc>
        <w:tc>
          <w:tcPr>
            <w:tcW w:w="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13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Exercise</w:t>
            </w:r>
          </w:p>
        </w:tc>
        <w:tc>
          <w:tcPr>
            <w:tcW w:w="15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7"/>
              </w:rPr>
              <w:t>Term</w:t>
            </w:r>
          </w:p>
        </w:tc>
        <w:tc>
          <w:tcPr>
            <w:tcW w:w="260" w:type="dxa"/>
            <w:vAlign w:val="bottom"/>
          </w:tcPr>
          <w:p>
            <w:pPr>
              <w:spacing w:after="0"/>
              <w:rPr>
                <w:sz w:val="16"/>
                <w:szCs w:val="16"/>
                <w:color w:val="auto"/>
              </w:rPr>
            </w:pPr>
          </w:p>
        </w:tc>
        <w:tc>
          <w:tcPr>
            <w:tcW w:w="128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color w:val="auto"/>
                <w:w w:val="99"/>
              </w:rPr>
              <w:t>Intrinsic</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years)</w:t>
            </w:r>
          </w:p>
        </w:tc>
        <w:tc>
          <w:tcPr>
            <w:tcW w:w="260" w:type="dxa"/>
            <w:vAlign w:val="bottom"/>
          </w:tcPr>
          <w:p>
            <w:pPr>
              <w:spacing w:after="0"/>
              <w:rPr>
                <w:sz w:val="19"/>
                <w:szCs w:val="19"/>
                <w:color w:val="auto"/>
              </w:rPr>
            </w:pPr>
          </w:p>
        </w:tc>
        <w:tc>
          <w:tcPr>
            <w:tcW w:w="12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options forfeited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options expired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4,042,520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intrinsic values of the options exercised during the years ended December 31, 2023, 2022 and 2021 were $0.2 million, $0.6 million, and $3.3 million, respectively. Cash received from option exercise under all share-based payment arrangements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8"/>
          <w:szCs w:val="18"/>
          <w:color w:val="auto"/>
        </w:rPr>
        <w:t>years ended December 31, 2023, 2022 and 2021 was $1.0 million, $0.7 million, and $1.4 million, respectively. The actual tax benefit for the tax deductions from option exercise of the share-based payment arrangements totaled $0.2 million, $0.2 million, and $2.0 million, respectively, for the years ended December 31, 2023, 2022 and 2021. The Company has a policy of using its available repurchased treasury stock to satisfy option exercises prior to the issuance of new shares of common stock.</w:t>
      </w:r>
    </w:p>
    <w:p>
      <w:pPr>
        <w:spacing w:after="0" w:line="153" w:lineRule="exact"/>
        <w:rPr>
          <w:sz w:val="20"/>
          <w:szCs w:val="20"/>
          <w:color w:val="auto"/>
        </w:rPr>
      </w:pPr>
    </w:p>
    <w:p>
      <w:pPr>
        <w:ind w:right="220"/>
        <w:spacing w:after="0" w:line="451" w:lineRule="auto"/>
        <w:rPr>
          <w:sz w:val="20"/>
          <w:szCs w:val="20"/>
          <w:color w:val="auto"/>
        </w:rPr>
      </w:pPr>
      <w:r>
        <w:rPr>
          <w:rFonts w:ascii="Times New Roman" w:cs="Times New Roman" w:eastAsia="Times New Roman" w:hAnsi="Times New Roman"/>
          <w:sz w:val="18"/>
          <w:szCs w:val="18"/>
          <w:color w:val="auto"/>
        </w:rPr>
        <w:t xml:space="preserve">No options vested during the years ended December 31, 2023, 2022 and 2021. There was no unrecognized compensation expense at December 31, 2023. </w:t>
      </w:r>
      <w:r>
        <w:rPr>
          <w:rFonts w:ascii="Times New Roman" w:cs="Times New Roman" w:eastAsia="Times New Roman" w:hAnsi="Times New Roman"/>
          <w:sz w:val="18"/>
          <w:szCs w:val="18"/>
          <w:u w:val="single" w:color="auto"/>
          <w:color w:val="auto"/>
        </w:rPr>
        <w:t>Equity Incentive Awards</w:t>
      </w:r>
    </w:p>
    <w:p>
      <w:pPr>
        <w:spacing w:after="0" w:line="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has issued several classes of stock awards to employees: restricted share awards (“</w:t>
      </w:r>
      <w:r>
        <w:rPr>
          <w:rFonts w:ascii="Times New Roman" w:cs="Times New Roman" w:eastAsia="Times New Roman" w:hAnsi="Times New Roman"/>
          <w:sz w:val="18"/>
          <w:szCs w:val="18"/>
          <w:b w:val="1"/>
          <w:bCs w:val="1"/>
          <w:i w:val="1"/>
          <w:iCs w:val="1"/>
          <w:color w:val="auto"/>
        </w:rPr>
        <w:t>RSAs</w:t>
      </w:r>
      <w:r>
        <w:rPr>
          <w:rFonts w:ascii="Times New Roman" w:cs="Times New Roman" w:eastAsia="Times New Roman" w:hAnsi="Times New Roman"/>
          <w:sz w:val="18"/>
          <w:szCs w:val="18"/>
          <w:color w:val="auto"/>
        </w:rPr>
        <w:t>”), restricted stock unit awards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and performance stock unit awards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Equity Incentive Awards</w:t>
      </w:r>
      <w:r>
        <w:rPr>
          <w:rFonts w:ascii="Times New Roman" w:cs="Times New Roman" w:eastAsia="Times New Roman" w:hAnsi="Times New Roman"/>
          <w:sz w:val="18"/>
          <w:szCs w:val="18"/>
          <w:color w:val="auto"/>
        </w:rPr>
        <w:t>”). The following is summary information for such awards for the year ended December 31, 2023.</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and RSUs generally vest over a one- to three-year period in equal annual increments and require the recipient to provide continuous service through each vesting date. PSUs vest based on the achievement of specific performance targets subject to agreements with employees and also require the recipient to provide continuous service through a specified date or event.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there was $21.4 million of total unrecognized stock-based compensation related to unvested Equity Incentive Awards. That expense is expected to be recognized over a weighted-average period of 2.26 years, which approximates the remaining vesting period of these grants. RSAs are considered common shares issued and outstanding upon grant, while shares underlying the RSUs and PSUs are considered issued and outstanding only upon vesting. Therefore, all RSAs noted below as unvested are considered issued and outstanding as of December 31, 2023, while shares underlying unvested RSUs and PSUs are not considered issued and outstanding as of December 31, 2023. RSAs, RSUs, and PSUs are not reflected in weighted average common shares outstanding for purposes of calculating basic net loss per common share.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Equity Incentive Award activity, by class of award, for the year ended December 31, 2023 is presented below:</w:t>
      </w:r>
    </w:p>
    <w:p>
      <w:pPr>
        <w:spacing w:after="0" w:line="25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6"/>
              </w:rPr>
              <w:t>RSA</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6"/>
              </w:rPr>
              <w:t>RSU</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left="890"/>
              <w:spacing w:after="0"/>
              <w:rPr>
                <w:sz w:val="20"/>
                <w:szCs w:val="20"/>
                <w:color w:val="auto"/>
              </w:rPr>
            </w:pPr>
            <w:r>
              <w:rPr>
                <w:rFonts w:ascii="Times New Roman" w:cs="Times New Roman" w:eastAsia="Times New Roman" w:hAnsi="Times New Roman"/>
                <w:sz w:val="18"/>
                <w:szCs w:val="18"/>
                <w:color w:val="auto"/>
              </w:rPr>
              <w:t>PSU</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Number of</w:t>
            </w:r>
          </w:p>
        </w:tc>
        <w:tc>
          <w:tcPr>
            <w:tcW w:w="1320" w:type="dxa"/>
            <w:vAlign w:val="bottom"/>
            <w:gridSpan w:val="3"/>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7"/>
              </w:rPr>
              <w:t>Average Grant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320" w:type="dxa"/>
            <w:vAlign w:val="bottom"/>
            <w:gridSpan w:val="3"/>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7"/>
              </w:rPr>
              <w:t>Average Grant</w:t>
            </w: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Number of</w:t>
            </w:r>
          </w:p>
        </w:tc>
        <w:tc>
          <w:tcPr>
            <w:tcW w:w="12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8"/>
                <w:szCs w:val="18"/>
                <w:color w:val="auto"/>
                <w:w w:val="99"/>
              </w:rPr>
              <w:t>Date</w:t>
            </w: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8"/>
                <w:szCs w:val="18"/>
                <w:color w:val="auto"/>
                <w:w w:val="99"/>
              </w:rPr>
              <w:t>Date</w:t>
            </w: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Fair Value</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9"/>
                <w:szCs w:val="19"/>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122,755</w:t>
            </w:r>
          </w:p>
        </w:tc>
        <w:tc>
          <w:tcPr>
            <w:tcW w:w="22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4,774,971</w:t>
            </w:r>
          </w:p>
        </w:tc>
        <w:tc>
          <w:tcPr>
            <w:tcW w:w="22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241,072</w:t>
            </w:r>
          </w:p>
        </w:tc>
        <w:tc>
          <w:tcPr>
            <w:tcW w:w="22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3,278,244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3,851,427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(2,258,939)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(90,367)</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(1,885,537)</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(365,227)</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3,908,739</w:t>
            </w:r>
          </w:p>
        </w:tc>
        <w:tc>
          <w:tcPr>
            <w:tcW w:w="22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3,727,272</w:t>
            </w:r>
          </w:p>
        </w:tc>
        <w:tc>
          <w:tcPr>
            <w:tcW w:w="22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fair value of equity incentive awards vested during the years ended December 31, 2023, 2022 and 2021, was $10.3 million, $10.9 million, and $20.1 million,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the Company recognized share-based compensation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620" w:type="dxa"/>
            <w:vAlign w:val="bottom"/>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56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56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6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56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before consideration of 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56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net of tax benefit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56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580"/>
        </w:trPr>
        <w:tc>
          <w:tcPr>
            <w:tcW w:w="62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auto"/>
        </w:rPr>
        <w:t>Performance Stock Units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granted PSUs to certain executive officers during the years ended December 31, 2023 and 2022. These PSUs vest based on and to the extent that stipulated cumulative net sales targets are achieved. Achievement of the performance targets allow for vesting of 50% to 150% of the PSUs granted. If performance is below 50%, the PSUs do not vest. To the extent that the vesting percentage in a subsequent period exceeds the vesting percentage achieved in a previous period, a recipient is eligible to receive the amount of shares from the previous period based on the vesting percentage in the subsequent period. If total shareholder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is negative, vesting is limited to 100% of the award for all periods, regardless of actual achievement against the stipulated net sales targets.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7, 2022, the Company adopted the Employee Stock Purchase Plan of MiMedx Group, Inc.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The ESPP qualifies as an “employee stock purchase plan” under Section 423 of the Internal Revenue Code. All regular full-time employees of the Company (including officers) and all other employees who meet the eligibility requirements of the plan may participate in the ESPP. The ESPP provides eligible employees an opportunity to acquire the Company’s common stock on a semi-annual basis at a purchase price of 85% of the lower of the closing price per share of the Company’s common stock on the first day and the last day of each six-month purchase period (the “</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The aggregate number of shares which may be issued and sold under the ESPP is 3 million shares of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$0.5 million and $0.2 million, respectively, in stock-based compensation related to the ESPP. As of December 31, 2023 and 2022, the Company had cumulative payroll deferrals under the ESPP for future share purchases of $0.7 million and $0.6 million, respectively. This amount is included in accrued compensation in the consolidated balance sheet.</w:t>
      </w:r>
    </w:p>
    <w:p>
      <w:pPr>
        <w:spacing w:after="0" w:line="135" w:lineRule="exact"/>
        <w:rPr>
          <w:sz w:val="20"/>
          <w:szCs w:val="20"/>
          <w:color w:val="auto"/>
        </w:rPr>
      </w:pPr>
    </w:p>
    <w:p>
      <w:pPr>
        <w:ind w:right="1400"/>
        <w:spacing w:after="0" w:line="461" w:lineRule="auto"/>
        <w:rPr>
          <w:sz w:val="20"/>
          <w:szCs w:val="20"/>
          <w:color w:val="auto"/>
        </w:rPr>
      </w:pPr>
      <w:r>
        <w:rPr>
          <w:rFonts w:ascii="Times New Roman" w:cs="Times New Roman" w:eastAsia="Times New Roman" w:hAnsi="Times New Roman"/>
          <w:sz w:val="18"/>
          <w:szCs w:val="18"/>
          <w:color w:val="auto"/>
        </w:rPr>
        <w:t xml:space="preserve">Unrecognized stock compensation for the period is less than $0.1 million to be recognized over a weighted average period of 0.08 years. </w:t>
      </w:r>
      <w:r>
        <w:rPr>
          <w:rFonts w:ascii="Times New Roman" w:cs="Times New Roman" w:eastAsia="Times New Roman" w:hAnsi="Times New Roman"/>
          <w:sz w:val="18"/>
          <w:szCs w:val="18"/>
          <w:i w:val="1"/>
          <w:iCs w:val="1"/>
          <w:color w:val="auto"/>
        </w:rPr>
        <w:t>CEO Performance Grant</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27, 2023, the Board of Directors appointed Joseph H. Capper to serve as Chief Executive Officer. The Company entered into a Letter Agreement with Mr. Capper that included, among other things, a grant of 3,300,000 PSUs (the “</w:t>
      </w:r>
      <w:r>
        <w:rPr>
          <w:rFonts w:ascii="Times New Roman" w:cs="Times New Roman" w:eastAsia="Times New Roman" w:hAnsi="Times New Roman"/>
          <w:sz w:val="18"/>
          <w:szCs w:val="18"/>
          <w:b w:val="1"/>
          <w:bCs w:val="1"/>
          <w:i w:val="1"/>
          <w:iCs w:val="1"/>
          <w:color w:val="auto"/>
        </w:rPr>
        <w:t>CEO Performance PSUs</w:t>
      </w:r>
      <w:r>
        <w:rPr>
          <w:rFonts w:ascii="Times New Roman" w:cs="Times New Roman" w:eastAsia="Times New Roman" w:hAnsi="Times New Roman"/>
          <w:sz w:val="18"/>
          <w:szCs w:val="18"/>
          <w:color w:val="auto"/>
        </w:rPr>
        <w:t>”) and a non-qualified stock option (the “</w:t>
      </w:r>
      <w:r>
        <w:rPr>
          <w:rFonts w:ascii="Times New Roman" w:cs="Times New Roman" w:eastAsia="Times New Roman" w:hAnsi="Times New Roman"/>
          <w:sz w:val="18"/>
          <w:szCs w:val="18"/>
          <w:b w:val="1"/>
          <w:bCs w:val="1"/>
          <w:i w:val="1"/>
          <w:iCs w:val="1"/>
          <w:color w:val="auto"/>
        </w:rPr>
        <w:t>CEO Performance Option</w:t>
      </w:r>
      <w:r>
        <w:rPr>
          <w:rFonts w:ascii="Times New Roman" w:cs="Times New Roman" w:eastAsia="Times New Roman" w:hAnsi="Times New Roman"/>
          <w:sz w:val="18"/>
          <w:szCs w:val="18"/>
          <w:color w:val="auto"/>
        </w:rPr>
        <w:t>”, collectively with the CEO Performance PSUs, the “</w:t>
      </w:r>
      <w:r>
        <w:rPr>
          <w:rFonts w:ascii="Times New Roman" w:cs="Times New Roman" w:eastAsia="Times New Roman" w:hAnsi="Times New Roman"/>
          <w:sz w:val="18"/>
          <w:szCs w:val="18"/>
          <w:b w:val="1"/>
          <w:bCs w:val="1"/>
          <w:i w:val="1"/>
          <w:iCs w:val="1"/>
          <w:color w:val="auto"/>
        </w:rPr>
        <w:t>CEO Performance Grant</w:t>
      </w:r>
      <w:r>
        <w:rPr>
          <w:rFonts w:ascii="Times New Roman" w:cs="Times New Roman" w:eastAsia="Times New Roman" w:hAnsi="Times New Roman"/>
          <w:sz w:val="18"/>
          <w:szCs w:val="18"/>
          <w:color w:val="auto"/>
        </w:rPr>
        <w:t>”) for 3,600,000 shares of the Company’s common stock. In addition to continued employment with the Company, the occurrence and extent of vesting of each component of the CEO Performance Grant is dependent upon the Company’s operating and share price performance: the CEO Performance PSUs vest on the basis of achieved revenue growth, while the CEO Performance Option vests on the basis of share price appreciation.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CEO Performance PSUs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CEO Performance PSUs vest in a single tranche on the earlier of the filing date of the Company’s 2026 Annual Report on Form 10-K and March 15, 2027. The occurrence and extent of vesting depends on the Company’s compound annual growth rate (“</w:t>
      </w:r>
      <w:r>
        <w:rPr>
          <w:rFonts w:ascii="Times New Roman" w:cs="Times New Roman" w:eastAsia="Times New Roman" w:hAnsi="Times New Roman"/>
          <w:sz w:val="18"/>
          <w:szCs w:val="18"/>
          <w:b w:val="1"/>
          <w:bCs w:val="1"/>
          <w:i w:val="1"/>
          <w:iCs w:val="1"/>
          <w:color w:val="auto"/>
        </w:rPr>
        <w:t>CAGR</w:t>
      </w:r>
      <w:r>
        <w:rPr>
          <w:rFonts w:ascii="Times New Roman" w:cs="Times New Roman" w:eastAsia="Times New Roman" w:hAnsi="Times New Roman"/>
          <w:sz w:val="18"/>
          <w:szCs w:val="18"/>
          <w:color w:val="auto"/>
        </w:rPr>
        <w:t>”) achieved with respect to its revenue growth between the year ended December 31, 2022 and the year ending December 31, 2026. The PSUs may vest with respect to 50% to 200% of the granted number of PSUs, depending on the extent of CAGR achievement. Failure to achieve the CAGR associated with 50% of achievement would result in no vesting.</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determined the probable level of vesting using internally-developed forecasts for the relevant period representing the Company’s best estimate for revenue, with a factor applied to calculate the highest level of CAGR evaluated to be probable of occurring based on that estimate. The Company recognized $1.7 million of expense related to the CEO Performance PSUs during year ended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CEO Performance Option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CEO Performance Option grants Mr. Capper the right to purchase up to 3,600,000 shares of common stock for $3.70 per share. The CEO Performance Option vests based on the satisfaction of service and market conditions. Mr. Capper may vest in 25% of the CEO Performance Option on each of the first four anniversary dates of the date of grant provided that he remains employed by the Company and provided that specified share price goals are achieved at any point between the date of grant and January 31, 2027. There are three separate share price goals associated with the CEO Performance Option. If specified share price goals are met at one level, one-third of the option may vest, at a second level, a further one-third may vest, and at a third level, the full amount of the option may vest. Satisfaction of the share price goals is based on the average of the closing price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3" w:name="page74"/>
    <w:bookmarkEnd w:id="73"/>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common stock during any 20 consecutive trading days through January 31, 2027 exceeding the stipulated share price goal. The CEO Performance Option expires on February 1, 2030.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Repurchases of shares of Common Stock in connection with the satisfaction of employee tax withholding obligations upon vesting of restricted stock and exercise of stock options for the years ended December 31, 2023, 2022, and 2021 were 0, 249,442, and 469,239, respectively, for an aggregate purchase price of $0, $1.2 million, and $4.8 million,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estimated the fair value of the awards using a Monte Carlo simulation using the following assumptions:</w:t>
      </w:r>
    </w:p>
    <w:p>
      <w:pPr>
        <w:spacing w:after="0" w:line="239"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6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jc w:val="right"/>
              <w:ind w:right="1910"/>
              <w:spacing w:after="0"/>
              <w:rPr>
                <w:sz w:val="20"/>
                <w:szCs w:val="20"/>
                <w:color w:val="auto"/>
              </w:rPr>
            </w:pPr>
            <w:r>
              <w:rPr>
                <w:rFonts w:ascii="Times New Roman" w:cs="Times New Roman" w:eastAsia="Times New Roman" w:hAnsi="Times New Roman"/>
                <w:sz w:val="18"/>
                <w:szCs w:val="18"/>
                <w:color w:val="auto"/>
              </w:rPr>
              <w:t>Assumption</w:t>
            </w:r>
          </w:p>
        </w:tc>
      </w:tr>
      <w:tr>
        <w:trPr>
          <w:trHeight w:val="22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grant date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shd w:val="clear" w:color="auto" w:fill="CCEEFF"/>
          </w:tcPr>
          <w:p>
            <w:pPr>
              <w:spacing w:after="0"/>
              <w:rPr>
                <w:sz w:val="19"/>
                <w:szCs w:val="19"/>
                <w:color w:val="auto"/>
              </w:rPr>
            </w:pP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(annualized)</w:t>
            </w:r>
          </w:p>
        </w:tc>
        <w:tc>
          <w:tcPr>
            <w:tcW w:w="1040" w:type="dxa"/>
            <w:vAlign w:val="bottom"/>
          </w:tcPr>
          <w:p>
            <w:pPr>
              <w:spacing w:after="0"/>
              <w:rPr>
                <w:sz w:val="19"/>
                <w:szCs w:val="19"/>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40" w:type="dxa"/>
            <w:vAlign w:val="bottom"/>
            <w:shd w:val="clear" w:color="auto" w:fill="CCEEFF"/>
          </w:tcPr>
          <w:p>
            <w:pPr>
              <w:spacing w:after="0"/>
              <w:rPr>
                <w:sz w:val="19"/>
                <w:szCs w:val="19"/>
                <w:color w:val="auto"/>
              </w:rPr>
            </w:pP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r>
    </w:tbl>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risk-free interest rate was derived based on the U.S. Treasury Yield curve in effect at the date of grant for maturities of similar periods to the contractual term. The expected volatility was estimated principally based on the Company’s historical daily stock price movements for a term similar in length to the contractual term. The dividend yield was based on the Company’s history of dividends on its common stock. The fair value was determined using an expected term which reflects the anticipated holding and post-vesting behavior pattern, calculated for each individual simulation.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grant date fair value of the CEO Performance Option was $7.0 million. The fair value associated with each tranche of the award will be recognized, straight-line, over the associated requisite service period for that tranche, subject to acceleration if the market condition is met prior to the end of the derived service period. Failure to meet the market condition for an award does not result in reversal of previously-recognized expense, so long as the service is provided for the duration of the required service period. The Company recognized $2.6 million of expense related to the CEO Performance Option during year ended December 31, 2023.</w:t>
      </w:r>
    </w:p>
    <w:p>
      <w:pPr>
        <w:spacing w:after="0" w:line="139"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 By Care Setting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MIMEDX has three sites of service for its products (1) Hospital settings and wound care clinics, which are stable reimbursement settings in which products are used for both wound and surgical applications, (2) Private offices, which generally represents doctors and practitioners with independent operations, and (3) Other, which includes federal facilities, international sales, and other sites of service.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net sales by site of service (in thousands):</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40" w:type="dxa"/>
            <w:vAlign w:val="bottom"/>
            <w:gridSpan w:val="6"/>
          </w:tcPr>
          <w:p>
            <w:pPr>
              <w:jc w:val="right"/>
              <w:ind w:right="23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142,140</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Private Office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74,522</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321,477</w:t>
            </w:r>
          </w:p>
        </w:tc>
        <w:tc>
          <w:tcPr>
            <w:tcW w:w="52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267,841</w:t>
            </w:r>
          </w:p>
        </w:tc>
        <w:tc>
          <w:tcPr>
            <w:tcW w:w="100" w:type="dxa"/>
            <w:vAlign w:val="bottom"/>
          </w:tcPr>
          <w:p>
            <w:pPr>
              <w:spacing w:after="0"/>
              <w:rPr>
                <w:sz w:val="18"/>
                <w:szCs w:val="18"/>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242,019</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did not have significant foreign operations or a single external customer from which 10% or more of revenues were derived during the years ended December 31, 2023, 2022, or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Activity related to the Company’s sales returns allowance during the year ended December 31, 2023 was as follows (in thousands):</w:t>
      </w:r>
    </w:p>
    <w:p>
      <w:pPr>
        <w:spacing w:after="0" w:line="239"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772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Sales Returns Allowance</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expense or revenue</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and write-offs</w:t>
            </w: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charged to expense or revenue</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Deductions and write-offs</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AXIOFILL</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received a Warning Letter on December 21, 2023, relating to the inspections and classification of AXIOFILL. The Company continues to engage with the FDA on this matter, working through the process outlined by the FDA to obtain a formal determination of AXIOFILL’s classification.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Discontinued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Disbanding of Regenerative Medicine Business Unit</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20, 2023, the Company announced the disbanding of its Regenerative Medicine business unit and the suspension of its Knee Osteoarthritis clinical trial program. During the fourth quarter of 2023, the Company completed the regulatory obligations associated with the clinical trial.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Impact of Discontinued Operations</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income and expenses of the discontinued operation have been classified as loss (income) from discontinued operations in the consolidated statements of operations as of December 31, 2023, 2022, and 2021 as follows (in thousands):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assets and liabilities of the discontinued operations have been classified as discontinued operations in the consolidated balance sheet as of December 31, 2023 and 2022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5" w:name="page76"/>
    <w:bookmarkEnd w:id="75"/>
    <w:tbl>
      <w:tblPr>
        <w:tblLayout w:type="fixed"/>
        <w:tblInd w:w="170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8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Year Ended December 31,</w:t>
            </w:r>
          </w:p>
        </w:tc>
        <w:tc>
          <w:tcPr>
            <w:tcW w:w="58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19"/>
                <w:szCs w:val="19"/>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1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9"/>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0"/>
        </w:trPr>
        <w:tc>
          <w:tcPr>
            <w:tcW w:w="4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announcement of the disbanding of Regenerative Medicine business unit, the Company evaluated goodwill associated with the Regenerative Medicine reporting unit for potential impairment. The Company estimated fair value for the reporting unit using the income approach; specifically, a discounted cash flow method. As a result of this assessment, management concluded that the carrying value of the reporting unit exceeded its fair value by an amount that exceeded its goodwill balance. Accordingly, the Company recognized an impairment loss for the full amount of the goodwill ascribed to the Regenerative Medicine reporting unit. The goodwill impairment loss is included as a component of discontinued operations in the audited consolidated statement of operations for the year ended December 31, 2023. Goodwill related to the Regenerative Medicine business unit of $0.5 million is included as a component of assets of discontinued operations in the consolidated balance sheet for the year ended December 31, 2022. Impairment expense of $0.5 million was recorded as part of loss from discontinued operations for the year ended December 31, 2023.</w:t>
      </w:r>
    </w:p>
    <w:p>
      <w:pPr>
        <w:spacing w:after="0" w:line="1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6" w:name="page77"/>
    <w:bookmarkEnd w:id="76"/>
    <w:tbl>
      <w:tblPr>
        <w:tblLayout w:type="fixed"/>
        <w:tblInd w:w="11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23,719</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and other tax credits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limitation carry forward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return and allowances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 of use asset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41,687</w:t>
            </w: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47,631</w:t>
            </w:r>
          </w:p>
        </w:tc>
        <w:tc>
          <w:tcPr>
            <w:tcW w:w="0" w:type="dxa"/>
            <w:vAlign w:val="bottom"/>
          </w:tcPr>
          <w:p>
            <w:pPr>
              <w:spacing w:after="0"/>
              <w:rPr>
                <w:sz w:val="1"/>
                <w:szCs w:val="1"/>
                <w:color w:val="auto"/>
              </w:rPr>
            </w:pPr>
          </w:p>
        </w:tc>
      </w:tr>
      <w:tr>
        <w:trPr>
          <w:trHeight w:val="270"/>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(47,631)</w:t>
            </w:r>
          </w:p>
        </w:tc>
        <w:tc>
          <w:tcPr>
            <w:tcW w:w="0" w:type="dxa"/>
            <w:vAlign w:val="bottom"/>
          </w:tcPr>
          <w:p>
            <w:pPr>
              <w:spacing w:after="0"/>
              <w:rPr>
                <w:sz w:val="1"/>
                <w:szCs w:val="1"/>
                <w:color w:val="auto"/>
              </w:rPr>
            </w:pPr>
          </w:p>
        </w:tc>
      </w:tr>
      <w:tr>
        <w:trPr>
          <w:trHeight w:val="21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 after Valuation Allowance</w:t>
            </w: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6220" w:type="dxa"/>
            <w:vAlign w:val="bottom"/>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federal statutory income tax rate of 21% to the effective rate is as follows:</w:t>
      </w:r>
    </w:p>
    <w:p>
      <w:pPr>
        <w:sectPr>
          <w:pgSz w:w="11900" w:h="16838" w:orient="portrait"/>
          <w:cols w:equalWidth="0" w:num="1">
            <w:col w:w="10520"/>
          </w:cols>
          <w:pgMar w:left="320" w:top="112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Federal statutory rate</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Nondeductible compensation</w:t>
      </w:r>
    </w:p>
    <w:p>
      <w:pPr>
        <w:spacing w:after="0" w:line="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Meals and entertainment</w:t>
      </w:r>
    </w:p>
    <w:p>
      <w:pPr>
        <w:spacing w:after="0" w:line="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Deferred tax adjustments</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Uncertain tax positions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Employee retention credit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Tax credits</w:t>
      </w:r>
    </w:p>
    <w:p>
      <w:pPr>
        <w:spacing w:after="0" w:line="31" w:lineRule="exact"/>
        <w:rPr>
          <w:sz w:val="20"/>
          <w:szCs w:val="20"/>
          <w:color w:val="auto"/>
        </w:rPr>
      </w:pPr>
    </w:p>
    <w:p>
      <w:pPr>
        <w:ind w:left="760" w:right="600"/>
        <w:spacing w:after="0" w:line="323" w:lineRule="auto"/>
        <w:rPr>
          <w:sz w:val="20"/>
          <w:szCs w:val="20"/>
          <w:color w:val="auto"/>
        </w:rPr>
      </w:pPr>
      <w:r>
        <w:rPr>
          <w:rFonts w:ascii="Times New Roman" w:cs="Times New Roman" w:eastAsia="Times New Roman" w:hAnsi="Times New Roman"/>
          <w:sz w:val="18"/>
          <w:szCs w:val="18"/>
          <w:color w:val="auto"/>
        </w:rPr>
        <w:t>State taxes, net of federal benefit Valuation allowance Other</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38487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9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2021</w:t>
            </w: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5"/>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34"/>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19.49 %</w:t>
            </w:r>
          </w:p>
        </w:tc>
      </w:tr>
      <w:tr>
        <w:trPr>
          <w:trHeight w:val="270"/>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70"/>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65"/>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12.23 %</w:t>
            </w:r>
          </w:p>
        </w:tc>
      </w:tr>
      <w:tr>
        <w:trPr>
          <w:trHeight w:val="229"/>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r>
      <w:tr>
        <w:trPr>
          <w:trHeight w:val="230"/>
        </w:trPr>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34"/>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0.93 %</w:t>
            </w:r>
          </w:p>
        </w:tc>
      </w:tr>
      <w:tr>
        <w:trPr>
          <w:trHeight w:val="270"/>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r>
      <w:tr>
        <w:trPr>
          <w:trHeight w:val="270"/>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70"/>
        </w:trPr>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100" w:type="dxa"/>
            <w:vAlign w:val="bottom"/>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2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716280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-1971040</wp:posOffset>
            </wp:positionV>
            <wp:extent cx="620649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06490" cy="17145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-1653540</wp:posOffset>
            </wp:positionV>
            <wp:extent cx="620649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06490" cy="17145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-1310640</wp:posOffset>
            </wp:positionV>
            <wp:extent cx="620649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06490" cy="17145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-993775</wp:posOffset>
            </wp:positionV>
            <wp:extent cx="620649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06490" cy="14605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-702310</wp:posOffset>
            </wp:positionV>
            <wp:extent cx="620649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06490" cy="17145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-359410</wp:posOffset>
            </wp:positionV>
            <wp:extent cx="620649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06490" cy="171450"/>
                    </a:xfrm>
                    <a:prstGeom prst="rect">
                      <a:avLst/>
                    </a:prstGeom>
                    <a:noFill/>
                  </pic:spPr>
                </pic:pic>
              </a:graphicData>
            </a:graphic>
          </wp:anchor>
        </w:drawing>
      </w:r>
    </w:p>
    <w:p>
      <w:pPr>
        <w:sectPr>
          <w:pgSz w:w="11900" w:h="16838" w:orient="portrait"/>
          <w:cols w:equalWidth="0" w:num="2">
            <w:col w:w="3720" w:space="720"/>
            <w:col w:w="6080"/>
          </w:cols>
          <w:pgMar w:left="320" w:top="1120" w:right="1059" w:bottom="1440" w:gutter="0" w:footer="0" w:header="0"/>
          <w:type w:val="continuous"/>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for the year ended December 31, 2023 was significantly influenced by the reversal of a valuation allowance, reflecting a change in the determination of the likelihood of the realizability of certain of the Company’s deferred tax assets as of that date. This re-evaluation was the result of the conclusion of that the Company’s disbanded Regenerative Medicine segment qualified as a discontinued operation, in concert with the Company’s operating results.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and deferred income tax (benefit) expense is as follows (in thousands):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50"/>
        </w:trPr>
        <w:tc>
          <w:tcPr>
            <w:tcW w:w="48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(31,633)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(40,777)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expense</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(39,779)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items of income and expense are not reported in tax returns and financial statements in the same year. The tax effects of such temporary differences are reported as deferred income tax assets and liabilities. The measurement of deferred tax assets is reduced, if necessary, by the amount of any tax benefit that, based on available evidence, is not expected to be realized. The Company establishes a valuation allowance for deferred tax assets for which realization is not more likely than not. As of each reporting date, management considers new evidence, both positive and negative, that could affect its view of the future realization of deferred tax assets.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valuation allowance of $0.9 million and $47.6 million was recorded against the deferred tax asset balance as of December 31, 2023 and 2022, respectively. Valuation allowances are reflected against the Company’s deferred tax assets to reflect the extent to which the realization of those assets are not more likely than not to be realized based on all available positive and negative evidence. In the event that the weight of the evidence changes in the future, any reduction in the valuation allowance would result in an income tax benefit.</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2023 and 2022, the Company had income tax net operating loss (“</w:t>
      </w:r>
      <w:r>
        <w:rPr>
          <w:rFonts w:ascii="Times New Roman" w:cs="Times New Roman" w:eastAsia="Times New Roman" w:hAnsi="Times New Roman"/>
          <w:sz w:val="18"/>
          <w:szCs w:val="18"/>
          <w:b w:val="1"/>
          <w:bCs w:val="1"/>
          <w:i w:val="1"/>
          <w:iCs w:val="1"/>
          <w:color w:val="auto"/>
        </w:rPr>
        <w:t>NOL</w:t>
      </w:r>
      <w:r>
        <w:rPr>
          <w:rFonts w:ascii="Times New Roman" w:cs="Times New Roman" w:eastAsia="Times New Roman" w:hAnsi="Times New Roman"/>
          <w:sz w:val="18"/>
          <w:szCs w:val="18"/>
          <w:color w:val="auto"/>
        </w:rPr>
        <w:t>”) carryforwards for federal and state purposes of $43.5 million and $85.7 million and $84.9 million and $109.8 million, respectively. A portion of the Company’s tax credits are subject to annual limitations due to ownership change limitations provided by Internal Revenue Code Section 382. All of the Company’s federal NOL carryforwards have been generated since 2018 and will carry forward indefinitely. The majority of the Company’s state NOL carryforwards will expire between 2027 and 2042; the remainder of the Company’s state NOLs will carryforward indefinitely. As of December 31, 2023, the Company has recorded $9.1 million and $4.6 million deferred tax asset for federal and state NOL carryforwards, respectively. As of December 31, 2022, the Company has recorded a deferred tax asset for federal and state NOL carryforwards of $17.8 million and $5.9 million,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(in thousands) included in the 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0" w:type="dxa"/>
            <w:vAlign w:val="bottom"/>
          </w:tcPr>
          <w:p>
            <w:pPr>
              <w:spacing w:after="0"/>
              <w:rPr>
                <w:sz w:val="21"/>
                <w:szCs w:val="21"/>
                <w:color w:val="auto"/>
              </w:rPr>
            </w:pPr>
          </w:p>
        </w:tc>
        <w:tc>
          <w:tcPr>
            <w:tcW w:w="434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Pr>
          <w:p>
            <w:pPr>
              <w:spacing w:after="0"/>
              <w:rPr>
                <w:sz w:val="21"/>
                <w:szCs w:val="21"/>
                <w:color w:val="auto"/>
              </w:rPr>
            </w:pPr>
          </w:p>
        </w:tc>
      </w:tr>
      <w:tr>
        <w:trPr>
          <w:trHeight w:val="223"/>
        </w:trPr>
        <w:tc>
          <w:tcPr>
            <w:tcW w:w="80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January 1</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780" w:type="dxa"/>
            <w:vAlign w:val="bottom"/>
          </w:tcPr>
          <w:p>
            <w:pPr>
              <w:spacing w:after="0"/>
              <w:rPr>
                <w:sz w:val="19"/>
                <w:szCs w:val="19"/>
                <w:color w:val="auto"/>
              </w:rPr>
            </w:pPr>
          </w:p>
        </w:tc>
      </w:tr>
      <w:tr>
        <w:trPr>
          <w:trHeight w:val="229"/>
        </w:trPr>
        <w:tc>
          <w:tcPr>
            <w:tcW w:w="8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 tax positions in current period</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 tax positions in prior period</w:t>
            </w: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in prior year positions</w:t>
            </w:r>
          </w:p>
        </w:tc>
        <w:tc>
          <w:tcPr>
            <w:tcW w:w="11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tcPr>
          <w:p>
            <w:pPr>
              <w:spacing w:after="0"/>
              <w:rPr>
                <w:sz w:val="19"/>
                <w:szCs w:val="19"/>
                <w:color w:val="auto"/>
              </w:rPr>
            </w:pPr>
          </w:p>
        </w:tc>
      </w:tr>
      <w:tr>
        <w:trPr>
          <w:trHeight w:val="248"/>
        </w:trPr>
        <w:tc>
          <w:tcPr>
            <w:tcW w:w="800" w:type="dxa"/>
            <w:vAlign w:val="bottom"/>
          </w:tcPr>
          <w:p>
            <w:pPr>
              <w:spacing w:after="0"/>
              <w:rPr>
                <w:sz w:val="21"/>
                <w:szCs w:val="21"/>
                <w:color w:val="auto"/>
              </w:rPr>
            </w:pPr>
          </w:p>
        </w:tc>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December 31</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78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128"/>
        </w:trPr>
        <w:tc>
          <w:tcPr>
            <w:tcW w:w="8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are tax benefits of $0.8 million and $0.6 million as of December 31, 2023 and 2022, respectively, that, if recognized, would affect the effective tax rate. Of these amounts, $0.1 million and $0, respectively, are recorded as other liabilities in the consolidated balance sheets as of those dates. The remaining balance is reflected as a reduction to the related deferred tax asset.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accrued interest related to unrecognized tax benefits and penalties as income tax expense. Related to the unrecognized tax benefits noted above, the Company accrued $0.0 million of interest during the years ended December 31, 2023 and 2022.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 jurisdictions. As of December 31, 2023, the Company’s tax returns for 2020 through 2023 generally remain open for exam by taxing jurisdictions. Additional prior years may be open to the extent attributes are being carried forward to an open tax year.</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Supplemental Disclosure of Cash Flow and Non-Cash Investing and Financing Activities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Selected cash payments, receipts, and non-cash activities are as follows (in thousands):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(refunded) paid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Series B Preferred Stock</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shares pursuant to employee stock purchase plan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equipment included in accounts payable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costs incurred but not paid for Citizens Financing Transaction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fees associated with the Repurchase of Series B Preferred Stock</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right of use asset and liability</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Deemed dividends of Series B Preferred Stock</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non-cash consideration received for option exercise</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receivable for sale of property and equipment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Commitments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commitments for meeting spaces, generally for hotel and conference spaces for company functions. These commitments generally contain renewal options.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meeting space commitments are as follows (in thousands):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87"/>
        </w:trPr>
        <w:tc>
          <w:tcPr>
            <w:tcW w:w="2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Meeting Space</w:t>
            </w:r>
          </w:p>
        </w:tc>
      </w:tr>
      <w:tr>
        <w:trPr>
          <w:trHeight w:val="234"/>
        </w:trPr>
        <w:tc>
          <w:tcPr>
            <w:tcW w:w="220" w:type="dxa"/>
            <w:vAlign w:val="bottom"/>
          </w:tcPr>
          <w:p>
            <w:pPr>
              <w:spacing w:after="0"/>
              <w:rPr>
                <w:sz w:val="20"/>
                <w:szCs w:val="20"/>
                <w:color w:val="auto"/>
              </w:rPr>
            </w:pPr>
          </w:p>
        </w:tc>
        <w:tc>
          <w:tcPr>
            <w:tcW w:w="9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Commitments</w:t>
            </w:r>
          </w:p>
        </w:tc>
      </w:tr>
      <w:tr>
        <w:trPr>
          <w:trHeight w:val="223"/>
        </w:trPr>
        <w:tc>
          <w:tcPr>
            <w:tcW w:w="220" w:type="dxa"/>
            <w:vAlign w:val="bottom"/>
          </w:tcPr>
          <w:p>
            <w:pPr>
              <w:spacing w:after="0"/>
              <w:rPr>
                <w:sz w:val="19"/>
                <w:szCs w:val="19"/>
                <w:color w:val="auto"/>
              </w:rPr>
            </w:pPr>
          </w:p>
        </w:tc>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0"/>
        </w:trPr>
        <w:tc>
          <w:tcPr>
            <w:tcW w:w="220" w:type="dxa"/>
            <w:vAlign w:val="bottom"/>
          </w:tcPr>
          <w:p>
            <w:pPr>
              <w:spacing w:after="0"/>
              <w:rPr>
                <w:sz w:val="19"/>
                <w:szCs w:val="19"/>
                <w:color w:val="auto"/>
              </w:rPr>
            </w:pPr>
          </w:p>
        </w:tc>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8"/>
        </w:trPr>
        <w:tc>
          <w:tcPr>
            <w:tcW w:w="220" w:type="dxa"/>
            <w:vAlign w:val="bottom"/>
          </w:tcPr>
          <w:p>
            <w:pPr>
              <w:spacing w:after="0"/>
              <w:rPr>
                <w:sz w:val="21"/>
                <w:szCs w:val="21"/>
                <w:color w:val="auto"/>
              </w:rPr>
            </w:pPr>
          </w:p>
        </w:tc>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0"/>
        </w:trPr>
        <w:tc>
          <w:tcPr>
            <w:tcW w:w="220" w:type="dxa"/>
            <w:vAlign w:val="bottom"/>
          </w:tcPr>
          <w:p>
            <w:pPr>
              <w:spacing w:after="0" w:line="20" w:lineRule="exact"/>
              <w:rPr>
                <w:sz w:val="1"/>
                <w:szCs w:val="1"/>
                <w:color w:val="auto"/>
              </w:rPr>
            </w:pPr>
          </w:p>
        </w:tc>
        <w:tc>
          <w:tcPr>
            <w:tcW w:w="9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 with Timothy R. Wright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the Company entered into a Separation Agreement and General Release with Timothy R. Wright, the former Chief Executive Officer of the Company (the “</w:t>
      </w:r>
      <w:r>
        <w:rPr>
          <w:rFonts w:ascii="Times New Roman" w:cs="Times New Roman" w:eastAsia="Times New Roman" w:hAnsi="Times New Roman"/>
          <w:sz w:val="18"/>
          <w:szCs w:val="18"/>
          <w:b w:val="1"/>
          <w:bCs w:val="1"/>
          <w:i w:val="1"/>
          <w:iCs w:val="1"/>
          <w:color w:val="auto"/>
        </w:rPr>
        <w:t>Separation Agreement</w:t>
      </w:r>
      <w:r>
        <w:rPr>
          <w:rFonts w:ascii="Times New Roman" w:cs="Times New Roman" w:eastAsia="Times New Roman" w:hAnsi="Times New Roman"/>
          <w:sz w:val="18"/>
          <w:szCs w:val="18"/>
          <w:color w:val="auto"/>
        </w:rPr>
        <w:t>”). Pursuant to the terms of the Separation Agreement and Mr. Wright’s general release of all claims against the Company, the Company will pay Mr. Wright a total of $3.1 million in cash in a series of installments through September 2024. The terms of the severance benefits provided in the Separation Agreement were the same as those provided for in the original employment Letter Agreement between Mr. Wright and the Company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9" w:name="page80"/>
    <w:bookmarkEnd w:id="79"/>
    <w:p>
      <w:pPr>
        <w:jc w:val="both"/>
        <w:spacing w:after="0" w:line="282" w:lineRule="auto"/>
        <w:rPr>
          <w:sz w:val="20"/>
          <w:szCs w:val="20"/>
          <w:color w:val="auto"/>
        </w:rPr>
      </w:pPr>
      <w:r>
        <w:rPr>
          <w:rFonts w:ascii="Times New Roman" w:cs="Times New Roman" w:eastAsia="Times New Roman" w:hAnsi="Times New Roman"/>
          <w:sz w:val="18"/>
          <w:szCs w:val="18"/>
          <w:color w:val="auto"/>
        </w:rPr>
        <w:t>April 8, 2019. The $3.1 million was recorded as part of selling, general and administrative expense on the consolidated statement of operations for the year ended December 31, 2022.</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made to Mr. Wright under the terms of the Separation Agreement during the year ended December 31, 2023 totaled $1.9 million. A total of $1.2 million is reflected in accrued compensation in the consolidated balance sheet as of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Regulatory Matters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may be a party to pending and threatened legal, regulatory, and governmental actions and proceedings (including those described below). In view of the inherent difficulty of predicting the outcome of such matters, particularly where the plaintiffs or claimants seek very large or indeterminate damages or where the matters present novel legal theories or involve a large number of parties, the Company generally cannot predict what the eventual outcome of the pending matters will be, what the timing of the ultimate resolution of these matters will be, or what the eventual recovery, loss, fines or penalties related to each pending matter may be.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applicable accounting guidance, the Company accrues a liability when those matters present loss contingencies that are both probable and estimable. The Company's financial statements at December 31, 2023 reflect the Company's current best estimate of probable losses associated with these matters, including costs to comply with various settlement agreements, where applicable. The Company had zero and $0.2 million accrued as of December 31, 2023 and December 31, 2022, respectively, related to expected settlement costs related to legal matters. The actual costs of resolving these matters may be in excess of the amounts accrued.</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paid $0.2 million, $0.7 million, and $6.7 million toward the resolution of legal matters involving the Company during the years ended December 31, 2023, 2022, and 2021, respectively. In addition, insurance providers paid $0.6 million and $1.1 million on the Company’s behalf to settle legal matters for the years ended December 31, 2022 and December 31, 2021, respectively. In addition, during 2021, the Company received funds from certain director and officer insurance policies for previously-incurred legal expenses under the Company’s indemnification agreements. These funds were recognized as a reduction to investigation, restatement and related expense on the consolidated statement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Welker v. MiMedx, et. al.</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4, 2022, Troy Welker and Min Turner, former option holders of the Company, brought a lawsuit in Fulton County State Court against the Company, former directors Terry Dewberry and Charles Evans, and former officers Parker H. “Pete” Petit, William C. Taylor, and Michael Senken alleging violations of the Georgia Racketeer Influenced and Corrupt Organizations (“</w:t>
      </w:r>
      <w:r>
        <w:rPr>
          <w:rFonts w:ascii="Times New Roman" w:cs="Times New Roman" w:eastAsia="Times New Roman" w:hAnsi="Times New Roman"/>
          <w:sz w:val="18"/>
          <w:szCs w:val="18"/>
          <w:b w:val="1"/>
          <w:bCs w:val="1"/>
          <w:i w:val="1"/>
          <w:iCs w:val="1"/>
          <w:color w:val="auto"/>
        </w:rPr>
        <w:t>RICO</w:t>
      </w:r>
      <w:r>
        <w:rPr>
          <w:rFonts w:ascii="Times New Roman" w:cs="Times New Roman" w:eastAsia="Times New Roman" w:hAnsi="Times New Roman"/>
          <w:sz w:val="18"/>
          <w:szCs w:val="18"/>
          <w:color w:val="auto"/>
        </w:rPr>
        <w:t>”) Act against all defendants, and conspiracy to violate the Georgia RICO Act and breach of fiduciary duty against the individual defendants. On motion by the Company, the case has been moved to the Fulton County Business Court. The Company and the individual defendants filed answers and motions to dismiss, which were denied on the RICO claims, but granted with respect to the breach of fiduciary duty claims against the individual defendants. The Company is defending against the allegations and is obligated to indemnify certain of its current and former officers and directors who are party to this proceeding.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Employee Litigation and Related Matters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12, 2021, the Company filed suit in the Circuit Court of the Eleventh Judicial District in and for Miami-Dade County, Florida (MiMedx Group, Inc. v. Petit, et. al.) against its former CEO, Parker H. “Pete” Petit, and its former COO, William C. Taylor, seeking a determination of its rights and obligations under indemnification agreements with Petit and Taylor and seeking reimbursement of amounts previously advanced under the indemnification agreements following a federal jury’s guilty verdict against Petit for securities fraud and Taylor for conspiracy to commit securities fraud. On April 22, 2021, Petit and Taylor filed an answer and asserted counterclaims against the Company alleging breach of their indemnification agreements, breach of the covenant of good faith and fair dealing with respect to their indemnification agreements, and seeking a declaration that the Company remains obligated to indemnify and advance fees in connection with certain cases. Petit and Taylor simultaneously also filed a motion seeking to compel the Company to advance and reinstate its payments of Petit and Taylor’s legal expenses. The Company opposed Petit and Taylor’s motion and a hearing was set for June 23, 2021. At the joint request of the parties, the hearing was cancelled to allow the parties to attend a mediation to attempt a resolution of this matter; such mediation was held on August 11, 2021.</w:t>
      </w:r>
    </w:p>
    <w:p>
      <w:pPr>
        <w:spacing w:after="0" w:line="127" w:lineRule="exact"/>
        <w:rPr>
          <w:sz w:val="20"/>
          <w:szCs w:val="20"/>
          <w:color w:val="auto"/>
        </w:rPr>
      </w:pPr>
    </w:p>
    <w:p>
      <w:pPr>
        <w:ind w:right="260"/>
        <w:spacing w:after="0" w:line="454" w:lineRule="auto"/>
        <w:rPr>
          <w:sz w:val="20"/>
          <w:szCs w:val="20"/>
          <w:color w:val="auto"/>
        </w:rPr>
      </w:pPr>
      <w:r>
        <w:rPr>
          <w:rFonts w:ascii="Times New Roman" w:cs="Times New Roman" w:eastAsia="Times New Roman" w:hAnsi="Times New Roman"/>
          <w:sz w:val="18"/>
          <w:szCs w:val="18"/>
          <w:color w:val="auto"/>
        </w:rPr>
        <w:t xml:space="preserve">Following the mediation, the Company and Mr. Taylor reached an agreement to settle the matter between them. Negotiations with Mr. Petit are ongoing. </w:t>
      </w:r>
      <w:r>
        <w:rPr>
          <w:rFonts w:ascii="Times New Roman" w:cs="Times New Roman" w:eastAsia="Times New Roman" w:hAnsi="Times New Roman"/>
          <w:sz w:val="18"/>
          <w:szCs w:val="18"/>
          <w:i w:val="1"/>
          <w:i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the Company is a party to a variety of other legal matters that arise in the ordinary course of the Company’s business, none of which are deemed to be individually material at this time. Due to the inherent uncertainty of litigation, there can be no assurance that the resolution of any particular claim or proceeding would not have a material adverse effect on the Company’s business, results of operations, financial position or liquidity.</w:t>
      </w:r>
    </w:p>
    <w:p>
      <w:pPr>
        <w:spacing w:after="0" w:line="10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401(k) Plan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a 401(k) plan (the “</w:t>
      </w: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 covering all employees who have completed one month of service. Under the 401(k) Plan, participants could defer up to 90% of their eligible wages to a maximum of $22,500 per year (annual limit for 2023). Employees age 50 or over in 2022 could make additional pre-tax contributions of up to $7,500. In 2023, 2022 and 2021, the Company matched 50% of employee contributions up to 8% of the employee’s eligible compensation. The matching contribution for the years ended December 31, 2023, 2022, and 2021 was $2.7 million, $3.3 million, and $2.7 million, respectively.</w:t>
      </w:r>
    </w:p>
    <w:p>
      <w:pPr>
        <w:spacing w:after="0" w:line="1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Government Assistance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Retention Credit</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Coronavirus Aid, Relief, and Economic Security Act (“</w:t>
      </w: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color w:val="auto"/>
        </w:rPr>
        <w:t>”) provided an employee retention credit (“</w:t>
      </w:r>
      <w:r>
        <w:rPr>
          <w:rFonts w:ascii="Times New Roman" w:cs="Times New Roman" w:eastAsia="Times New Roman" w:hAnsi="Times New Roman"/>
          <w:sz w:val="18"/>
          <w:szCs w:val="18"/>
          <w:b w:val="1"/>
          <w:bCs w:val="1"/>
          <w:i w:val="1"/>
          <w:iCs w:val="1"/>
          <w:color w:val="auto"/>
        </w:rPr>
        <w:t>ERC</w:t>
      </w:r>
      <w:r>
        <w:rPr>
          <w:rFonts w:ascii="Times New Roman" w:cs="Times New Roman" w:eastAsia="Times New Roman" w:hAnsi="Times New Roman"/>
          <w:sz w:val="18"/>
          <w:szCs w:val="18"/>
          <w:color w:val="auto"/>
        </w:rPr>
        <w:t>”), which was a refundable tax credit against certain payroll taxes. Upon determination that the Company overcame the barriers required to receive the credit, the Company qualified and filed to claim the ERC. The Company reflected the ERC as a reduction to the respective captions on the consolidated statements of operations associated with the employees to which the payroll tax benefit related. For the year ended December 31, 2021, the Company recorded $1.6 million as a reduction to selling, general and administrative expense. Of this amount, $1.0 million and $1.4 million were reflected as part of other current assets in the consolidated balance sheets as of December 31, 2023 and 2022, respectively. During year ended December 31, 2023, the Company received $0.4 million relating to the ERC.</w:t>
      </w:r>
    </w:p>
    <w:p>
      <w:pPr>
        <w:spacing w:after="0" w:line="142"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$95 Million Credit Agreement with Citizens and Bank of America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19, 2024, the Company entered into a Credit Agreement (the “</w:t>
      </w:r>
      <w:r>
        <w:rPr>
          <w:rFonts w:ascii="Times New Roman" w:cs="Times New Roman" w:eastAsia="Times New Roman" w:hAnsi="Times New Roman"/>
          <w:sz w:val="18"/>
          <w:szCs w:val="18"/>
          <w:b w:val="1"/>
          <w:bCs w:val="1"/>
          <w:i w:val="1"/>
          <w:iCs w:val="1"/>
          <w:color w:val="auto"/>
        </w:rPr>
        <w:t>Citizens Credit Agreement</w:t>
      </w:r>
      <w:r>
        <w:rPr>
          <w:rFonts w:ascii="Times New Roman" w:cs="Times New Roman" w:eastAsia="Times New Roman" w:hAnsi="Times New Roman"/>
          <w:sz w:val="18"/>
          <w:szCs w:val="18"/>
          <w:color w:val="auto"/>
        </w:rPr>
        <w:t>”) with certain lenders party thereto, and Citizens Bank, N.A., as administrative agent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The Citizens Credit Agreement provides for senior secured credit facilities in an aggregate principal amount of up to $95.0 million consisting of: (i) a $75.0 million senior secured revolving credit facility (the “</w:t>
      </w:r>
      <w:r>
        <w:rPr>
          <w:rFonts w:ascii="Times New Roman" w:cs="Times New Roman" w:eastAsia="Times New Roman" w:hAnsi="Times New Roman"/>
          <w:sz w:val="18"/>
          <w:szCs w:val="18"/>
          <w:b w:val="1"/>
          <w:bCs w:val="1"/>
          <w:i w:val="1"/>
          <w:iCs w:val="1"/>
          <w:color w:val="auto"/>
        </w:rPr>
        <w:t>Revolving Credit Facility</w:t>
      </w:r>
      <w:r>
        <w:rPr>
          <w:rFonts w:ascii="Times New Roman" w:cs="Times New Roman" w:eastAsia="Times New Roman" w:hAnsi="Times New Roman"/>
          <w:sz w:val="18"/>
          <w:szCs w:val="18"/>
          <w:color w:val="auto"/>
        </w:rPr>
        <w:t>”) with a $10.0 million letter of credit sublimit and a $10.0 million swingline loan sublimit, and (ii) a $20.0 million senior secured term loan facility (the “</w:t>
      </w:r>
      <w:r>
        <w:rPr>
          <w:rFonts w:ascii="Times New Roman" w:cs="Times New Roman" w:eastAsia="Times New Roman" w:hAnsi="Times New Roman"/>
          <w:sz w:val="18"/>
          <w:szCs w:val="18"/>
          <w:b w:val="1"/>
          <w:bCs w:val="1"/>
          <w:i w:val="1"/>
          <w:iCs w:val="1"/>
          <w:color w:val="auto"/>
        </w:rPr>
        <w:t>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and, together with the Revolving Credit Facility, the “</w:t>
      </w:r>
      <w:r>
        <w:rPr>
          <w:rFonts w:ascii="Times New Roman" w:cs="Times New Roman" w:eastAsia="Times New Roman" w:hAnsi="Times New Roman"/>
          <w:sz w:val="18"/>
          <w:szCs w:val="18"/>
          <w:b w:val="1"/>
          <w:bCs w:val="1"/>
          <w:i w:val="1"/>
          <w:iCs w:val="1"/>
          <w:color w:val="auto"/>
        </w:rPr>
        <w:t>Credit Facilities</w:t>
      </w:r>
      <w:r>
        <w:rPr>
          <w:rFonts w:ascii="Times New Roman" w:cs="Times New Roman" w:eastAsia="Times New Roman" w:hAnsi="Times New Roman"/>
          <w:sz w:val="18"/>
          <w:szCs w:val="18"/>
          <w:color w:val="auto"/>
        </w:rPr>
        <w:t>”). All obligations are required to be paid in full on January 19, 2029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The Company has the option to obtain one or more incremental term loan facilities and/or increase the commitments under the Revolving Credit Facility in an aggregate principal amount equal to the greater of (i) $50.0 million and (ii) 1.00 times the Company’s Consolidated EBITDA as defined therein, each subject to the existing or any new lenders’ election to extend additional term loans or revolving commitments.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Company’s option, borrowings under the Citizens Credit Agreement (other than any swingline loan) will bear interest at a rate per annum equal to (i) the Alternate Base Rate, as defined therein, or (ii) a Term SOFR as defined therein, in each case plus an applicable margin ranging from 1.25% and 2.50% with respect to Alternate Base Rate borrowings and 2.25% and 3.50% for Term SOFR borrowings. Swingline loans will bear interest at a rate per annum equal to one-month Term SOFR plus the applicable margin. The applicable margin will be determined based on the Company’s consolidated total net leverage ratio.</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required to pay a quarterly commitment fee on any unused portion of the Revolving Credit Facility, letter of credit fees, and other customary fees to the Agent and the Lenders. The Term Loan Facility will amortize on a quarterly basis at 1.25% (for year one and two), 1.875% (for year three and four), and 2.5% (for year five) based on the aggregate principal amount outstanding under the Term Loan Facility, with the remainder due on the Maturity Date. The Company must make mandatory prepayments in connection with certain asset dispositions and casualty events, subject in each case to customary reinvestment rights. The Company may prepay borrowings under the Credit Facilities at any time, without premium or penalty, and may, at its option, reduce the aggregate unused commitments under the Revolving Credit Facility in whole or in part, in each case subject to the terms of the Credit Agreement. The Company must also comply with certain financial covenants, including a maximum total net leverage ratio and a minimum consolidated fixed charge coverage ratio, as well as other customary restrictive covenants.</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on January 19, 2024, the Company borrowed $30.0 million under the Revolving Credit Facility and $20.0 million under the Term Loan Facility. Proceeds from the initial drawings under the Credit Facilities together with cash on hand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18"/>
          <w:szCs w:val="18"/>
          <w:color w:val="auto"/>
        </w:rPr>
        <w:t>used to repay in full the $50.0 million principal amount and other outstanding obligations under the Hayfin Loan Agreement and to pay related fees, premiums, costs and expenses (collectively with the entry into the Citizens Credit Agreement and the initial borrowings thereunder, the “</w:t>
      </w:r>
      <w:r>
        <w:rPr>
          <w:rFonts w:ascii="Times New Roman" w:cs="Times New Roman" w:eastAsia="Times New Roman" w:hAnsi="Times New Roman"/>
          <w:sz w:val="18"/>
          <w:szCs w:val="18"/>
          <w:b w:val="1"/>
          <w:bCs w:val="1"/>
          <w:i w:val="1"/>
          <w:iCs w:val="1"/>
          <w:color w:val="auto"/>
        </w:rPr>
        <w:t>Debt 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27, 2024, the Company repaid the initial $30.0 million drawing under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MiMedx Group,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MiMedx Group, Inc. and subsidiaries (the “Company”)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2023, based on criteria established in Internal Control — Integrated Framework (2013) issued by COSO.</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28, 2024, expressed an unqualified opinion on those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1" w:lineRule="auto"/>
        <w:rPr>
          <w:sz w:val="20"/>
          <w:szCs w:val="20"/>
          <w:color w:val="auto"/>
        </w:rPr>
      </w:pPr>
      <w:r>
        <w:rPr>
          <w:rFonts w:ascii="Times New Roman" w:cs="Times New Roman" w:eastAsia="Times New Roman" w:hAnsi="Times New Roman"/>
          <w:sz w:val="18"/>
          <w:szCs w:val="18"/>
          <w:color w:val="auto"/>
        </w:rPr>
        <w:t>Atlanta, Georgia</w:t>
      </w: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maintains a set of disclosure controls and procedures (as defined in Rules 13a-15(e) and 15d-15(e)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management, including our CEO and CFO, to allow for timely decisions regarding required disclosure.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our disclosure controls and procedures was performed under the supervision and with the participation of our management, including our CEO and CFO. As a result of this evaluation, our CEO and CFO concluded that our disclosure controls and procedures were effective as of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including our CEO and CFO, is responsible for establishing and maintaining adequate internal control over financial reporting as defined in Rules 13a-15(f) and 15d-15(f) under the Exchange Act and based upon the criteria established in Internal Control-Integrated Framework (2013) issued by the Committee of Sponsoring Organizations of the Treadway Commission (the "</w:t>
      </w:r>
      <w:r>
        <w:rPr>
          <w:rFonts w:ascii="Times New Roman" w:cs="Times New Roman" w:eastAsia="Times New Roman" w:hAnsi="Times New Roman"/>
          <w:sz w:val="18"/>
          <w:szCs w:val="18"/>
          <w:b w:val="1"/>
          <w:bCs w:val="1"/>
          <w:i w:val="1"/>
          <w:iCs w:val="1"/>
          <w:color w:val="auto"/>
        </w:rPr>
        <w:t>COSO framework</w:t>
      </w:r>
      <w:r>
        <w:rPr>
          <w:rFonts w:ascii="Times New Roman" w:cs="Times New Roman" w:eastAsia="Times New Roman" w:hAnsi="Times New Roman"/>
          <w:sz w:val="18"/>
          <w:szCs w:val="18"/>
          <w:color w:val="auto"/>
        </w:rPr>
        <w:t>"). The Company's internal control over financial reporting is a process designed to provide reasonable assurance regarding the reliability of our financial reporting and the preparation of our financial statements for external purposes in accordance with United States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demonstrate.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CEO and CFO, we have conducted an evaluation of the effectiveness of our internal control over financial reporting based on the COSO framework. Based on evaluation under these criteria, management determined that we did maintain effective internal control over financial reporting as of December 31, 2023.</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has audited the effectiveness of our internal control over financial reporting as of December 31, 2023, as stated in their report which appears on page 79 of this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during the quarter ended December 31, 2023 in our internal control over financial reporting (as such term is defined in the Exchange Act) that have materially affected, or are reasonably likely to materially affect, our internal control over financial reporting.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90" w:lineRule="exact"/>
        <w:rPr>
          <w:sz w:val="20"/>
          <w:szCs w:val="20"/>
          <w:color w:val="auto"/>
        </w:rPr>
      </w:pPr>
    </w:p>
    <w:p>
      <w:pPr>
        <w:ind w:right="5200"/>
        <w:spacing w:after="0" w:line="453" w:lineRule="auto"/>
        <w:rPr>
          <w:sz w:val="20"/>
          <w:szCs w:val="20"/>
          <w:color w:val="auto"/>
        </w:rPr>
      </w:pPr>
      <w:r>
        <w:rPr>
          <w:rFonts w:ascii="Times New Roman" w:cs="Times New Roman" w:eastAsia="Times New Roman" w:hAnsi="Times New Roman"/>
          <w:sz w:val="18"/>
          <w:szCs w:val="18"/>
          <w:b w:val="1"/>
          <w:bCs w:val="1"/>
          <w:color w:val="auto"/>
        </w:rPr>
        <w:t xml:space="preserve">Item 9C. Disclosures Regarding Foreign Jurisdictions that Prevent Inspections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relating to our 2024 Annual Meeting of Shareholders under the captions “Executive Officers,” “Election of Directors” and similar captions which are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relating to our 2024 Annual Meeting of Shareholders under the caption “Executive Compensation Discussion and Analysis,” “Summary Compensation Table (2023, 2022 and 2021,” “Grants of Plan Based Awards for 2023,” “Outstanding Equity Awards on December 31, 2023,” “2023 Options Exercised and Stock Vested Table,” “2023 Potential Payments Upon Termination or Change in Control,” “2023 Director Compensation,” “Compensation Committee Report” and “Compensation Committee Interlocks and Insider Participation” or similar captions which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relating to our 2024 Annual Meeting of Shareholders under the captions “Security Ownership of Certain Beneficial Owners and Management,” and “Equity Compensation Plan Information,” or similar captions which are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relating to our 2024 Annual Meeting of Shareholders under the captions “Policies and Procedures for Approval of Related Party Transactions,” “Related Party Transactions,” and "Director Independence" or similar captions which are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relating to our 2024 Annual Meeting of Shareholders under the captions “Audit Matters,” or a similar caption which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5" w:name="page86"/>
    <w:bookmarkEnd w:id="85"/>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8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184"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98" w:lineRule="exact"/>
        <w:rPr>
          <w:rFonts w:ascii="Times New Roman" w:cs="Times New Roman" w:eastAsia="Times New Roman" w:hAnsi="Times New Roman"/>
          <w:sz w:val="18"/>
          <w:szCs w:val="18"/>
          <w:color w:val="auto"/>
        </w:rPr>
      </w:pPr>
    </w:p>
    <w:p>
      <w:pPr>
        <w:ind w:left="1300" w:hanging="540"/>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18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 Schedule is filed as part of this Report:</w:t>
      </w:r>
    </w:p>
    <w:p>
      <w:pPr>
        <w:spacing w:after="0" w:line="18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Valuation and Qualifying Accounts for the years ended December 31, 2023, 2022 and 2021</w:t>
      </w:r>
    </w:p>
    <w:p>
      <w:pPr>
        <w:spacing w:after="0" w:line="198" w:lineRule="exact"/>
        <w:rPr>
          <w:rFonts w:ascii="Times New Roman" w:cs="Times New Roman" w:eastAsia="Times New Roman" w:hAnsi="Times New Roman"/>
          <w:sz w:val="18"/>
          <w:szCs w:val="18"/>
          <w:color w:val="auto"/>
        </w:rPr>
      </w:pPr>
    </w:p>
    <w:p>
      <w:pPr>
        <w:ind w:left="1300" w:hanging="589"/>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15(b) below. Each management contract or compensation plan has been identified with an asterisk.</w:t>
      </w:r>
    </w:p>
    <w:p>
      <w:pPr>
        <w:spacing w:after="0" w:line="185"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ind w:left="1220" w:hanging="546"/>
        <w:spacing w:after="0"/>
        <w:tabs>
          <w:tab w:leader="none" w:pos="1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63"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1220" w:right="1099" w:hanging="546"/>
        <w:spacing w:after="0" w:line="237" w:lineRule="auto"/>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601(b)(10) of Regulation S-K, but a copy will be furnished supplementally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620" w:type="dxa"/>
            <w:vAlign w:val="bottom"/>
            <w:gridSpan w:val="2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5"/>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20" w:type="dxa"/>
            <w:vAlign w:val="bottom"/>
            <w:gridSpan w:val="2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60" w:type="dxa"/>
            <w:vAlign w:val="bottom"/>
            <w:tcBorders>
              <w:top w:val="single" w:sz="8" w:color="auto"/>
            </w:tcBorders>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BFE4FF"/>
            </w:tcBorders>
            <w:shd w:val="clear" w:color="auto" w:fill="BFE4FF"/>
          </w:tcPr>
          <w:p>
            <w:pPr>
              <w:spacing w:after="0"/>
              <w:rPr>
                <w:sz w:val="16"/>
                <w:szCs w:val="16"/>
                <w:color w:val="auto"/>
              </w:rPr>
            </w:pPr>
          </w:p>
        </w:tc>
        <w:tc>
          <w:tcPr>
            <w:tcW w:w="8620" w:type="dxa"/>
            <w:vAlign w:val="bottom"/>
            <w:tcBorders>
              <w:top w:val="single" w:sz="8" w:color="auto"/>
            </w:tcBorders>
            <w:gridSpan w:val="25"/>
            <w:shd w:val="clear" w:color="auto" w:fill="BFE4FF"/>
          </w:tcPr>
          <w:p>
            <w:pPr>
              <w:ind w:left="20"/>
              <w:spacing w:after="0" w:line="189" w:lineRule="exact"/>
              <w:rPr>
                <w:rFonts w:ascii="Times New Roman" w:cs="Times New Roman" w:eastAsia="Times New Roman" w:hAnsi="Times New Roman"/>
                <w:sz w:val="18"/>
                <w:szCs w:val="18"/>
                <w:color w:val="auto"/>
              </w:rPr>
            </w:pPr>
            <w:hyperlink r:id="rId110">
              <w:r>
                <w:rPr>
                  <w:rFonts w:ascii="Times New Roman" w:cs="Times New Roman" w:eastAsia="Times New Roman" w:hAnsi="Times New Roman"/>
                  <w:sz w:val="18"/>
                  <w:szCs w:val="18"/>
                  <w:color w:val="auto"/>
                </w:rPr>
                <w:t>Restated Articles of Incorporation, adopted March 4, 2021, effective March 5, 2021 (</w:t>
              </w:r>
              <w:r>
                <w:rPr>
                  <w:rFonts w:ascii="Times New Roman" w:cs="Times New Roman" w:eastAsia="Times New Roman" w:hAnsi="Times New Roman"/>
                  <w:sz w:val="18"/>
                  <w:szCs w:val="18"/>
                  <w:color w:val="0000FF"/>
                </w:rPr>
                <w:t>incorporated by reference to</w:t>
              </w:r>
            </w:hyperlink>
          </w:p>
        </w:tc>
        <w:tc>
          <w:tcPr>
            <w:tcW w:w="0" w:type="dxa"/>
            <w:vAlign w:val="bottom"/>
          </w:tcPr>
          <w:p>
            <w:pPr>
              <w:spacing w:after="0"/>
              <w:rPr>
                <w:sz w:val="1"/>
                <w:szCs w:val="1"/>
                <w:color w:val="auto"/>
              </w:rPr>
            </w:pPr>
          </w:p>
        </w:tc>
      </w:tr>
      <w:tr>
        <w:trPr>
          <w:trHeight w:val="20"/>
        </w:trPr>
        <w:tc>
          <w:tcPr>
            <w:tcW w:w="960" w:type="dxa"/>
            <w:vAlign w:val="bottom"/>
            <w:shd w:val="clear" w:color="auto" w:fill="BFE4FF"/>
          </w:tcPr>
          <w:p>
            <w:pPr>
              <w:spacing w:after="0" w:line="20" w:lineRule="exact"/>
              <w:rPr>
                <w:sz w:val="1"/>
                <w:szCs w:val="1"/>
                <w:color w:val="auto"/>
              </w:rPr>
            </w:pPr>
          </w:p>
        </w:tc>
        <w:tc>
          <w:tcPr>
            <w:tcW w:w="220" w:type="dxa"/>
            <w:vAlign w:val="bottom"/>
            <w:shd w:val="clear" w:color="auto" w:fill="BFE4FF"/>
          </w:tcPr>
          <w:p>
            <w:pPr>
              <w:spacing w:after="0" w:line="20" w:lineRule="exact"/>
              <w:rPr>
                <w:sz w:val="1"/>
                <w:szCs w:val="1"/>
                <w:color w:val="auto"/>
              </w:rPr>
            </w:pPr>
          </w:p>
        </w:tc>
        <w:tc>
          <w:tcPr>
            <w:tcW w:w="2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400" w:type="dxa"/>
            <w:vAlign w:val="bottom"/>
            <w:shd w:val="clear" w:color="auto" w:fill="BFE4FF"/>
          </w:tcPr>
          <w:p>
            <w:pPr>
              <w:spacing w:after="0" w:line="20" w:lineRule="exact"/>
              <w:rPr>
                <w:sz w:val="1"/>
                <w:szCs w:val="1"/>
                <w:color w:val="auto"/>
              </w:rPr>
            </w:pPr>
          </w:p>
        </w:tc>
        <w:tc>
          <w:tcPr>
            <w:tcW w:w="600" w:type="dxa"/>
            <w:vAlign w:val="bottom"/>
            <w:shd w:val="clear" w:color="auto" w:fill="BFE4FF"/>
          </w:tcPr>
          <w:p>
            <w:pPr>
              <w:spacing w:after="0" w:line="20" w:lineRule="exact"/>
              <w:rPr>
                <w:sz w:val="1"/>
                <w:szCs w:val="1"/>
                <w:color w:val="auto"/>
              </w:rPr>
            </w:pPr>
          </w:p>
        </w:tc>
        <w:tc>
          <w:tcPr>
            <w:tcW w:w="24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1800" w:type="dxa"/>
            <w:vAlign w:val="bottom"/>
            <w:shd w:val="clear" w:color="auto" w:fill="BFE4FF"/>
          </w:tcPr>
          <w:p>
            <w:pPr>
              <w:spacing w:after="0" w:line="20" w:lineRule="exact"/>
              <w:rPr>
                <w:sz w:val="1"/>
                <w:szCs w:val="1"/>
                <w:color w:val="auto"/>
              </w:rPr>
            </w:pPr>
          </w:p>
        </w:tc>
        <w:tc>
          <w:tcPr>
            <w:tcW w:w="700" w:type="dxa"/>
            <w:vAlign w:val="bottom"/>
            <w:shd w:val="clear" w:color="auto" w:fill="BFE4FF"/>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580" w:type="dxa"/>
            <w:vAlign w:val="bottom"/>
            <w:shd w:val="clear" w:color="auto" w:fill="BFE4FF"/>
          </w:tcPr>
          <w:p>
            <w:pPr>
              <w:spacing w:after="0" w:line="20" w:lineRule="exact"/>
              <w:rPr>
                <w:sz w:val="1"/>
                <w:szCs w:val="1"/>
                <w:color w:val="auto"/>
              </w:rPr>
            </w:pPr>
          </w:p>
        </w:tc>
        <w:tc>
          <w:tcPr>
            <w:tcW w:w="40" w:type="dxa"/>
            <w:vAlign w:val="bottom"/>
            <w:shd w:val="clear" w:color="auto" w:fill="BFE4FF"/>
          </w:tcPr>
          <w:p>
            <w:pPr>
              <w:spacing w:after="0" w:line="20" w:lineRule="exact"/>
              <w:rPr>
                <w:sz w:val="1"/>
                <w:szCs w:val="1"/>
                <w:color w:val="auto"/>
              </w:rPr>
            </w:pPr>
          </w:p>
        </w:tc>
        <w:tc>
          <w:tcPr>
            <w:tcW w:w="1340" w:type="dxa"/>
            <w:vAlign w:val="bottom"/>
            <w:shd w:val="clear" w:color="auto" w:fill="BFE4FF"/>
          </w:tcPr>
          <w:p>
            <w:pPr>
              <w:spacing w:after="0" w:line="20" w:lineRule="exact"/>
              <w:rPr>
                <w:sz w:val="1"/>
                <w:szCs w:val="1"/>
                <w:color w:val="auto"/>
              </w:rPr>
            </w:pPr>
          </w:p>
        </w:tc>
        <w:tc>
          <w:tcPr>
            <w:tcW w:w="120" w:type="dxa"/>
            <w:vAlign w:val="bottom"/>
            <w:shd w:val="clear" w:color="auto" w:fill="BFE4FF"/>
          </w:tcPr>
          <w:p>
            <w:pPr>
              <w:spacing w:after="0" w:line="20" w:lineRule="exact"/>
              <w:rPr>
                <w:sz w:val="1"/>
                <w:szCs w:val="1"/>
                <w:color w:val="auto"/>
              </w:rPr>
            </w:pPr>
          </w:p>
        </w:tc>
        <w:tc>
          <w:tcPr>
            <w:tcW w:w="120" w:type="dxa"/>
            <w:vAlign w:val="bottom"/>
            <w:tcBorders>
              <w:right w:val="single" w:sz="8" w:color="0000FF"/>
            </w:tcBorders>
            <w:shd w:val="clear" w:color="auto" w:fill="BFE4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tcBorders>
              <w:right w:val="single" w:sz="8" w:color="BFE4FF"/>
            </w:tcBorders>
            <w:shd w:val="clear" w:color="auto" w:fill="0000FF"/>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4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180" w:type="dxa"/>
            <w:vAlign w:val="bottom"/>
            <w:shd w:val="clear" w:color="auto" w:fill="BFE4FF"/>
          </w:tcPr>
          <w:p>
            <w:pPr>
              <w:spacing w:after="0" w:line="20" w:lineRule="exact"/>
              <w:rPr>
                <w:sz w:val="1"/>
                <w:szCs w:val="1"/>
                <w:color w:val="auto"/>
              </w:rPr>
            </w:pPr>
          </w:p>
        </w:tc>
        <w:tc>
          <w:tcPr>
            <w:tcW w:w="20" w:type="dxa"/>
            <w:vAlign w:val="bottom"/>
            <w:shd w:val="clear" w:color="auto" w:fill="BFE4FF"/>
          </w:tcPr>
          <w:p>
            <w:pPr>
              <w:spacing w:after="0" w:line="20" w:lineRule="exact"/>
              <w:rPr>
                <w:sz w:val="1"/>
                <w:szCs w:val="1"/>
                <w:color w:val="auto"/>
              </w:rPr>
            </w:pPr>
          </w:p>
        </w:tc>
        <w:tc>
          <w:tcPr>
            <w:tcW w:w="20" w:type="dxa"/>
            <w:vAlign w:val="bottom"/>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shd w:val="clear" w:color="auto" w:fill="BFE4FF"/>
          </w:tcPr>
          <w:p>
            <w:pPr>
              <w:spacing w:after="0"/>
              <w:rPr>
                <w:sz w:val="14"/>
                <w:szCs w:val="14"/>
                <w:color w:val="auto"/>
              </w:rPr>
            </w:pPr>
          </w:p>
        </w:tc>
        <w:tc>
          <w:tcPr>
            <w:tcW w:w="220" w:type="dxa"/>
            <w:vAlign w:val="bottom"/>
            <w:shd w:val="clear" w:color="auto" w:fill="BFE4FF"/>
          </w:tcPr>
          <w:p>
            <w:pPr>
              <w:spacing w:after="0"/>
              <w:rPr>
                <w:sz w:val="14"/>
                <w:szCs w:val="14"/>
                <w:color w:val="auto"/>
              </w:rPr>
            </w:pPr>
          </w:p>
        </w:tc>
        <w:tc>
          <w:tcPr>
            <w:tcW w:w="20" w:type="dxa"/>
            <w:vAlign w:val="bottom"/>
            <w:shd w:val="clear" w:color="auto" w:fill="BFE4FF"/>
          </w:tcPr>
          <w:p>
            <w:pPr>
              <w:spacing w:after="0"/>
              <w:rPr>
                <w:sz w:val="14"/>
                <w:szCs w:val="14"/>
                <w:color w:val="auto"/>
              </w:rPr>
            </w:pPr>
          </w:p>
        </w:tc>
        <w:tc>
          <w:tcPr>
            <w:tcW w:w="8200" w:type="dxa"/>
            <w:vAlign w:val="bottom"/>
            <w:tcBorders>
              <w:right w:val="single" w:sz="8" w:color="BFE4FF"/>
            </w:tcBorders>
            <w:gridSpan w:val="18"/>
            <w:shd w:val="clear" w:color="auto" w:fill="BFE4FF"/>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Exhibit 3.1 to the Registrant’s Annual Report on Form 10-K filed on March 8, 2021</w:t>
              </w:r>
              <w:r>
                <w:rPr>
                  <w:rFonts w:ascii="Times New Roman" w:cs="Times New Roman" w:eastAsia="Times New Roman" w:hAnsi="Times New Roman"/>
                  <w:sz w:val="18"/>
                  <w:szCs w:val="18"/>
                  <w:color w:val="000000"/>
                </w:rPr>
                <w:t>).</w:t>
              </w:r>
            </w:hyperlink>
          </w:p>
        </w:tc>
        <w:tc>
          <w:tcPr>
            <w:tcW w:w="80" w:type="dxa"/>
            <w:vAlign w:val="bottom"/>
            <w:shd w:val="clear" w:color="auto" w:fill="BFE4FF"/>
          </w:tcPr>
          <w:p>
            <w:pPr>
              <w:spacing w:after="0"/>
              <w:rPr>
                <w:sz w:val="14"/>
                <w:szCs w:val="14"/>
                <w:color w:val="auto"/>
              </w:rPr>
            </w:pPr>
          </w:p>
        </w:tc>
        <w:tc>
          <w:tcPr>
            <w:tcW w:w="40" w:type="dxa"/>
            <w:vAlign w:val="bottom"/>
            <w:shd w:val="clear" w:color="auto" w:fill="BFE4FF"/>
          </w:tcPr>
          <w:p>
            <w:pPr>
              <w:spacing w:after="0"/>
              <w:rPr>
                <w:sz w:val="14"/>
                <w:szCs w:val="14"/>
                <w:color w:val="auto"/>
              </w:rPr>
            </w:pPr>
          </w:p>
        </w:tc>
        <w:tc>
          <w:tcPr>
            <w:tcW w:w="60" w:type="dxa"/>
            <w:vAlign w:val="bottom"/>
            <w:shd w:val="clear" w:color="auto" w:fill="BFE4FF"/>
          </w:tcPr>
          <w:p>
            <w:pPr>
              <w:spacing w:after="0"/>
              <w:rPr>
                <w:sz w:val="14"/>
                <w:szCs w:val="14"/>
                <w:color w:val="auto"/>
              </w:rPr>
            </w:pPr>
          </w:p>
        </w:tc>
        <w:tc>
          <w:tcPr>
            <w:tcW w:w="180" w:type="dxa"/>
            <w:vAlign w:val="bottom"/>
            <w:shd w:val="clear" w:color="auto" w:fill="BFE4FF"/>
          </w:tcPr>
          <w:p>
            <w:pPr>
              <w:spacing w:after="0"/>
              <w:rPr>
                <w:sz w:val="14"/>
                <w:szCs w:val="14"/>
                <w:color w:val="auto"/>
              </w:rPr>
            </w:pPr>
          </w:p>
        </w:tc>
        <w:tc>
          <w:tcPr>
            <w:tcW w:w="20" w:type="dxa"/>
            <w:vAlign w:val="bottom"/>
            <w:shd w:val="clear" w:color="auto" w:fill="BFE4FF"/>
          </w:tcPr>
          <w:p>
            <w:pPr>
              <w:spacing w:after="0"/>
              <w:rPr>
                <w:sz w:val="14"/>
                <w:szCs w:val="14"/>
                <w:color w:val="auto"/>
              </w:rPr>
            </w:pPr>
          </w:p>
        </w:tc>
        <w:tc>
          <w:tcPr>
            <w:tcW w:w="2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60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800" w:type="dxa"/>
            <w:vAlign w:val="bottom"/>
            <w:tcBorders>
              <w:top w:val="single" w:sz="8" w:color="0000FF"/>
            </w:tcBorders>
            <w:shd w:val="clear" w:color="auto" w:fill="BFE4FF"/>
          </w:tcPr>
          <w:p>
            <w:pPr>
              <w:spacing w:after="0" w:line="20" w:lineRule="exact"/>
              <w:rPr>
                <w:sz w:val="1"/>
                <w:szCs w:val="1"/>
                <w:color w:val="auto"/>
              </w:rPr>
            </w:pPr>
          </w:p>
        </w:tc>
        <w:tc>
          <w:tcPr>
            <w:tcW w:w="70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5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1340" w:type="dxa"/>
            <w:vAlign w:val="bottom"/>
            <w:tcBorders>
              <w:top w:val="single" w:sz="8" w:color="0000FF"/>
            </w:tcBorders>
            <w:shd w:val="clear" w:color="auto" w:fill="BFE4FF"/>
          </w:tcPr>
          <w:p>
            <w:pPr>
              <w:spacing w:after="0" w:line="20" w:lineRule="exact"/>
              <w:rPr>
                <w:sz w:val="1"/>
                <w:szCs w:val="1"/>
                <w:color w:val="auto"/>
              </w:rPr>
            </w:pPr>
          </w:p>
        </w:tc>
        <w:tc>
          <w:tcPr>
            <w:tcW w:w="120" w:type="dxa"/>
            <w:vAlign w:val="bottom"/>
            <w:tcBorders>
              <w:top w:val="single" w:sz="8" w:color="0000FF"/>
            </w:tcBorders>
            <w:shd w:val="clear" w:color="auto" w:fill="BFE4FF"/>
          </w:tcPr>
          <w:p>
            <w:pPr>
              <w:spacing w:after="0" w:line="20" w:lineRule="exact"/>
              <w:rPr>
                <w:sz w:val="1"/>
                <w:szCs w:val="1"/>
                <w:color w:val="auto"/>
              </w:rPr>
            </w:pPr>
          </w:p>
        </w:tc>
        <w:tc>
          <w:tcPr>
            <w:tcW w:w="12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tcBorders>
            <w:shd w:val="clear" w:color="auto" w:fill="BFE4FF"/>
          </w:tcPr>
          <w:p>
            <w:pPr>
              <w:spacing w:after="0" w:line="20" w:lineRule="exact"/>
              <w:rPr>
                <w:sz w:val="1"/>
                <w:szCs w:val="1"/>
                <w:color w:val="auto"/>
              </w:rPr>
            </w:pPr>
          </w:p>
        </w:tc>
        <w:tc>
          <w:tcPr>
            <w:tcW w:w="106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0" w:type="dxa"/>
            <w:vAlign w:val="bottom"/>
            <w:gridSpan w:val="24"/>
          </w:tcPr>
          <w:p>
            <w:pPr>
              <w:spacing w:after="0" w:line="189" w:lineRule="exact"/>
              <w:rPr>
                <w:rFonts w:ascii="Times New Roman" w:cs="Times New Roman" w:eastAsia="Times New Roman" w:hAnsi="Times New Roman"/>
                <w:sz w:val="18"/>
                <w:szCs w:val="18"/>
                <w:color w:val="auto"/>
              </w:rPr>
            </w:pPr>
            <w:hyperlink r:id="rId111">
              <w:r>
                <w:rPr>
                  <w:rFonts w:ascii="Times New Roman" w:cs="Times New Roman" w:eastAsia="Times New Roman" w:hAnsi="Times New Roman"/>
                  <w:sz w:val="18"/>
                  <w:szCs w:val="18"/>
                  <w:color w:val="auto"/>
                </w:rPr>
                <w:t>Articles of Amendment to Restated Articles of Incorporation, effective June 3, 2021 (</w:t>
              </w:r>
              <w:r>
                <w:rPr>
                  <w:rFonts w:ascii="Times New Roman" w:cs="Times New Roman" w:eastAsia="Times New Roman" w:hAnsi="Times New Roman"/>
                  <w:sz w:val="18"/>
                  <w:szCs w:val="18"/>
                  <w:color w:val="0000FF"/>
                </w:rPr>
                <w:t>incorporated by reference to</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80" w:type="dxa"/>
            <w:vAlign w:val="bottom"/>
            <w:gridSpan w:val="14"/>
          </w:tcPr>
          <w:p>
            <w:pPr>
              <w:ind w:left="20"/>
              <w:spacing w:after="0" w:line="182"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Exhibit 3.1 to the Registrant’s Current Report on Form 8-K filed on June 10, 2021</w:t>
              </w:r>
              <w:r>
                <w:rPr>
                  <w:rFonts w:ascii="Times New Roman" w:cs="Times New Roman" w:eastAsia="Times New Roman" w:hAnsi="Times New Roman"/>
                  <w:sz w:val="18"/>
                  <w:szCs w:val="18"/>
                  <w:color w:val="000000"/>
                </w:rPr>
                <w:t>).</w:t>
              </w:r>
            </w:hyperlink>
          </w:p>
        </w:tc>
        <w:tc>
          <w:tcPr>
            <w:tcW w:w="1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BFE4FF"/>
          </w:tcPr>
          <w:p>
            <w:pPr>
              <w:spacing w:after="0"/>
              <w:rPr>
                <w:sz w:val="16"/>
                <w:szCs w:val="16"/>
                <w:color w:val="auto"/>
              </w:rPr>
            </w:pPr>
          </w:p>
        </w:tc>
        <w:tc>
          <w:tcPr>
            <w:tcW w:w="8620" w:type="dxa"/>
            <w:vAlign w:val="bottom"/>
            <w:gridSpan w:val="25"/>
            <w:shd w:val="clear" w:color="auto" w:fill="BFE4FF"/>
          </w:tcPr>
          <w:p>
            <w:pPr>
              <w:ind w:left="20"/>
              <w:spacing w:after="0" w:line="189" w:lineRule="exact"/>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Articles of Amendment to Restated Articles of Incorporation, effective June 3, 2021 (</w:t>
              </w:r>
              <w:r>
                <w:rPr>
                  <w:rFonts w:ascii="Times New Roman" w:cs="Times New Roman" w:eastAsia="Times New Roman" w:hAnsi="Times New Roman"/>
                  <w:sz w:val="18"/>
                  <w:szCs w:val="18"/>
                  <w:color w:val="0000FF"/>
                </w:rPr>
                <w:t>incorporated by reference to</w:t>
              </w:r>
            </w:hyperlink>
          </w:p>
        </w:tc>
        <w:tc>
          <w:tcPr>
            <w:tcW w:w="0" w:type="dxa"/>
            <w:vAlign w:val="bottom"/>
          </w:tcPr>
          <w:p>
            <w:pPr>
              <w:spacing w:after="0"/>
              <w:rPr>
                <w:sz w:val="1"/>
                <w:szCs w:val="1"/>
                <w:color w:val="auto"/>
              </w:rPr>
            </w:pPr>
          </w:p>
        </w:tc>
      </w:tr>
      <w:tr>
        <w:trPr>
          <w:trHeight w:val="183"/>
        </w:trPr>
        <w:tc>
          <w:tcPr>
            <w:tcW w:w="960" w:type="dxa"/>
            <w:vAlign w:val="bottom"/>
            <w:tcBorders>
              <w:top w:val="single" w:sz="8" w:color="BFE4FF"/>
            </w:tcBorders>
            <w:shd w:val="clear" w:color="auto" w:fill="BFE4FF"/>
          </w:tcPr>
          <w:p>
            <w:pPr>
              <w:spacing w:after="0"/>
              <w:rPr>
                <w:sz w:val="15"/>
                <w:szCs w:val="15"/>
                <w:color w:val="auto"/>
              </w:rPr>
            </w:pPr>
          </w:p>
        </w:tc>
        <w:tc>
          <w:tcPr>
            <w:tcW w:w="220" w:type="dxa"/>
            <w:vAlign w:val="bottom"/>
            <w:tcBorders>
              <w:top w:val="single" w:sz="8" w:color="BFE4FF"/>
            </w:tcBorders>
            <w:shd w:val="clear" w:color="auto" w:fill="BFE4FF"/>
          </w:tcPr>
          <w:p>
            <w:pPr>
              <w:spacing w:after="0"/>
              <w:rPr>
                <w:sz w:val="15"/>
                <w:szCs w:val="15"/>
                <w:color w:val="auto"/>
              </w:rPr>
            </w:pPr>
          </w:p>
        </w:tc>
        <w:tc>
          <w:tcPr>
            <w:tcW w:w="20" w:type="dxa"/>
            <w:vAlign w:val="bottom"/>
            <w:tcBorders>
              <w:top w:val="single" w:sz="8" w:color="BFE4FF"/>
            </w:tcBorders>
            <w:shd w:val="clear" w:color="auto" w:fill="BFE4FF"/>
          </w:tcPr>
          <w:p>
            <w:pPr>
              <w:spacing w:after="0"/>
              <w:rPr>
                <w:sz w:val="15"/>
                <w:szCs w:val="15"/>
                <w:color w:val="auto"/>
              </w:rPr>
            </w:pPr>
          </w:p>
        </w:tc>
        <w:tc>
          <w:tcPr>
            <w:tcW w:w="6160" w:type="dxa"/>
            <w:vAlign w:val="bottom"/>
            <w:tcBorders>
              <w:top w:val="single" w:sz="8" w:color="BFE4FF"/>
              <w:right w:val="single" w:sz="8" w:color="BFE4FF"/>
            </w:tcBorders>
            <w:gridSpan w:val="13"/>
            <w:shd w:val="clear" w:color="auto" w:fill="BFE4FF"/>
          </w:tcPr>
          <w:p>
            <w:pPr>
              <w:spacing w:after="0" w:line="182"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Exhibit 3.2 to the Registrant’s Current Report on Form 8-K filed on June 10, 2021</w:t>
              </w:r>
              <w:r>
                <w:rPr>
                  <w:rFonts w:ascii="Times New Roman" w:cs="Times New Roman" w:eastAsia="Times New Roman" w:hAnsi="Times New Roman"/>
                  <w:sz w:val="18"/>
                  <w:szCs w:val="18"/>
                  <w:color w:val="000000"/>
                </w:rPr>
                <w:t>).</w:t>
              </w:r>
            </w:hyperlink>
          </w:p>
        </w:tc>
        <w:tc>
          <w:tcPr>
            <w:tcW w:w="100" w:type="dxa"/>
            <w:vAlign w:val="bottom"/>
            <w:tcBorders>
              <w:top w:val="single" w:sz="8" w:color="0000FF"/>
            </w:tcBorders>
            <w:shd w:val="clear" w:color="auto" w:fill="BFE4FF"/>
          </w:tcPr>
          <w:p>
            <w:pPr>
              <w:spacing w:after="0"/>
              <w:rPr>
                <w:sz w:val="15"/>
                <w:szCs w:val="15"/>
                <w:color w:val="auto"/>
              </w:rPr>
            </w:pPr>
          </w:p>
        </w:tc>
        <w:tc>
          <w:tcPr>
            <w:tcW w:w="160" w:type="dxa"/>
            <w:vAlign w:val="bottom"/>
            <w:tcBorders>
              <w:top w:val="single" w:sz="8" w:color="0000FF"/>
            </w:tcBorders>
            <w:shd w:val="clear" w:color="auto" w:fill="BFE4FF"/>
          </w:tcPr>
          <w:p>
            <w:pPr>
              <w:spacing w:after="0"/>
              <w:rPr>
                <w:sz w:val="15"/>
                <w:szCs w:val="15"/>
                <w:color w:val="auto"/>
              </w:rPr>
            </w:pPr>
          </w:p>
        </w:tc>
        <w:tc>
          <w:tcPr>
            <w:tcW w:w="300" w:type="dxa"/>
            <w:vAlign w:val="bottom"/>
            <w:tcBorders>
              <w:top w:val="single" w:sz="8" w:color="0000FF"/>
            </w:tcBorders>
            <w:shd w:val="clear" w:color="auto" w:fill="BFE4FF"/>
          </w:tcPr>
          <w:p>
            <w:pPr>
              <w:spacing w:after="0"/>
              <w:rPr>
                <w:sz w:val="15"/>
                <w:szCs w:val="15"/>
                <w:color w:val="auto"/>
              </w:rPr>
            </w:pPr>
          </w:p>
        </w:tc>
        <w:tc>
          <w:tcPr>
            <w:tcW w:w="1060" w:type="dxa"/>
            <w:vAlign w:val="bottom"/>
            <w:tcBorders>
              <w:top w:val="single" w:sz="8" w:color="0000FF"/>
            </w:tcBorders>
            <w:shd w:val="clear" w:color="auto" w:fill="BFE4FF"/>
          </w:tcPr>
          <w:p>
            <w:pPr>
              <w:spacing w:after="0"/>
              <w:rPr>
                <w:sz w:val="15"/>
                <w:szCs w:val="15"/>
                <w:color w:val="auto"/>
              </w:rPr>
            </w:pPr>
          </w:p>
        </w:tc>
        <w:tc>
          <w:tcPr>
            <w:tcW w:w="420" w:type="dxa"/>
            <w:vAlign w:val="bottom"/>
            <w:tcBorders>
              <w:top w:val="single" w:sz="8" w:color="0000FF"/>
              <w:right w:val="single" w:sz="8" w:color="BFE4FF"/>
            </w:tcBorders>
            <w:shd w:val="clear" w:color="auto" w:fill="BFE4FF"/>
          </w:tcPr>
          <w:p>
            <w:pPr>
              <w:spacing w:after="0"/>
              <w:rPr>
                <w:sz w:val="15"/>
                <w:szCs w:val="15"/>
                <w:color w:val="auto"/>
              </w:rPr>
            </w:pPr>
          </w:p>
        </w:tc>
        <w:tc>
          <w:tcPr>
            <w:tcW w:w="80" w:type="dxa"/>
            <w:vAlign w:val="bottom"/>
            <w:tcBorders>
              <w:top w:val="single" w:sz="8" w:color="BFE4FF"/>
            </w:tcBorders>
            <w:shd w:val="clear" w:color="auto" w:fill="BFE4FF"/>
          </w:tcPr>
          <w:p>
            <w:pPr>
              <w:spacing w:after="0"/>
              <w:rPr>
                <w:sz w:val="15"/>
                <w:szCs w:val="15"/>
                <w:color w:val="auto"/>
              </w:rPr>
            </w:pPr>
          </w:p>
        </w:tc>
        <w:tc>
          <w:tcPr>
            <w:tcW w:w="40" w:type="dxa"/>
            <w:vAlign w:val="bottom"/>
            <w:tcBorders>
              <w:top w:val="single" w:sz="8" w:color="BFE4FF"/>
            </w:tcBorders>
            <w:shd w:val="clear" w:color="auto" w:fill="BFE4FF"/>
          </w:tcPr>
          <w:p>
            <w:pPr>
              <w:spacing w:after="0"/>
              <w:rPr>
                <w:sz w:val="15"/>
                <w:szCs w:val="15"/>
                <w:color w:val="auto"/>
              </w:rPr>
            </w:pPr>
          </w:p>
        </w:tc>
        <w:tc>
          <w:tcPr>
            <w:tcW w:w="60" w:type="dxa"/>
            <w:vAlign w:val="bottom"/>
            <w:tcBorders>
              <w:top w:val="single" w:sz="8" w:color="BFE4FF"/>
            </w:tcBorders>
            <w:shd w:val="clear" w:color="auto" w:fill="BFE4FF"/>
          </w:tcPr>
          <w:p>
            <w:pPr>
              <w:spacing w:after="0"/>
              <w:rPr>
                <w:sz w:val="15"/>
                <w:szCs w:val="15"/>
                <w:color w:val="auto"/>
              </w:rPr>
            </w:pPr>
          </w:p>
        </w:tc>
        <w:tc>
          <w:tcPr>
            <w:tcW w:w="180" w:type="dxa"/>
            <w:vAlign w:val="bottom"/>
            <w:tcBorders>
              <w:top w:val="single" w:sz="8" w:color="BFE4FF"/>
            </w:tcBorders>
            <w:shd w:val="clear" w:color="auto" w:fill="BFE4FF"/>
          </w:tcPr>
          <w:p>
            <w:pPr>
              <w:spacing w:after="0"/>
              <w:rPr>
                <w:sz w:val="15"/>
                <w:szCs w:val="15"/>
                <w:color w:val="auto"/>
              </w:rPr>
            </w:pPr>
          </w:p>
        </w:tc>
        <w:tc>
          <w:tcPr>
            <w:tcW w:w="20" w:type="dxa"/>
            <w:vAlign w:val="bottom"/>
            <w:tcBorders>
              <w:top w:val="single" w:sz="8" w:color="BFE4FF"/>
            </w:tcBorders>
            <w:shd w:val="clear" w:color="auto" w:fill="BFE4FF"/>
          </w:tcPr>
          <w:p>
            <w:pPr>
              <w:spacing w:after="0"/>
              <w:rPr>
                <w:sz w:val="15"/>
                <w:szCs w:val="15"/>
                <w:color w:val="auto"/>
              </w:rPr>
            </w:pPr>
          </w:p>
        </w:tc>
        <w:tc>
          <w:tcPr>
            <w:tcW w:w="20" w:type="dxa"/>
            <w:vAlign w:val="bottom"/>
            <w:tcBorders>
              <w:top w:val="single" w:sz="8" w:color="BFE4FF"/>
            </w:tcBorders>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60" w:type="dxa"/>
            <w:vAlign w:val="bottom"/>
            <w:tcBorders>
              <w:top w:val="single" w:sz="8" w:color="BFE4FF"/>
            </w:tcBorders>
            <w:shd w:val="clear" w:color="auto" w:fill="BFE4FF"/>
          </w:tcPr>
          <w:p>
            <w:pPr>
              <w:spacing w:after="0"/>
              <w:rPr>
                <w:sz w:val="4"/>
                <w:szCs w:val="4"/>
                <w:color w:val="auto"/>
              </w:rPr>
            </w:pPr>
          </w:p>
        </w:tc>
        <w:tc>
          <w:tcPr>
            <w:tcW w:w="22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60" w:type="dxa"/>
            <w:vAlign w:val="bottom"/>
            <w:tcBorders>
              <w:top w:val="single" w:sz="8" w:color="0000FF"/>
            </w:tcBorders>
            <w:shd w:val="clear" w:color="auto" w:fill="BFE4FF"/>
          </w:tcPr>
          <w:p>
            <w:pPr>
              <w:spacing w:after="0"/>
              <w:rPr>
                <w:sz w:val="4"/>
                <w:szCs w:val="4"/>
                <w:color w:val="auto"/>
              </w:rPr>
            </w:pPr>
          </w:p>
        </w:tc>
        <w:tc>
          <w:tcPr>
            <w:tcW w:w="400" w:type="dxa"/>
            <w:vAlign w:val="bottom"/>
            <w:tcBorders>
              <w:top w:val="single" w:sz="8" w:color="0000FF"/>
            </w:tcBorders>
            <w:shd w:val="clear" w:color="auto" w:fill="BFE4FF"/>
          </w:tcPr>
          <w:p>
            <w:pPr>
              <w:spacing w:after="0"/>
              <w:rPr>
                <w:sz w:val="4"/>
                <w:szCs w:val="4"/>
                <w:color w:val="auto"/>
              </w:rPr>
            </w:pPr>
          </w:p>
        </w:tc>
        <w:tc>
          <w:tcPr>
            <w:tcW w:w="600" w:type="dxa"/>
            <w:vAlign w:val="bottom"/>
            <w:tcBorders>
              <w:top w:val="single" w:sz="8" w:color="0000FF"/>
            </w:tcBorders>
            <w:shd w:val="clear" w:color="auto" w:fill="BFE4FF"/>
          </w:tcPr>
          <w:p>
            <w:pPr>
              <w:spacing w:after="0"/>
              <w:rPr>
                <w:sz w:val="4"/>
                <w:szCs w:val="4"/>
                <w:color w:val="auto"/>
              </w:rPr>
            </w:pPr>
          </w:p>
        </w:tc>
        <w:tc>
          <w:tcPr>
            <w:tcW w:w="240" w:type="dxa"/>
            <w:vAlign w:val="bottom"/>
            <w:tcBorders>
              <w:top w:val="single" w:sz="8" w:color="0000FF"/>
            </w:tcBorders>
            <w:shd w:val="clear" w:color="auto" w:fill="BFE4FF"/>
          </w:tcPr>
          <w:p>
            <w:pPr>
              <w:spacing w:after="0"/>
              <w:rPr>
                <w:sz w:val="4"/>
                <w:szCs w:val="4"/>
                <w:color w:val="auto"/>
              </w:rPr>
            </w:pPr>
          </w:p>
        </w:tc>
        <w:tc>
          <w:tcPr>
            <w:tcW w:w="60" w:type="dxa"/>
            <w:vAlign w:val="bottom"/>
            <w:tcBorders>
              <w:top w:val="single" w:sz="8" w:color="0000FF"/>
            </w:tcBorders>
            <w:shd w:val="clear" w:color="auto" w:fill="BFE4FF"/>
          </w:tcPr>
          <w:p>
            <w:pPr>
              <w:spacing w:after="0"/>
              <w:rPr>
                <w:sz w:val="4"/>
                <w:szCs w:val="4"/>
                <w:color w:val="auto"/>
              </w:rPr>
            </w:pPr>
          </w:p>
        </w:tc>
        <w:tc>
          <w:tcPr>
            <w:tcW w:w="1800" w:type="dxa"/>
            <w:vAlign w:val="bottom"/>
            <w:tcBorders>
              <w:top w:val="single" w:sz="8" w:color="0000FF"/>
            </w:tcBorders>
            <w:shd w:val="clear" w:color="auto" w:fill="BFE4FF"/>
          </w:tcPr>
          <w:p>
            <w:pPr>
              <w:spacing w:after="0"/>
              <w:rPr>
                <w:sz w:val="4"/>
                <w:szCs w:val="4"/>
                <w:color w:val="auto"/>
              </w:rPr>
            </w:pPr>
          </w:p>
        </w:tc>
        <w:tc>
          <w:tcPr>
            <w:tcW w:w="700" w:type="dxa"/>
            <w:vAlign w:val="bottom"/>
            <w:tcBorders>
              <w:top w:val="single" w:sz="8" w:color="0000FF"/>
            </w:tcBorders>
            <w:shd w:val="clear" w:color="auto" w:fill="BFE4FF"/>
          </w:tcPr>
          <w:p>
            <w:pPr>
              <w:spacing w:after="0"/>
              <w:rPr>
                <w:sz w:val="4"/>
                <w:szCs w:val="4"/>
                <w:color w:val="auto"/>
              </w:rPr>
            </w:pPr>
          </w:p>
        </w:tc>
        <w:tc>
          <w:tcPr>
            <w:tcW w:w="100" w:type="dxa"/>
            <w:vAlign w:val="bottom"/>
            <w:tcBorders>
              <w:top w:val="single" w:sz="8" w:color="0000FF"/>
            </w:tcBorders>
            <w:shd w:val="clear" w:color="auto" w:fill="BFE4FF"/>
          </w:tcPr>
          <w:p>
            <w:pPr>
              <w:spacing w:after="0"/>
              <w:rPr>
                <w:sz w:val="4"/>
                <w:szCs w:val="4"/>
                <w:color w:val="auto"/>
              </w:rPr>
            </w:pPr>
          </w:p>
        </w:tc>
        <w:tc>
          <w:tcPr>
            <w:tcW w:w="580" w:type="dxa"/>
            <w:vAlign w:val="bottom"/>
            <w:tcBorders>
              <w:top w:val="single" w:sz="8" w:color="0000FF"/>
            </w:tcBorders>
            <w:shd w:val="clear" w:color="auto" w:fill="BFE4FF"/>
          </w:tcPr>
          <w:p>
            <w:pPr>
              <w:spacing w:after="0"/>
              <w:rPr>
                <w:sz w:val="4"/>
                <w:szCs w:val="4"/>
                <w:color w:val="auto"/>
              </w:rPr>
            </w:pPr>
          </w:p>
        </w:tc>
        <w:tc>
          <w:tcPr>
            <w:tcW w:w="40" w:type="dxa"/>
            <w:vAlign w:val="bottom"/>
            <w:tcBorders>
              <w:top w:val="single" w:sz="8" w:color="0000FF"/>
            </w:tcBorders>
            <w:shd w:val="clear" w:color="auto" w:fill="BFE4FF"/>
          </w:tcPr>
          <w:p>
            <w:pPr>
              <w:spacing w:after="0"/>
              <w:rPr>
                <w:sz w:val="4"/>
                <w:szCs w:val="4"/>
                <w:color w:val="auto"/>
              </w:rPr>
            </w:pPr>
          </w:p>
        </w:tc>
        <w:tc>
          <w:tcPr>
            <w:tcW w:w="1340" w:type="dxa"/>
            <w:vAlign w:val="bottom"/>
            <w:tcBorders>
              <w:top w:val="single" w:sz="8" w:color="0000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right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60" w:type="dxa"/>
            <w:vAlign w:val="bottom"/>
            <w:tcBorders>
              <w:top w:val="single" w:sz="8" w:color="BFE4FF"/>
            </w:tcBorders>
            <w:shd w:val="clear" w:color="auto" w:fill="BFE4FF"/>
          </w:tcPr>
          <w:p>
            <w:pPr>
              <w:spacing w:after="0"/>
              <w:rPr>
                <w:sz w:val="4"/>
                <w:szCs w:val="4"/>
                <w:color w:val="auto"/>
              </w:rPr>
            </w:pPr>
          </w:p>
        </w:tc>
        <w:tc>
          <w:tcPr>
            <w:tcW w:w="300" w:type="dxa"/>
            <w:vAlign w:val="bottom"/>
            <w:tcBorders>
              <w:top w:val="single" w:sz="8" w:color="BFE4FF"/>
            </w:tcBorders>
            <w:shd w:val="clear" w:color="auto" w:fill="BFE4FF"/>
          </w:tcPr>
          <w:p>
            <w:pPr>
              <w:spacing w:after="0"/>
              <w:rPr>
                <w:sz w:val="4"/>
                <w:szCs w:val="4"/>
                <w:color w:val="auto"/>
              </w:rPr>
            </w:pPr>
          </w:p>
        </w:tc>
        <w:tc>
          <w:tcPr>
            <w:tcW w:w="1060" w:type="dxa"/>
            <w:vAlign w:val="bottom"/>
            <w:tcBorders>
              <w:top w:val="single" w:sz="8" w:color="BFE4FF"/>
            </w:tcBorders>
            <w:shd w:val="clear" w:color="auto" w:fill="BFE4FF"/>
          </w:tcPr>
          <w:p>
            <w:pPr>
              <w:spacing w:after="0"/>
              <w:rPr>
                <w:sz w:val="4"/>
                <w:szCs w:val="4"/>
                <w:color w:val="auto"/>
              </w:rPr>
            </w:pPr>
          </w:p>
        </w:tc>
        <w:tc>
          <w:tcPr>
            <w:tcW w:w="420" w:type="dxa"/>
            <w:vAlign w:val="bottom"/>
            <w:tcBorders>
              <w:top w:val="single" w:sz="8" w:color="BFE4FF"/>
              <w:right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40" w:type="dxa"/>
            <w:vAlign w:val="bottom"/>
            <w:tcBorders>
              <w:top w:val="single" w:sz="8" w:color="BFE4FF"/>
            </w:tcBorders>
            <w:shd w:val="clear" w:color="auto" w:fill="BFE4FF"/>
          </w:tcPr>
          <w:p>
            <w:pPr>
              <w:spacing w:after="0"/>
              <w:rPr>
                <w:sz w:val="4"/>
                <w:szCs w:val="4"/>
                <w:color w:val="auto"/>
              </w:rPr>
            </w:pPr>
          </w:p>
        </w:tc>
        <w:tc>
          <w:tcPr>
            <w:tcW w:w="60" w:type="dxa"/>
            <w:vAlign w:val="bottom"/>
            <w:tcBorders>
              <w:top w:val="single" w:sz="8" w:color="BFE4FF"/>
            </w:tcBorders>
            <w:shd w:val="clear" w:color="auto" w:fill="BFE4FF"/>
          </w:tcPr>
          <w:p>
            <w:pPr>
              <w:spacing w:after="0"/>
              <w:rPr>
                <w:sz w:val="4"/>
                <w:szCs w:val="4"/>
                <w:color w:val="auto"/>
              </w:rPr>
            </w:pPr>
          </w:p>
        </w:tc>
        <w:tc>
          <w:tcPr>
            <w:tcW w:w="1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0" w:type="dxa"/>
            <w:vAlign w:val="bottom"/>
            <w:gridSpan w:val="24"/>
          </w:tcPr>
          <w:p>
            <w:pPr>
              <w:spacing w:after="0" w:line="189" w:lineRule="exact"/>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Articles of Amendment to Restated Articles of Incorporation, effective June 13, 2023 (</w:t>
              </w:r>
              <w:r>
                <w:rPr>
                  <w:rFonts w:ascii="Times New Roman" w:cs="Times New Roman" w:eastAsia="Times New Roman" w:hAnsi="Times New Roman"/>
                  <w:sz w:val="18"/>
                  <w:szCs w:val="18"/>
                  <w:color w:val="0000FF"/>
                </w:rPr>
                <w:t>incorporated by reference to</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80" w:type="dxa"/>
            <w:vAlign w:val="bottom"/>
            <w:gridSpan w:val="15"/>
          </w:tcPr>
          <w:p>
            <w:pPr>
              <w:ind w:left="20"/>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Exhibit 3.1 to the Registrant’s Current Report on Form 8-K filed on June 14, 2023</w:t>
              </w:r>
              <w:r>
                <w:rPr>
                  <w:rFonts w:ascii="Times New Roman" w:cs="Times New Roman" w:eastAsia="Times New Roman" w:hAnsi="Times New Roman"/>
                  <w:sz w:val="18"/>
                  <w:szCs w:val="18"/>
                  <w:color w:val="000000"/>
                </w:rPr>
                <w:t>)</w:t>
              </w:r>
            </w:hyperlink>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0" w:type="dxa"/>
            <w:vAlign w:val="bottom"/>
            <w:shd w:val="clear" w:color="auto" w:fill="BFE4FF"/>
          </w:tcPr>
          <w:p>
            <w:pPr>
              <w:ind w:left="20"/>
              <w:spacing w:after="0" w:line="198" w:lineRule="exact"/>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BFE4FF"/>
          </w:tcPr>
          <w:p>
            <w:pPr>
              <w:spacing w:after="0"/>
              <w:rPr>
                <w:sz w:val="17"/>
                <w:szCs w:val="17"/>
                <w:color w:val="auto"/>
              </w:rPr>
            </w:pPr>
          </w:p>
        </w:tc>
        <w:tc>
          <w:tcPr>
            <w:tcW w:w="8620" w:type="dxa"/>
            <w:vAlign w:val="bottom"/>
            <w:gridSpan w:val="25"/>
            <w:shd w:val="clear" w:color="auto" w:fill="BFE4FF"/>
          </w:tcPr>
          <w:p>
            <w:pPr>
              <w:ind w:left="20"/>
              <w:spacing w:after="0" w:line="198" w:lineRule="exact"/>
              <w:rPr>
                <w:sz w:val="20"/>
                <w:szCs w:val="20"/>
                <w:color w:val="auto"/>
              </w:rPr>
            </w:pPr>
            <w:r>
              <w:rPr>
                <w:rFonts w:ascii="Times New Roman" w:cs="Times New Roman" w:eastAsia="Times New Roman" w:hAnsi="Times New Roman"/>
                <w:sz w:val="18"/>
                <w:szCs w:val="18"/>
                <w:color w:val="auto"/>
              </w:rPr>
              <w:t>Amended and Restated Bylaws of MiMedx Group, Inc., as amended and restated as of February 16, 2023</w:t>
            </w: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620" w:type="dxa"/>
            <w:vAlign w:val="bottom"/>
            <w:gridSpan w:val="25"/>
            <w:shd w:val="clear" w:color="auto" w:fill="BFE4FF"/>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14">
              <w:r>
                <w:rPr>
                  <w:rFonts w:ascii="Times New Roman" w:cs="Times New Roman" w:eastAsia="Times New Roman" w:hAnsi="Times New Roman"/>
                  <w:sz w:val="18"/>
                  <w:szCs w:val="18"/>
                  <w:color w:val="0000FF"/>
                </w:rPr>
                <w:t>incorporated by reference to Exhibit 3.1 to the Registrant’s Current Report on Form 8-K filed on February 23, 2023</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
        </w:trPr>
        <w:tc>
          <w:tcPr>
            <w:tcW w:w="960" w:type="dxa"/>
            <w:vAlign w:val="bottom"/>
            <w:tcBorders>
              <w:top w:val="single" w:sz="8" w:color="BFE4FF"/>
            </w:tcBorders>
            <w:shd w:val="clear" w:color="auto" w:fill="BFE4FF"/>
          </w:tcPr>
          <w:p>
            <w:pPr>
              <w:spacing w:after="0"/>
              <w:rPr>
                <w:sz w:val="4"/>
                <w:szCs w:val="4"/>
                <w:color w:val="auto"/>
              </w:rPr>
            </w:pPr>
          </w:p>
        </w:tc>
        <w:tc>
          <w:tcPr>
            <w:tcW w:w="22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60" w:type="dxa"/>
            <w:vAlign w:val="bottom"/>
            <w:tcBorders>
              <w:top w:val="single" w:sz="8" w:color="BFE4FF"/>
            </w:tcBorders>
            <w:shd w:val="clear" w:color="auto" w:fill="BFE4FF"/>
          </w:tcPr>
          <w:p>
            <w:pPr>
              <w:spacing w:after="0"/>
              <w:rPr>
                <w:sz w:val="4"/>
                <w:szCs w:val="4"/>
                <w:color w:val="auto"/>
              </w:rPr>
            </w:pPr>
          </w:p>
        </w:tc>
        <w:tc>
          <w:tcPr>
            <w:tcW w:w="400" w:type="dxa"/>
            <w:vAlign w:val="bottom"/>
            <w:tcBorders>
              <w:top w:val="single" w:sz="8" w:color="0000FF"/>
            </w:tcBorders>
            <w:shd w:val="clear" w:color="auto" w:fill="BFE4FF"/>
          </w:tcPr>
          <w:p>
            <w:pPr>
              <w:spacing w:after="0"/>
              <w:rPr>
                <w:sz w:val="4"/>
                <w:szCs w:val="4"/>
                <w:color w:val="auto"/>
              </w:rPr>
            </w:pPr>
          </w:p>
        </w:tc>
        <w:tc>
          <w:tcPr>
            <w:tcW w:w="600" w:type="dxa"/>
            <w:vAlign w:val="bottom"/>
            <w:tcBorders>
              <w:top w:val="single" w:sz="8" w:color="0000FF"/>
            </w:tcBorders>
            <w:shd w:val="clear" w:color="auto" w:fill="BFE4FF"/>
          </w:tcPr>
          <w:p>
            <w:pPr>
              <w:spacing w:after="0"/>
              <w:rPr>
                <w:sz w:val="4"/>
                <w:szCs w:val="4"/>
                <w:color w:val="auto"/>
              </w:rPr>
            </w:pPr>
          </w:p>
        </w:tc>
        <w:tc>
          <w:tcPr>
            <w:tcW w:w="240" w:type="dxa"/>
            <w:vAlign w:val="bottom"/>
            <w:tcBorders>
              <w:top w:val="single" w:sz="8" w:color="0000FF"/>
            </w:tcBorders>
            <w:shd w:val="clear" w:color="auto" w:fill="BFE4FF"/>
          </w:tcPr>
          <w:p>
            <w:pPr>
              <w:spacing w:after="0"/>
              <w:rPr>
                <w:sz w:val="4"/>
                <w:szCs w:val="4"/>
                <w:color w:val="auto"/>
              </w:rPr>
            </w:pPr>
          </w:p>
        </w:tc>
        <w:tc>
          <w:tcPr>
            <w:tcW w:w="60" w:type="dxa"/>
            <w:vAlign w:val="bottom"/>
            <w:tcBorders>
              <w:top w:val="single" w:sz="8" w:color="0000FF"/>
            </w:tcBorders>
            <w:shd w:val="clear" w:color="auto" w:fill="BFE4FF"/>
          </w:tcPr>
          <w:p>
            <w:pPr>
              <w:spacing w:after="0"/>
              <w:rPr>
                <w:sz w:val="4"/>
                <w:szCs w:val="4"/>
                <w:color w:val="auto"/>
              </w:rPr>
            </w:pPr>
          </w:p>
        </w:tc>
        <w:tc>
          <w:tcPr>
            <w:tcW w:w="1800" w:type="dxa"/>
            <w:vAlign w:val="bottom"/>
            <w:tcBorders>
              <w:top w:val="single" w:sz="8" w:color="0000FF"/>
            </w:tcBorders>
            <w:shd w:val="clear" w:color="auto" w:fill="BFE4FF"/>
          </w:tcPr>
          <w:p>
            <w:pPr>
              <w:spacing w:after="0"/>
              <w:rPr>
                <w:sz w:val="4"/>
                <w:szCs w:val="4"/>
                <w:color w:val="auto"/>
              </w:rPr>
            </w:pPr>
          </w:p>
        </w:tc>
        <w:tc>
          <w:tcPr>
            <w:tcW w:w="700" w:type="dxa"/>
            <w:vAlign w:val="bottom"/>
            <w:tcBorders>
              <w:top w:val="single" w:sz="8" w:color="0000FF"/>
            </w:tcBorders>
            <w:shd w:val="clear" w:color="auto" w:fill="BFE4FF"/>
          </w:tcPr>
          <w:p>
            <w:pPr>
              <w:spacing w:after="0"/>
              <w:rPr>
                <w:sz w:val="4"/>
                <w:szCs w:val="4"/>
                <w:color w:val="auto"/>
              </w:rPr>
            </w:pPr>
          </w:p>
        </w:tc>
        <w:tc>
          <w:tcPr>
            <w:tcW w:w="100" w:type="dxa"/>
            <w:vAlign w:val="bottom"/>
            <w:tcBorders>
              <w:top w:val="single" w:sz="8" w:color="0000FF"/>
            </w:tcBorders>
            <w:shd w:val="clear" w:color="auto" w:fill="BFE4FF"/>
          </w:tcPr>
          <w:p>
            <w:pPr>
              <w:spacing w:after="0"/>
              <w:rPr>
                <w:sz w:val="4"/>
                <w:szCs w:val="4"/>
                <w:color w:val="auto"/>
              </w:rPr>
            </w:pPr>
          </w:p>
        </w:tc>
        <w:tc>
          <w:tcPr>
            <w:tcW w:w="580" w:type="dxa"/>
            <w:vAlign w:val="bottom"/>
            <w:tcBorders>
              <w:top w:val="single" w:sz="8" w:color="0000FF"/>
            </w:tcBorders>
            <w:shd w:val="clear" w:color="auto" w:fill="BFE4FF"/>
          </w:tcPr>
          <w:p>
            <w:pPr>
              <w:spacing w:after="0"/>
              <w:rPr>
                <w:sz w:val="4"/>
                <w:szCs w:val="4"/>
                <w:color w:val="auto"/>
              </w:rPr>
            </w:pPr>
          </w:p>
        </w:tc>
        <w:tc>
          <w:tcPr>
            <w:tcW w:w="40" w:type="dxa"/>
            <w:vAlign w:val="bottom"/>
            <w:tcBorders>
              <w:top w:val="single" w:sz="8" w:color="0000FF"/>
            </w:tcBorders>
            <w:shd w:val="clear" w:color="auto" w:fill="BFE4FF"/>
          </w:tcPr>
          <w:p>
            <w:pPr>
              <w:spacing w:after="0"/>
              <w:rPr>
                <w:sz w:val="4"/>
                <w:szCs w:val="4"/>
                <w:color w:val="auto"/>
              </w:rPr>
            </w:pPr>
          </w:p>
        </w:tc>
        <w:tc>
          <w:tcPr>
            <w:tcW w:w="1340" w:type="dxa"/>
            <w:vAlign w:val="bottom"/>
            <w:tcBorders>
              <w:top w:val="single" w:sz="8" w:color="0000FF"/>
            </w:tcBorders>
            <w:shd w:val="clear" w:color="auto" w:fill="BFE4FF"/>
          </w:tcPr>
          <w:p>
            <w:pPr>
              <w:spacing w:after="0"/>
              <w:rPr>
                <w:sz w:val="4"/>
                <w:szCs w:val="4"/>
                <w:color w:val="auto"/>
              </w:rPr>
            </w:pPr>
          </w:p>
        </w:tc>
        <w:tc>
          <w:tcPr>
            <w:tcW w:w="120" w:type="dxa"/>
            <w:vAlign w:val="bottom"/>
            <w:tcBorders>
              <w:top w:val="single" w:sz="8" w:color="0000FF"/>
            </w:tcBorders>
            <w:shd w:val="clear" w:color="auto" w:fill="BFE4FF"/>
          </w:tcPr>
          <w:p>
            <w:pPr>
              <w:spacing w:after="0"/>
              <w:rPr>
                <w:sz w:val="4"/>
                <w:szCs w:val="4"/>
                <w:color w:val="auto"/>
              </w:rPr>
            </w:pPr>
          </w:p>
        </w:tc>
        <w:tc>
          <w:tcPr>
            <w:tcW w:w="120" w:type="dxa"/>
            <w:vAlign w:val="bottom"/>
            <w:tcBorders>
              <w:top w:val="single" w:sz="8" w:color="0000FF"/>
              <w:right w:val="single" w:sz="8" w:color="BFE4FF"/>
            </w:tcBorders>
            <w:shd w:val="clear" w:color="auto" w:fill="BFE4FF"/>
          </w:tcPr>
          <w:p>
            <w:pPr>
              <w:spacing w:after="0"/>
              <w:rPr>
                <w:sz w:val="4"/>
                <w:szCs w:val="4"/>
                <w:color w:val="auto"/>
              </w:rPr>
            </w:pPr>
          </w:p>
        </w:tc>
        <w:tc>
          <w:tcPr>
            <w:tcW w:w="100" w:type="dxa"/>
            <w:vAlign w:val="bottom"/>
            <w:tcBorders>
              <w:top w:val="single" w:sz="8" w:color="0000FF"/>
            </w:tcBorders>
            <w:shd w:val="clear" w:color="auto" w:fill="BFE4FF"/>
          </w:tcPr>
          <w:p>
            <w:pPr>
              <w:spacing w:after="0"/>
              <w:rPr>
                <w:sz w:val="4"/>
                <w:szCs w:val="4"/>
                <w:color w:val="auto"/>
              </w:rPr>
            </w:pPr>
          </w:p>
        </w:tc>
        <w:tc>
          <w:tcPr>
            <w:tcW w:w="160" w:type="dxa"/>
            <w:vAlign w:val="bottom"/>
            <w:tcBorders>
              <w:top w:val="single" w:sz="8" w:color="0000FF"/>
            </w:tcBorders>
            <w:shd w:val="clear" w:color="auto" w:fill="BFE4FF"/>
          </w:tcPr>
          <w:p>
            <w:pPr>
              <w:spacing w:after="0"/>
              <w:rPr>
                <w:sz w:val="4"/>
                <w:szCs w:val="4"/>
                <w:color w:val="auto"/>
              </w:rPr>
            </w:pPr>
          </w:p>
        </w:tc>
        <w:tc>
          <w:tcPr>
            <w:tcW w:w="300" w:type="dxa"/>
            <w:vAlign w:val="bottom"/>
            <w:tcBorders>
              <w:top w:val="single" w:sz="8" w:color="0000FF"/>
            </w:tcBorders>
            <w:shd w:val="clear" w:color="auto" w:fill="BFE4FF"/>
          </w:tcPr>
          <w:p>
            <w:pPr>
              <w:spacing w:after="0"/>
              <w:rPr>
                <w:sz w:val="4"/>
                <w:szCs w:val="4"/>
                <w:color w:val="auto"/>
              </w:rPr>
            </w:pPr>
          </w:p>
        </w:tc>
        <w:tc>
          <w:tcPr>
            <w:tcW w:w="1060" w:type="dxa"/>
            <w:vAlign w:val="bottom"/>
            <w:tcBorders>
              <w:top w:val="single" w:sz="8" w:color="0000FF"/>
            </w:tcBorders>
            <w:shd w:val="clear" w:color="auto" w:fill="BFE4FF"/>
          </w:tcPr>
          <w:p>
            <w:pPr>
              <w:spacing w:after="0"/>
              <w:rPr>
                <w:sz w:val="4"/>
                <w:szCs w:val="4"/>
                <w:color w:val="auto"/>
              </w:rPr>
            </w:pPr>
          </w:p>
        </w:tc>
        <w:tc>
          <w:tcPr>
            <w:tcW w:w="420" w:type="dxa"/>
            <w:vAlign w:val="bottom"/>
            <w:tcBorders>
              <w:top w:val="single" w:sz="8" w:color="0000FF"/>
              <w:right w:val="single" w:sz="8" w:color="BFE4FF"/>
            </w:tcBorders>
            <w:shd w:val="clear" w:color="auto" w:fill="BFE4FF"/>
          </w:tcPr>
          <w:p>
            <w:pPr>
              <w:spacing w:after="0"/>
              <w:rPr>
                <w:sz w:val="4"/>
                <w:szCs w:val="4"/>
                <w:color w:val="auto"/>
              </w:rPr>
            </w:pPr>
          </w:p>
        </w:tc>
        <w:tc>
          <w:tcPr>
            <w:tcW w:w="80" w:type="dxa"/>
            <w:vAlign w:val="bottom"/>
            <w:tcBorders>
              <w:top w:val="single" w:sz="8" w:color="0000FF"/>
            </w:tcBorders>
            <w:shd w:val="clear" w:color="auto" w:fill="BFE4FF"/>
          </w:tcPr>
          <w:p>
            <w:pPr>
              <w:spacing w:after="0"/>
              <w:rPr>
                <w:sz w:val="4"/>
                <w:szCs w:val="4"/>
                <w:color w:val="auto"/>
              </w:rPr>
            </w:pPr>
          </w:p>
        </w:tc>
        <w:tc>
          <w:tcPr>
            <w:tcW w:w="40" w:type="dxa"/>
            <w:vAlign w:val="bottom"/>
            <w:tcBorders>
              <w:top w:val="single" w:sz="8" w:color="0000FF"/>
            </w:tcBorders>
            <w:shd w:val="clear" w:color="auto" w:fill="BFE4FF"/>
          </w:tcPr>
          <w:p>
            <w:pPr>
              <w:spacing w:after="0"/>
              <w:rPr>
                <w:sz w:val="4"/>
                <w:szCs w:val="4"/>
                <w:color w:val="auto"/>
              </w:rPr>
            </w:pPr>
          </w:p>
        </w:tc>
        <w:tc>
          <w:tcPr>
            <w:tcW w:w="60" w:type="dxa"/>
            <w:vAlign w:val="bottom"/>
            <w:tcBorders>
              <w:top w:val="single" w:sz="8" w:color="0000FF"/>
            </w:tcBorders>
            <w:shd w:val="clear" w:color="auto" w:fill="BFE4FF"/>
          </w:tcPr>
          <w:p>
            <w:pPr>
              <w:spacing w:after="0"/>
              <w:rPr>
                <w:sz w:val="4"/>
                <w:szCs w:val="4"/>
                <w:color w:val="auto"/>
              </w:rPr>
            </w:pPr>
          </w:p>
        </w:tc>
        <w:tc>
          <w:tcPr>
            <w:tcW w:w="1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6"/>
                <w:szCs w:val="16"/>
                <w:color w:val="auto"/>
              </w:rPr>
            </w:pPr>
          </w:p>
        </w:tc>
        <w:tc>
          <w:tcPr>
            <w:tcW w:w="8620" w:type="dxa"/>
            <w:vAlign w:val="bottom"/>
            <w:gridSpan w:val="25"/>
          </w:tcPr>
          <w:p>
            <w:pPr>
              <w:ind w:left="20"/>
              <w:spacing w:after="0" w:line="184" w:lineRule="exact"/>
              <w:rPr>
                <w:sz w:val="20"/>
                <w:szCs w:val="20"/>
                <w:color w:val="auto"/>
              </w:rPr>
            </w:pPr>
            <w:r>
              <w:rPr>
                <w:rFonts w:ascii="Times New Roman" w:cs="Times New Roman" w:eastAsia="Times New Roman" w:hAnsi="Times New Roman"/>
                <w:sz w:val="18"/>
                <w:szCs w:val="18"/>
                <w:color w:val="auto"/>
              </w:rPr>
              <w:t>The description of the Registrant’s Securities Registered Pursuant to Section 12 of the Securities Exchange Act of</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20" w:type="dxa"/>
            <w:vAlign w:val="bottom"/>
            <w:gridSpan w:val="25"/>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w:t>
            </w:r>
            <w:hyperlink r:id="rId115">
              <w:r>
                <w:rPr>
                  <w:rFonts w:ascii="Times New Roman" w:cs="Times New Roman" w:eastAsia="Times New Roman" w:hAnsi="Times New Roman"/>
                  <w:sz w:val="18"/>
                  <w:szCs w:val="18"/>
                  <w:color w:val="0000FF"/>
                </w:rPr>
                <w:t>incorporated by reference to the Registrant’s Registration Statement on Form 8-A filed on November 2, 2020</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BFE4FF"/>
          </w:tcPr>
          <w:p>
            <w:pPr>
              <w:spacing w:after="0"/>
              <w:rPr>
                <w:sz w:val="16"/>
                <w:szCs w:val="16"/>
                <w:color w:val="auto"/>
              </w:rPr>
            </w:pPr>
          </w:p>
        </w:tc>
        <w:tc>
          <w:tcPr>
            <w:tcW w:w="8620" w:type="dxa"/>
            <w:vAlign w:val="bottom"/>
            <w:gridSpan w:val="25"/>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Loan Agreement dated as of June 30, 2020 by and among MiMedx Group, Inc., certain subsidiaries of MiMedx</w:t>
            </w:r>
          </w:p>
        </w:tc>
        <w:tc>
          <w:tcPr>
            <w:tcW w:w="0" w:type="dxa"/>
            <w:vAlign w:val="bottom"/>
          </w:tcPr>
          <w:p>
            <w:pPr>
              <w:spacing w:after="0"/>
              <w:rPr>
                <w:sz w:val="1"/>
                <w:szCs w:val="1"/>
                <w:color w:val="auto"/>
              </w:rPr>
            </w:pPr>
          </w:p>
        </w:tc>
      </w:tr>
      <w:tr>
        <w:trPr>
          <w:trHeight w:val="180"/>
        </w:trPr>
        <w:tc>
          <w:tcPr>
            <w:tcW w:w="96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8620" w:type="dxa"/>
            <w:vAlign w:val="bottom"/>
            <w:gridSpan w:val="25"/>
            <w:shd w:val="clear" w:color="auto" w:fill="BFE4FF"/>
          </w:tcPr>
          <w:p>
            <w:pPr>
              <w:ind w:left="20"/>
              <w:spacing w:after="0" w:line="181" w:lineRule="exact"/>
              <w:rPr>
                <w:sz w:val="20"/>
                <w:szCs w:val="20"/>
                <w:color w:val="auto"/>
              </w:rPr>
            </w:pPr>
            <w:r>
              <w:rPr>
                <w:rFonts w:ascii="Times New Roman" w:cs="Times New Roman" w:eastAsia="Times New Roman" w:hAnsi="Times New Roman"/>
                <w:sz w:val="18"/>
                <w:szCs w:val="18"/>
                <w:color w:val="auto"/>
              </w:rPr>
              <w:t>Group, Inc. parties thereto, the Lenders from time to time party hereto, Hayfin Services LLP, as administrative agent</w:t>
            </w: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620" w:type="dxa"/>
            <w:vAlign w:val="bottom"/>
            <w:gridSpan w:val="25"/>
            <w:shd w:val="clear" w:color="auto" w:fill="BFE4FF"/>
          </w:tcPr>
          <w:p>
            <w:pPr>
              <w:ind w:left="20"/>
              <w:spacing w:after="0" w:line="189" w:lineRule="exact"/>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for the Lenders and as collateral agent for the Secured Parties (</w:t>
              </w:r>
              <w:r>
                <w:rPr>
                  <w:rFonts w:ascii="Times New Roman" w:cs="Times New Roman" w:eastAsia="Times New Roman" w:hAnsi="Times New Roman"/>
                  <w:sz w:val="18"/>
                  <w:szCs w:val="18"/>
                  <w:color w:val="0000FF"/>
                </w:rPr>
                <w:t>incorporated by reference to Exhibit 10.36 to</w:t>
              </w:r>
            </w:hyperlink>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4560" w:type="dxa"/>
            <w:vAlign w:val="bottom"/>
            <w:tcBorders>
              <w:top w:val="single" w:sz="8" w:color="BFE4FF"/>
            </w:tcBorders>
            <w:gridSpan w:val="10"/>
            <w:shd w:val="clear" w:color="auto" w:fill="BFE4FF"/>
          </w:tcPr>
          <w:p>
            <w:pPr>
              <w:ind w:left="20"/>
              <w:spacing w:after="0" w:line="156"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Registrant’s Annual Report on Form 10-K filed on July 6, 2020</w:t>
              </w:r>
            </w:hyperlink>
          </w:p>
        </w:tc>
        <w:tc>
          <w:tcPr>
            <w:tcW w:w="1880" w:type="dxa"/>
            <w:vAlign w:val="bottom"/>
            <w:tcBorders>
              <w:top w:val="single" w:sz="8" w:color="0000FF"/>
            </w:tcBorders>
            <w:gridSpan w:val="6"/>
            <w:shd w:val="clear" w:color="auto" w:fill="BFE4FF"/>
          </w:tcPr>
          <w:p>
            <w:pPr>
              <w:jc w:val="right"/>
              <w:ind w:right="1740"/>
              <w:spacing w:after="0" w:line="156" w:lineRule="exact"/>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w:t>
              </w:r>
            </w:hyperlink>
          </w:p>
        </w:tc>
        <w:tc>
          <w:tcPr>
            <w:tcW w:w="300" w:type="dxa"/>
            <w:vAlign w:val="bottom"/>
            <w:tcBorders>
              <w:top w:val="single" w:sz="8" w:color="0000FF"/>
            </w:tcBorders>
            <w:shd w:val="clear" w:color="auto" w:fill="BFE4FF"/>
          </w:tcPr>
          <w:p>
            <w:pPr>
              <w:spacing w:after="0"/>
              <w:rPr>
                <w:sz w:val="13"/>
                <w:szCs w:val="13"/>
                <w:color w:val="auto"/>
              </w:rPr>
            </w:pPr>
          </w:p>
        </w:tc>
        <w:tc>
          <w:tcPr>
            <w:tcW w:w="1060" w:type="dxa"/>
            <w:vAlign w:val="bottom"/>
            <w:tcBorders>
              <w:top w:val="single" w:sz="8" w:color="0000FF"/>
            </w:tcBorders>
            <w:shd w:val="clear" w:color="auto" w:fill="BFE4FF"/>
          </w:tcPr>
          <w:p>
            <w:pPr>
              <w:spacing w:after="0"/>
              <w:rPr>
                <w:sz w:val="13"/>
                <w:szCs w:val="13"/>
                <w:color w:val="auto"/>
              </w:rPr>
            </w:pPr>
          </w:p>
        </w:tc>
        <w:tc>
          <w:tcPr>
            <w:tcW w:w="780" w:type="dxa"/>
            <w:vAlign w:val="bottom"/>
            <w:tcBorders>
              <w:top w:val="single" w:sz="8" w:color="BFE4FF"/>
            </w:tcBorders>
            <w:gridSpan w:val="5"/>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60" w:type="dxa"/>
            <w:vAlign w:val="bottom"/>
            <w:tcBorders>
              <w:top w:val="single" w:sz="8" w:color="BFE4FF"/>
            </w:tcBorders>
            <w:shd w:val="clear" w:color="auto" w:fill="BFE4FF"/>
          </w:tcPr>
          <w:p>
            <w:pPr>
              <w:spacing w:after="0"/>
              <w:rPr>
                <w:sz w:val="22"/>
                <w:szCs w:val="22"/>
                <w:color w:val="auto"/>
              </w:rPr>
            </w:pPr>
          </w:p>
        </w:tc>
        <w:tc>
          <w:tcPr>
            <w:tcW w:w="220" w:type="dxa"/>
            <w:vAlign w:val="bottom"/>
            <w:tcBorders>
              <w:top w:val="single" w:sz="8" w:color="BFE4FF"/>
            </w:tcBorders>
            <w:shd w:val="clear" w:color="auto" w:fill="BFE4FF"/>
          </w:tcPr>
          <w:p>
            <w:pPr>
              <w:spacing w:after="0"/>
              <w:rPr>
                <w:sz w:val="22"/>
                <w:szCs w:val="22"/>
                <w:color w:val="auto"/>
              </w:rPr>
            </w:pPr>
          </w:p>
        </w:tc>
        <w:tc>
          <w:tcPr>
            <w:tcW w:w="20" w:type="dxa"/>
            <w:vAlign w:val="bottom"/>
            <w:tcBorders>
              <w:top w:val="single" w:sz="8" w:color="BFE4FF"/>
            </w:tcBorders>
            <w:shd w:val="clear" w:color="auto" w:fill="BFE4FF"/>
          </w:tcPr>
          <w:p>
            <w:pPr>
              <w:spacing w:after="0"/>
              <w:rPr>
                <w:sz w:val="22"/>
                <w:szCs w:val="22"/>
                <w:color w:val="auto"/>
              </w:rPr>
            </w:pPr>
          </w:p>
        </w:tc>
        <w:tc>
          <w:tcPr>
            <w:tcW w:w="60" w:type="dxa"/>
            <w:vAlign w:val="bottom"/>
            <w:tcBorders>
              <w:top w:val="single" w:sz="8" w:color="0000FF"/>
            </w:tcBorders>
            <w:shd w:val="clear" w:color="auto" w:fill="BFE4FF"/>
          </w:tcPr>
          <w:p>
            <w:pPr>
              <w:spacing w:after="0"/>
              <w:rPr>
                <w:sz w:val="22"/>
                <w:szCs w:val="22"/>
                <w:color w:val="auto"/>
              </w:rPr>
            </w:pPr>
          </w:p>
        </w:tc>
        <w:tc>
          <w:tcPr>
            <w:tcW w:w="400" w:type="dxa"/>
            <w:vAlign w:val="bottom"/>
            <w:tcBorders>
              <w:top w:val="single" w:sz="8" w:color="0000FF"/>
            </w:tcBorders>
            <w:shd w:val="clear" w:color="auto" w:fill="BFE4FF"/>
          </w:tcPr>
          <w:p>
            <w:pPr>
              <w:spacing w:after="0"/>
              <w:rPr>
                <w:sz w:val="22"/>
                <w:szCs w:val="22"/>
                <w:color w:val="auto"/>
              </w:rPr>
            </w:pPr>
          </w:p>
        </w:tc>
        <w:tc>
          <w:tcPr>
            <w:tcW w:w="600" w:type="dxa"/>
            <w:vAlign w:val="bottom"/>
            <w:tcBorders>
              <w:top w:val="single" w:sz="8" w:color="0000FF"/>
            </w:tcBorders>
            <w:shd w:val="clear" w:color="auto" w:fill="BFE4FF"/>
          </w:tcPr>
          <w:p>
            <w:pPr>
              <w:spacing w:after="0"/>
              <w:rPr>
                <w:sz w:val="22"/>
                <w:szCs w:val="22"/>
                <w:color w:val="auto"/>
              </w:rPr>
            </w:pPr>
          </w:p>
        </w:tc>
        <w:tc>
          <w:tcPr>
            <w:tcW w:w="240" w:type="dxa"/>
            <w:vAlign w:val="bottom"/>
            <w:tcBorders>
              <w:top w:val="single" w:sz="8" w:color="0000FF"/>
            </w:tcBorders>
            <w:shd w:val="clear" w:color="auto" w:fill="BFE4FF"/>
          </w:tcPr>
          <w:p>
            <w:pPr>
              <w:spacing w:after="0"/>
              <w:rPr>
                <w:sz w:val="22"/>
                <w:szCs w:val="22"/>
                <w:color w:val="auto"/>
              </w:rPr>
            </w:pPr>
          </w:p>
        </w:tc>
        <w:tc>
          <w:tcPr>
            <w:tcW w:w="60" w:type="dxa"/>
            <w:vAlign w:val="bottom"/>
            <w:tcBorders>
              <w:top w:val="single" w:sz="8" w:color="0000FF"/>
            </w:tcBorders>
            <w:shd w:val="clear" w:color="auto" w:fill="BFE4FF"/>
          </w:tcPr>
          <w:p>
            <w:pPr>
              <w:spacing w:after="0"/>
              <w:rPr>
                <w:sz w:val="22"/>
                <w:szCs w:val="22"/>
                <w:color w:val="auto"/>
              </w:rPr>
            </w:pPr>
          </w:p>
        </w:tc>
        <w:tc>
          <w:tcPr>
            <w:tcW w:w="1800" w:type="dxa"/>
            <w:vAlign w:val="bottom"/>
            <w:tcBorders>
              <w:top w:val="single" w:sz="8" w:color="0000FF"/>
            </w:tcBorders>
            <w:shd w:val="clear" w:color="auto" w:fill="BFE4FF"/>
          </w:tcPr>
          <w:p>
            <w:pPr>
              <w:spacing w:after="0"/>
              <w:rPr>
                <w:sz w:val="22"/>
                <w:szCs w:val="22"/>
                <w:color w:val="auto"/>
              </w:rPr>
            </w:pPr>
          </w:p>
        </w:tc>
        <w:tc>
          <w:tcPr>
            <w:tcW w:w="700" w:type="dxa"/>
            <w:vAlign w:val="bottom"/>
            <w:tcBorders>
              <w:top w:val="single" w:sz="8" w:color="0000FF"/>
            </w:tcBorders>
            <w:shd w:val="clear" w:color="auto" w:fill="BFE4FF"/>
          </w:tcPr>
          <w:p>
            <w:pPr>
              <w:spacing w:after="0"/>
              <w:rPr>
                <w:sz w:val="22"/>
                <w:szCs w:val="22"/>
                <w:color w:val="auto"/>
              </w:rPr>
            </w:pPr>
          </w:p>
        </w:tc>
        <w:tc>
          <w:tcPr>
            <w:tcW w:w="100" w:type="dxa"/>
            <w:vAlign w:val="bottom"/>
            <w:tcBorders>
              <w:top w:val="single" w:sz="8" w:color="0000FF"/>
            </w:tcBorders>
            <w:shd w:val="clear" w:color="auto" w:fill="BFE4FF"/>
          </w:tcPr>
          <w:p>
            <w:pPr>
              <w:spacing w:after="0"/>
              <w:rPr>
                <w:sz w:val="22"/>
                <w:szCs w:val="22"/>
                <w:color w:val="auto"/>
              </w:rPr>
            </w:pPr>
          </w:p>
        </w:tc>
        <w:tc>
          <w:tcPr>
            <w:tcW w:w="580" w:type="dxa"/>
            <w:vAlign w:val="bottom"/>
            <w:tcBorders>
              <w:top w:val="single" w:sz="8" w:color="0000FF"/>
            </w:tcBorders>
            <w:shd w:val="clear" w:color="auto" w:fill="BFE4FF"/>
          </w:tcPr>
          <w:p>
            <w:pPr>
              <w:spacing w:after="0"/>
              <w:rPr>
                <w:sz w:val="22"/>
                <w:szCs w:val="22"/>
                <w:color w:val="auto"/>
              </w:rPr>
            </w:pPr>
          </w:p>
        </w:tc>
        <w:tc>
          <w:tcPr>
            <w:tcW w:w="40" w:type="dxa"/>
            <w:vAlign w:val="bottom"/>
            <w:tcBorders>
              <w:top w:val="single" w:sz="8" w:color="0000FF"/>
            </w:tcBorders>
            <w:shd w:val="clear" w:color="auto" w:fill="BFE4FF"/>
          </w:tcPr>
          <w:p>
            <w:pPr>
              <w:spacing w:after="0"/>
              <w:rPr>
                <w:sz w:val="22"/>
                <w:szCs w:val="22"/>
                <w:color w:val="auto"/>
              </w:rPr>
            </w:pPr>
          </w:p>
        </w:tc>
        <w:tc>
          <w:tcPr>
            <w:tcW w:w="1340" w:type="dxa"/>
            <w:vAlign w:val="bottom"/>
            <w:tcBorders>
              <w:top w:val="single" w:sz="8" w:color="BFE4FF"/>
            </w:tcBorders>
            <w:shd w:val="clear" w:color="auto" w:fill="BFE4FF"/>
          </w:tcPr>
          <w:p>
            <w:pPr>
              <w:spacing w:after="0"/>
              <w:rPr>
                <w:sz w:val="22"/>
                <w:szCs w:val="22"/>
                <w:color w:val="auto"/>
              </w:rPr>
            </w:pPr>
          </w:p>
        </w:tc>
        <w:tc>
          <w:tcPr>
            <w:tcW w:w="120" w:type="dxa"/>
            <w:vAlign w:val="bottom"/>
            <w:tcBorders>
              <w:top w:val="single" w:sz="8" w:color="BFE4FF"/>
            </w:tcBorders>
            <w:shd w:val="clear" w:color="auto" w:fill="BFE4FF"/>
          </w:tcPr>
          <w:p>
            <w:pPr>
              <w:spacing w:after="0"/>
              <w:rPr>
                <w:sz w:val="22"/>
                <w:szCs w:val="22"/>
                <w:color w:val="auto"/>
              </w:rPr>
            </w:pPr>
          </w:p>
        </w:tc>
        <w:tc>
          <w:tcPr>
            <w:tcW w:w="120" w:type="dxa"/>
            <w:vAlign w:val="bottom"/>
            <w:tcBorders>
              <w:top w:val="single" w:sz="8" w:color="BFE4FF"/>
              <w:right w:val="single" w:sz="8" w:color="BFE4FF"/>
            </w:tcBorders>
            <w:shd w:val="clear" w:color="auto" w:fill="BFE4FF"/>
          </w:tcPr>
          <w:p>
            <w:pPr>
              <w:spacing w:after="0"/>
              <w:rPr>
                <w:sz w:val="22"/>
                <w:szCs w:val="22"/>
                <w:color w:val="auto"/>
              </w:rPr>
            </w:pPr>
          </w:p>
        </w:tc>
        <w:tc>
          <w:tcPr>
            <w:tcW w:w="100" w:type="dxa"/>
            <w:vAlign w:val="bottom"/>
            <w:tcBorders>
              <w:top w:val="single" w:sz="8" w:color="BFE4FF"/>
            </w:tcBorders>
            <w:shd w:val="clear" w:color="auto" w:fill="BFE4FF"/>
          </w:tcPr>
          <w:p>
            <w:pPr>
              <w:spacing w:after="0"/>
              <w:rPr>
                <w:sz w:val="22"/>
                <w:szCs w:val="22"/>
                <w:color w:val="auto"/>
              </w:rPr>
            </w:pPr>
          </w:p>
        </w:tc>
        <w:tc>
          <w:tcPr>
            <w:tcW w:w="160" w:type="dxa"/>
            <w:vAlign w:val="bottom"/>
            <w:tcBorders>
              <w:top w:val="single" w:sz="8" w:color="BFE4FF"/>
            </w:tcBorders>
            <w:shd w:val="clear" w:color="auto" w:fill="BFE4FF"/>
          </w:tcPr>
          <w:p>
            <w:pPr>
              <w:spacing w:after="0"/>
              <w:rPr>
                <w:sz w:val="22"/>
                <w:szCs w:val="22"/>
                <w:color w:val="auto"/>
              </w:rPr>
            </w:pPr>
          </w:p>
        </w:tc>
        <w:tc>
          <w:tcPr>
            <w:tcW w:w="300" w:type="dxa"/>
            <w:vAlign w:val="bottom"/>
            <w:tcBorders>
              <w:top w:val="single" w:sz="8" w:color="BFE4FF"/>
            </w:tcBorders>
            <w:shd w:val="clear" w:color="auto" w:fill="BFE4FF"/>
          </w:tcPr>
          <w:p>
            <w:pPr>
              <w:spacing w:after="0"/>
              <w:rPr>
                <w:sz w:val="22"/>
                <w:szCs w:val="22"/>
                <w:color w:val="auto"/>
              </w:rPr>
            </w:pPr>
          </w:p>
        </w:tc>
        <w:tc>
          <w:tcPr>
            <w:tcW w:w="1060" w:type="dxa"/>
            <w:vAlign w:val="bottom"/>
            <w:tcBorders>
              <w:top w:val="single" w:sz="8" w:color="BFE4FF"/>
            </w:tcBorders>
            <w:shd w:val="clear" w:color="auto" w:fill="BFE4FF"/>
          </w:tcPr>
          <w:p>
            <w:pPr>
              <w:spacing w:after="0"/>
              <w:rPr>
                <w:sz w:val="22"/>
                <w:szCs w:val="22"/>
                <w:color w:val="auto"/>
              </w:rPr>
            </w:pPr>
          </w:p>
        </w:tc>
        <w:tc>
          <w:tcPr>
            <w:tcW w:w="420" w:type="dxa"/>
            <w:vAlign w:val="bottom"/>
            <w:tcBorders>
              <w:top w:val="single" w:sz="8" w:color="BFE4FF"/>
              <w:right w:val="single" w:sz="8" w:color="BFE4FF"/>
            </w:tcBorders>
            <w:shd w:val="clear" w:color="auto" w:fill="BFE4FF"/>
          </w:tcPr>
          <w:p>
            <w:pPr>
              <w:spacing w:after="0"/>
              <w:rPr>
                <w:sz w:val="22"/>
                <w:szCs w:val="22"/>
                <w:color w:val="auto"/>
              </w:rPr>
            </w:pPr>
          </w:p>
        </w:tc>
        <w:tc>
          <w:tcPr>
            <w:tcW w:w="80" w:type="dxa"/>
            <w:vAlign w:val="bottom"/>
            <w:tcBorders>
              <w:top w:val="single" w:sz="8" w:color="BFE4FF"/>
            </w:tcBorders>
            <w:shd w:val="clear" w:color="auto" w:fill="BFE4FF"/>
          </w:tcPr>
          <w:p>
            <w:pPr>
              <w:spacing w:after="0"/>
              <w:rPr>
                <w:sz w:val="22"/>
                <w:szCs w:val="22"/>
                <w:color w:val="auto"/>
              </w:rPr>
            </w:pPr>
          </w:p>
        </w:tc>
        <w:tc>
          <w:tcPr>
            <w:tcW w:w="40" w:type="dxa"/>
            <w:vAlign w:val="bottom"/>
            <w:tcBorders>
              <w:top w:val="single" w:sz="8" w:color="BFE4FF"/>
            </w:tcBorders>
            <w:shd w:val="clear" w:color="auto" w:fill="BFE4FF"/>
          </w:tcPr>
          <w:p>
            <w:pPr>
              <w:spacing w:after="0"/>
              <w:rPr>
                <w:sz w:val="22"/>
                <w:szCs w:val="22"/>
                <w:color w:val="auto"/>
              </w:rPr>
            </w:pPr>
          </w:p>
        </w:tc>
        <w:tc>
          <w:tcPr>
            <w:tcW w:w="60" w:type="dxa"/>
            <w:vAlign w:val="bottom"/>
            <w:tcBorders>
              <w:top w:val="single" w:sz="8" w:color="BFE4FF"/>
            </w:tcBorders>
            <w:shd w:val="clear" w:color="auto" w:fill="BFE4FF"/>
          </w:tcPr>
          <w:p>
            <w:pPr>
              <w:spacing w:after="0"/>
              <w:rPr>
                <w:sz w:val="22"/>
                <w:szCs w:val="22"/>
                <w:color w:val="auto"/>
              </w:rPr>
            </w:pPr>
          </w:p>
        </w:tc>
        <w:tc>
          <w:tcPr>
            <w:tcW w:w="180" w:type="dxa"/>
            <w:vAlign w:val="bottom"/>
            <w:tcBorders>
              <w:top w:val="single" w:sz="8" w:color="BFE4FF"/>
            </w:tcBorders>
            <w:shd w:val="clear" w:color="auto" w:fill="BFE4FF"/>
          </w:tcPr>
          <w:p>
            <w:pPr>
              <w:spacing w:after="0"/>
              <w:rPr>
                <w:sz w:val="22"/>
                <w:szCs w:val="22"/>
                <w:color w:val="auto"/>
              </w:rPr>
            </w:pPr>
          </w:p>
        </w:tc>
        <w:tc>
          <w:tcPr>
            <w:tcW w:w="20" w:type="dxa"/>
            <w:vAlign w:val="bottom"/>
            <w:tcBorders>
              <w:top w:val="single" w:sz="8" w:color="BFE4FF"/>
            </w:tcBorders>
            <w:shd w:val="clear" w:color="auto" w:fill="BFE4FF"/>
          </w:tcPr>
          <w:p>
            <w:pPr>
              <w:spacing w:after="0"/>
              <w:rPr>
                <w:sz w:val="22"/>
                <w:szCs w:val="22"/>
                <w:color w:val="auto"/>
              </w:rPr>
            </w:pPr>
          </w:p>
        </w:tc>
        <w:tc>
          <w:tcPr>
            <w:tcW w:w="20" w:type="dxa"/>
            <w:vAlign w:val="bottom"/>
            <w:tcBorders>
              <w:top w:val="single" w:sz="8" w:color="BFE4FF"/>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6"/>
                <w:szCs w:val="16"/>
                <w:color w:val="auto"/>
              </w:rPr>
            </w:pPr>
          </w:p>
        </w:tc>
        <w:tc>
          <w:tcPr>
            <w:tcW w:w="8620" w:type="dxa"/>
            <w:vAlign w:val="bottom"/>
            <w:gridSpan w:val="25"/>
          </w:tcPr>
          <w:p>
            <w:pPr>
              <w:ind w:left="20"/>
              <w:spacing w:after="0" w:line="189" w:lineRule="exact"/>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Lease effective May 1, 2013 between Hub Properties of GA, LLC and MiMedx Group, Inc. (</w:t>
              </w:r>
              <w:r>
                <w:rPr>
                  <w:rFonts w:ascii="Times New Roman" w:cs="Times New Roman" w:eastAsia="Times New Roman" w:hAnsi="Times New Roman"/>
                  <w:sz w:val="18"/>
                  <w:szCs w:val="18"/>
                  <w:color w:val="0000FF"/>
                </w:rPr>
                <w:t>incorporated by reference</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740" w:type="dxa"/>
            <w:vAlign w:val="bottom"/>
            <w:gridSpan w:val="17"/>
          </w:tcPr>
          <w:p>
            <w:pPr>
              <w:ind w:left="20"/>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to Exhibit 10.1 to the Registrant’s Quarterly Report on Form 10-Q filed on May 10, 2013</w:t>
              </w:r>
              <w:r>
                <w:rPr>
                  <w:rFonts w:ascii="Times New Roman" w:cs="Times New Roman" w:eastAsia="Times New Roman" w:hAnsi="Times New Roman"/>
                  <w:sz w:val="18"/>
                  <w:szCs w:val="18"/>
                  <w:color w:val="000000"/>
                </w:rPr>
                <w:t>).</w:t>
              </w:r>
            </w:hyperlink>
          </w:p>
        </w:tc>
        <w:tc>
          <w:tcPr>
            <w:tcW w:w="184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180" w:type="dxa"/>
            <w:vAlign w:val="bottom"/>
            <w:gridSpan w:val="2"/>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10.2A</w:t>
            </w:r>
          </w:p>
        </w:tc>
        <w:tc>
          <w:tcPr>
            <w:tcW w:w="8620" w:type="dxa"/>
            <w:vAlign w:val="bottom"/>
            <w:gridSpan w:val="25"/>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First Amendment to Lease dated March 7, 2017 between CPVF II West Oak LLC (as successor in interest to HUB</w:t>
            </w: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620" w:type="dxa"/>
            <w:vAlign w:val="bottom"/>
            <w:gridSpan w:val="25"/>
            <w:shd w:val="clear" w:color="auto" w:fill="BFE4FF"/>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 of GA, LLC) and MiMedx Group, Inc. (</w:t>
            </w:r>
            <w:hyperlink r:id="rId118">
              <w:r>
                <w:rPr>
                  <w:rFonts w:ascii="Times New Roman" w:cs="Times New Roman" w:eastAsia="Times New Roman" w:hAnsi="Times New Roman"/>
                  <w:sz w:val="18"/>
                  <w:szCs w:val="18"/>
                  <w:color w:val="0000FF"/>
                </w:rPr>
                <w:t>incorporated by reference to Exhibit 10.1 to the Registrant’s</w:t>
              </w:r>
            </w:hyperlink>
          </w:p>
        </w:tc>
        <w:tc>
          <w:tcPr>
            <w:tcW w:w="0" w:type="dxa"/>
            <w:vAlign w:val="bottom"/>
          </w:tcPr>
          <w:p>
            <w:pPr>
              <w:spacing w:after="0"/>
              <w:rPr>
                <w:sz w:val="1"/>
                <w:szCs w:val="1"/>
                <w:color w:val="auto"/>
              </w:rPr>
            </w:pPr>
          </w:p>
        </w:tc>
      </w:tr>
      <w:tr>
        <w:trPr>
          <w:trHeight w:val="156"/>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3960" w:type="dxa"/>
            <w:vAlign w:val="bottom"/>
            <w:tcBorders>
              <w:top w:val="single" w:sz="8" w:color="BFE4FF"/>
            </w:tcBorders>
            <w:gridSpan w:val="8"/>
            <w:shd w:val="clear" w:color="auto" w:fill="BFE4FF"/>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 xml:space="preserve">Current Report on </w:t>
              </w:r>
            </w:hyperlink>
            <w:hyperlink r:id="rId118">
              <w:r>
                <w:rPr>
                  <w:rFonts w:ascii="Times New Roman" w:cs="Times New Roman" w:eastAsia="Times New Roman" w:hAnsi="Times New Roman"/>
                  <w:sz w:val="18"/>
                  <w:szCs w:val="18"/>
                  <w:color w:val="0000FF"/>
                  <w:w w:val="99"/>
                </w:rPr>
                <w:t>Form 8-K filed on March 13, 2017</w:t>
              </w:r>
            </w:hyperlink>
            <w:r>
              <w:rPr>
                <w:rFonts w:ascii="Times New Roman" w:cs="Times New Roman" w:eastAsia="Times New Roman" w:hAnsi="Times New Roman"/>
                <w:sz w:val="18"/>
                <w:szCs w:val="18"/>
                <w:color w:val="000000"/>
                <w:w w:val="99"/>
              </w:rPr>
              <w:t>).</w:t>
            </w:r>
          </w:p>
        </w:tc>
        <w:tc>
          <w:tcPr>
            <w:tcW w:w="4620" w:type="dxa"/>
            <w:vAlign w:val="bottom"/>
            <w:tcBorders>
              <w:top w:val="single" w:sz="8" w:color="0000FF"/>
            </w:tcBorders>
            <w:gridSpan w:val="15"/>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60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800" w:type="dxa"/>
            <w:vAlign w:val="bottom"/>
            <w:tcBorders>
              <w:top w:val="single" w:sz="8" w:color="0000FF"/>
            </w:tcBorders>
            <w:shd w:val="clear" w:color="auto" w:fill="BFE4FF"/>
          </w:tcPr>
          <w:p>
            <w:pPr>
              <w:spacing w:after="0" w:line="20" w:lineRule="exact"/>
              <w:rPr>
                <w:sz w:val="1"/>
                <w:szCs w:val="1"/>
                <w:color w:val="auto"/>
              </w:rPr>
            </w:pPr>
          </w:p>
        </w:tc>
        <w:tc>
          <w:tcPr>
            <w:tcW w:w="70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5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134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tcBorders>
            <w:shd w:val="clear" w:color="auto" w:fill="BFE4FF"/>
          </w:tcPr>
          <w:p>
            <w:pPr>
              <w:spacing w:after="0" w:line="20" w:lineRule="exact"/>
              <w:rPr>
                <w:sz w:val="1"/>
                <w:szCs w:val="1"/>
                <w:color w:val="auto"/>
              </w:rPr>
            </w:pPr>
          </w:p>
        </w:tc>
        <w:tc>
          <w:tcPr>
            <w:tcW w:w="106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10.2B#</w:t>
            </w:r>
          </w:p>
        </w:tc>
        <w:tc>
          <w:tcPr>
            <w:tcW w:w="20" w:type="dxa"/>
            <w:vAlign w:val="bottom"/>
          </w:tcPr>
          <w:p>
            <w:pPr>
              <w:spacing w:after="0"/>
              <w:rPr>
                <w:sz w:val="17"/>
                <w:szCs w:val="17"/>
                <w:color w:val="auto"/>
              </w:rPr>
            </w:pPr>
          </w:p>
        </w:tc>
        <w:tc>
          <w:tcPr>
            <w:tcW w:w="8580" w:type="dxa"/>
            <w:vAlign w:val="bottom"/>
            <w:tcBorders>
              <w:bottom w:val="single" w:sz="8" w:color="0000FF"/>
            </w:tcBorders>
            <w:gridSpan w:val="23"/>
          </w:tcPr>
          <w:p>
            <w:pPr>
              <w:spacing w:after="0" w:line="202" w:lineRule="exact"/>
              <w:rPr>
                <w:sz w:val="20"/>
                <w:szCs w:val="20"/>
                <w:color w:val="auto"/>
              </w:rPr>
            </w:pPr>
            <w:r>
              <w:rPr>
                <w:rFonts w:ascii="Times New Roman" w:cs="Times New Roman" w:eastAsia="Times New Roman" w:hAnsi="Times New Roman"/>
                <w:sz w:val="18"/>
                <w:szCs w:val="18"/>
                <w:color w:val="0000FF"/>
                <w:w w:val="99"/>
              </w:rPr>
              <w:t>Second Amendment to Lease for real property and improvements located at 1775 West Oak Commons Court,Marietta,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52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Georgia between RE Fields, LLC, successor in interest to HUB Properties GA, LLC, and CPVF II West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54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Oak LLC, (“Landlord”), and MiMedx Group, Inc., (‘Tenant”) dated January 25, 2013, as amended</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March 7, 2017 (the “Lease”).</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62" w:right="1440"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10040" w:type="dxa"/>
            <w:vAlign w:val="bottom"/>
            <w:gridSpan w:val="4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5"/>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0040" w:type="dxa"/>
            <w:vAlign w:val="bottom"/>
            <w:gridSpan w:val="4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10.2C</w:t>
            </w:r>
          </w:p>
        </w:tc>
        <w:tc>
          <w:tcPr>
            <w:tcW w:w="220" w:type="dxa"/>
            <w:vAlign w:val="bottom"/>
            <w:tcBorders>
              <w:top w:val="single" w:sz="8" w:color="BFE4FF"/>
            </w:tcBorders>
            <w:shd w:val="clear" w:color="auto" w:fill="BFE4FF"/>
          </w:tcPr>
          <w:p>
            <w:pPr>
              <w:spacing w:after="0"/>
              <w:rPr>
                <w:sz w:val="16"/>
                <w:szCs w:val="16"/>
                <w:color w:val="auto"/>
              </w:rPr>
            </w:pPr>
          </w:p>
        </w:tc>
        <w:tc>
          <w:tcPr>
            <w:tcW w:w="20" w:type="dxa"/>
            <w:vAlign w:val="bottom"/>
            <w:tcBorders>
              <w:top w:val="single" w:sz="8" w:color="auto"/>
            </w:tcBorders>
            <w:shd w:val="clear" w:color="auto" w:fill="BFE4FF"/>
          </w:tcPr>
          <w:p>
            <w:pPr>
              <w:spacing w:after="0"/>
              <w:rPr>
                <w:sz w:val="16"/>
                <w:szCs w:val="16"/>
                <w:color w:val="auto"/>
              </w:rPr>
            </w:pPr>
          </w:p>
        </w:tc>
        <w:tc>
          <w:tcPr>
            <w:tcW w:w="8720" w:type="dxa"/>
            <w:vAlign w:val="bottom"/>
            <w:tcBorders>
              <w:top w:val="single" w:sz="8" w:color="auto"/>
              <w:right w:val="single" w:sz="8" w:color="BFE4FF"/>
            </w:tcBorders>
            <w:gridSpan w:val="42"/>
            <w:shd w:val="clear" w:color="auto" w:fill="BFE4FF"/>
          </w:tcPr>
          <w:p>
            <w:pPr>
              <w:spacing w:after="0" w:line="184" w:lineRule="exact"/>
              <w:rPr>
                <w:sz w:val="20"/>
                <w:szCs w:val="20"/>
                <w:color w:val="auto"/>
              </w:rPr>
            </w:pPr>
            <w:r>
              <w:rPr>
                <w:rFonts w:ascii="Times New Roman" w:cs="Times New Roman" w:eastAsia="Times New Roman" w:hAnsi="Times New Roman"/>
                <w:sz w:val="18"/>
                <w:szCs w:val="18"/>
                <w:color w:val="auto"/>
              </w:rPr>
              <w:t>Third Amendment to Lease made as of November 30, 2021 for real property and improvements located at 1775 West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6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20" w:type="dxa"/>
            <w:vAlign w:val="bottom"/>
            <w:shd w:val="clear" w:color="auto" w:fill="BFE4FF"/>
          </w:tcPr>
          <w:p>
            <w:pPr>
              <w:spacing w:after="0"/>
              <w:rPr>
                <w:sz w:val="15"/>
                <w:szCs w:val="15"/>
                <w:color w:val="auto"/>
              </w:rPr>
            </w:pPr>
          </w:p>
        </w:tc>
        <w:tc>
          <w:tcPr>
            <w:tcW w:w="8720" w:type="dxa"/>
            <w:vAlign w:val="bottom"/>
            <w:tcBorders>
              <w:right w:val="single" w:sz="8" w:color="BFE4FF"/>
            </w:tcBorders>
            <w:gridSpan w:val="42"/>
            <w:shd w:val="clear" w:color="auto" w:fill="BFE4FF"/>
          </w:tcPr>
          <w:p>
            <w:pPr>
              <w:spacing w:after="0" w:line="181" w:lineRule="exact"/>
              <w:rPr>
                <w:sz w:val="20"/>
                <w:szCs w:val="20"/>
                <w:color w:val="auto"/>
              </w:rPr>
            </w:pPr>
            <w:r>
              <w:rPr>
                <w:rFonts w:ascii="Times New Roman" w:cs="Times New Roman" w:eastAsia="Times New Roman" w:hAnsi="Times New Roman"/>
                <w:sz w:val="18"/>
                <w:szCs w:val="18"/>
                <w:color w:val="auto"/>
              </w:rPr>
              <w:t>Oak Commons Court, Marietta, Georgia between RE Fields, LLC, successor in interest to HUB Properties GA, LLC,</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20" w:type="dxa"/>
            <w:vAlign w:val="bottom"/>
            <w:shd w:val="clear" w:color="auto" w:fill="BFE4FF"/>
          </w:tcPr>
          <w:p>
            <w:pPr>
              <w:spacing w:after="0"/>
              <w:rPr>
                <w:sz w:val="15"/>
                <w:szCs w:val="15"/>
                <w:color w:val="auto"/>
              </w:rPr>
            </w:pPr>
          </w:p>
        </w:tc>
        <w:tc>
          <w:tcPr>
            <w:tcW w:w="8720" w:type="dxa"/>
            <w:vAlign w:val="bottom"/>
            <w:tcBorders>
              <w:right w:val="single" w:sz="8" w:color="BFE4FF"/>
            </w:tcBorders>
            <w:gridSpan w:val="42"/>
            <w:shd w:val="clear" w:color="auto" w:fill="BFE4FF"/>
          </w:tcPr>
          <w:p>
            <w:pPr>
              <w:spacing w:after="0" w:line="176" w:lineRule="exact"/>
              <w:rPr>
                <w:sz w:val="20"/>
                <w:szCs w:val="20"/>
                <w:color w:val="auto"/>
              </w:rPr>
            </w:pPr>
            <w:r>
              <w:rPr>
                <w:rFonts w:ascii="Times New Roman" w:cs="Times New Roman" w:eastAsia="Times New Roman" w:hAnsi="Times New Roman"/>
                <w:sz w:val="18"/>
                <w:szCs w:val="18"/>
                <w:color w:val="auto"/>
              </w:rPr>
              <w:t>and CPVF II West Oak LLC, and MiMedx Group, Inc., dated January 25, 2013, as amended March 7, 2017</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89" w:lineRule="exact"/>
              <w:rPr>
                <w:rFonts w:ascii="Times New Roman" w:cs="Times New Roman" w:eastAsia="Times New Roman" w:hAnsi="Times New Roman"/>
                <w:sz w:val="18"/>
                <w:szCs w:val="18"/>
                <w:color w:val="auto"/>
              </w:rPr>
            </w:pPr>
            <w:hyperlink r:id="rId121">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incorporated by reference to Exhibit 10.6 to the Registrant’s Annual Report on Form 10-K filed on February 28,</w:t>
              </w:r>
            </w:hyperlink>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BFE4FF"/>
            </w:tcBorders>
            <w:shd w:val="clear" w:color="auto" w:fill="BFE4FF"/>
          </w:tcPr>
          <w:p>
            <w:pPr>
              <w:spacing w:after="0"/>
              <w:rPr>
                <w:sz w:val="14"/>
                <w:szCs w:val="14"/>
                <w:color w:val="auto"/>
              </w:rPr>
            </w:pPr>
          </w:p>
        </w:tc>
        <w:tc>
          <w:tcPr>
            <w:tcW w:w="220" w:type="dxa"/>
            <w:vAlign w:val="bottom"/>
            <w:tcBorders>
              <w:top w:val="single" w:sz="8" w:color="BFE4FF"/>
            </w:tcBorders>
            <w:shd w:val="clear" w:color="auto" w:fill="BFE4FF"/>
          </w:tcPr>
          <w:p>
            <w:pPr>
              <w:spacing w:after="0"/>
              <w:rPr>
                <w:sz w:val="14"/>
                <w:szCs w:val="14"/>
                <w:color w:val="auto"/>
              </w:rPr>
            </w:pPr>
          </w:p>
        </w:tc>
        <w:tc>
          <w:tcPr>
            <w:tcW w:w="20" w:type="dxa"/>
            <w:vAlign w:val="bottom"/>
            <w:tcBorders>
              <w:top w:val="single" w:sz="8" w:color="BFE4FF"/>
            </w:tcBorders>
            <w:shd w:val="clear" w:color="auto" w:fill="BFE4FF"/>
          </w:tcPr>
          <w:p>
            <w:pPr>
              <w:spacing w:after="0"/>
              <w:rPr>
                <w:sz w:val="14"/>
                <w:szCs w:val="14"/>
                <w:color w:val="auto"/>
              </w:rPr>
            </w:pPr>
          </w:p>
        </w:tc>
        <w:tc>
          <w:tcPr>
            <w:tcW w:w="60" w:type="dxa"/>
            <w:vAlign w:val="bottom"/>
            <w:tcBorders>
              <w:top w:val="single" w:sz="8" w:color="BFE4FF"/>
            </w:tcBorders>
            <w:shd w:val="clear" w:color="auto" w:fill="BFE4FF"/>
          </w:tcPr>
          <w:p>
            <w:pPr>
              <w:spacing w:after="0"/>
              <w:rPr>
                <w:sz w:val="14"/>
                <w:szCs w:val="14"/>
                <w:color w:val="auto"/>
              </w:rPr>
            </w:pPr>
          </w:p>
        </w:tc>
        <w:tc>
          <w:tcPr>
            <w:tcW w:w="20" w:type="dxa"/>
            <w:vAlign w:val="bottom"/>
            <w:tcBorders>
              <w:top w:val="single" w:sz="8" w:color="BFE4FF"/>
            </w:tcBorders>
            <w:shd w:val="clear" w:color="auto" w:fill="BFE4FF"/>
          </w:tcPr>
          <w:p>
            <w:pPr>
              <w:spacing w:after="0"/>
              <w:rPr>
                <w:sz w:val="14"/>
                <w:szCs w:val="14"/>
                <w:color w:val="auto"/>
              </w:rPr>
            </w:pPr>
          </w:p>
        </w:tc>
        <w:tc>
          <w:tcPr>
            <w:tcW w:w="640" w:type="dxa"/>
            <w:vAlign w:val="bottom"/>
            <w:tcBorders>
              <w:top w:val="single" w:sz="8" w:color="0000FF"/>
            </w:tcBorders>
            <w:gridSpan w:val="2"/>
            <w:shd w:val="clear" w:color="auto" w:fill="BFE4FF"/>
          </w:tcPr>
          <w:p>
            <w:pPr>
              <w:jc w:val="right"/>
              <w:ind w:right="260"/>
              <w:spacing w:after="0" w:line="169" w:lineRule="exact"/>
              <w:rPr>
                <w:rFonts w:ascii="Times New Roman" w:cs="Times New Roman" w:eastAsia="Times New Roman" w:hAnsi="Times New Roman"/>
                <w:sz w:val="18"/>
                <w:szCs w:val="18"/>
                <w:color w:val="0000FF"/>
                <w:w w:val="77"/>
              </w:rPr>
            </w:pPr>
            <w:hyperlink r:id="rId121">
              <w:r>
                <w:rPr>
                  <w:rFonts w:ascii="Times New Roman" w:cs="Times New Roman" w:eastAsia="Times New Roman" w:hAnsi="Times New Roman"/>
                  <w:sz w:val="18"/>
                  <w:szCs w:val="18"/>
                  <w:color w:val="0000FF"/>
                  <w:w w:val="77"/>
                </w:rPr>
                <w:t>2022</w:t>
              </w:r>
              <w:r>
                <w:rPr>
                  <w:rFonts w:ascii="Times New Roman" w:cs="Times New Roman" w:eastAsia="Times New Roman" w:hAnsi="Times New Roman"/>
                  <w:sz w:val="18"/>
                  <w:szCs w:val="18"/>
                  <w:color w:val="000000"/>
                  <w:w w:val="77"/>
                </w:rPr>
                <w:t>).</w:t>
              </w:r>
            </w:hyperlink>
          </w:p>
        </w:tc>
        <w:tc>
          <w:tcPr>
            <w:tcW w:w="40" w:type="dxa"/>
            <w:vAlign w:val="bottom"/>
            <w:tcBorders>
              <w:top w:val="single" w:sz="8" w:color="0000FF"/>
            </w:tcBorders>
            <w:shd w:val="clear" w:color="auto" w:fill="BFE4FF"/>
          </w:tcPr>
          <w:p>
            <w:pPr>
              <w:spacing w:after="0"/>
              <w:rPr>
                <w:sz w:val="14"/>
                <w:szCs w:val="14"/>
                <w:color w:val="auto"/>
              </w:rPr>
            </w:pPr>
          </w:p>
        </w:tc>
        <w:tc>
          <w:tcPr>
            <w:tcW w:w="460" w:type="dxa"/>
            <w:vAlign w:val="bottom"/>
            <w:tcBorders>
              <w:top w:val="single" w:sz="8" w:color="0000FF"/>
            </w:tcBorders>
            <w:shd w:val="clear" w:color="auto" w:fill="BFE4FF"/>
          </w:tcPr>
          <w:p>
            <w:pPr>
              <w:spacing w:after="0"/>
              <w:rPr>
                <w:sz w:val="14"/>
                <w:szCs w:val="14"/>
                <w:color w:val="auto"/>
              </w:rPr>
            </w:pPr>
          </w:p>
        </w:tc>
        <w:tc>
          <w:tcPr>
            <w:tcW w:w="260" w:type="dxa"/>
            <w:vAlign w:val="bottom"/>
            <w:tcBorders>
              <w:top w:val="single" w:sz="8" w:color="0000FF"/>
            </w:tcBorders>
            <w:shd w:val="clear" w:color="auto" w:fill="BFE4FF"/>
          </w:tcPr>
          <w:p>
            <w:pPr>
              <w:spacing w:after="0"/>
              <w:rPr>
                <w:sz w:val="14"/>
                <w:szCs w:val="14"/>
                <w:color w:val="auto"/>
              </w:rPr>
            </w:pPr>
          </w:p>
        </w:tc>
        <w:tc>
          <w:tcPr>
            <w:tcW w:w="80" w:type="dxa"/>
            <w:vAlign w:val="bottom"/>
            <w:tcBorders>
              <w:top w:val="single" w:sz="8" w:color="0000FF"/>
            </w:tcBorders>
            <w:shd w:val="clear" w:color="auto" w:fill="BFE4FF"/>
          </w:tcPr>
          <w:p>
            <w:pPr>
              <w:spacing w:after="0"/>
              <w:rPr>
                <w:sz w:val="14"/>
                <w:szCs w:val="14"/>
                <w:color w:val="auto"/>
              </w:rPr>
            </w:pPr>
          </w:p>
        </w:tc>
        <w:tc>
          <w:tcPr>
            <w:tcW w:w="80" w:type="dxa"/>
            <w:vAlign w:val="bottom"/>
            <w:tcBorders>
              <w:top w:val="single" w:sz="8" w:color="0000FF"/>
            </w:tcBorders>
            <w:shd w:val="clear" w:color="auto" w:fill="BFE4FF"/>
          </w:tcPr>
          <w:p>
            <w:pPr>
              <w:spacing w:after="0"/>
              <w:rPr>
                <w:sz w:val="14"/>
                <w:szCs w:val="14"/>
                <w:color w:val="auto"/>
              </w:rPr>
            </w:pPr>
          </w:p>
        </w:tc>
        <w:tc>
          <w:tcPr>
            <w:tcW w:w="60" w:type="dxa"/>
            <w:vAlign w:val="bottom"/>
            <w:tcBorders>
              <w:top w:val="single" w:sz="8" w:color="0000FF"/>
            </w:tcBorders>
            <w:shd w:val="clear" w:color="auto" w:fill="BFE4FF"/>
          </w:tcPr>
          <w:p>
            <w:pPr>
              <w:spacing w:after="0"/>
              <w:rPr>
                <w:sz w:val="14"/>
                <w:szCs w:val="14"/>
                <w:color w:val="auto"/>
              </w:rPr>
            </w:pPr>
          </w:p>
        </w:tc>
        <w:tc>
          <w:tcPr>
            <w:tcW w:w="60" w:type="dxa"/>
            <w:vAlign w:val="bottom"/>
            <w:tcBorders>
              <w:top w:val="single" w:sz="8" w:color="0000FF"/>
            </w:tcBorders>
            <w:shd w:val="clear" w:color="auto" w:fill="BFE4FF"/>
          </w:tcPr>
          <w:p>
            <w:pPr>
              <w:spacing w:after="0"/>
              <w:rPr>
                <w:sz w:val="14"/>
                <w:szCs w:val="14"/>
                <w:color w:val="auto"/>
              </w:rPr>
            </w:pPr>
          </w:p>
        </w:tc>
        <w:tc>
          <w:tcPr>
            <w:tcW w:w="1360" w:type="dxa"/>
            <w:vAlign w:val="bottom"/>
            <w:tcBorders>
              <w:top w:val="single" w:sz="8" w:color="0000FF"/>
            </w:tcBorders>
            <w:shd w:val="clear" w:color="auto" w:fill="BFE4FF"/>
          </w:tcPr>
          <w:p>
            <w:pPr>
              <w:spacing w:after="0"/>
              <w:rPr>
                <w:sz w:val="14"/>
                <w:szCs w:val="14"/>
                <w:color w:val="auto"/>
              </w:rPr>
            </w:pPr>
          </w:p>
        </w:tc>
        <w:tc>
          <w:tcPr>
            <w:tcW w:w="320" w:type="dxa"/>
            <w:vAlign w:val="bottom"/>
            <w:tcBorders>
              <w:top w:val="single" w:sz="8" w:color="0000FF"/>
            </w:tcBorders>
            <w:shd w:val="clear" w:color="auto" w:fill="BFE4FF"/>
          </w:tcPr>
          <w:p>
            <w:pPr>
              <w:spacing w:after="0"/>
              <w:rPr>
                <w:sz w:val="14"/>
                <w:szCs w:val="14"/>
                <w:color w:val="auto"/>
              </w:rPr>
            </w:pPr>
          </w:p>
        </w:tc>
        <w:tc>
          <w:tcPr>
            <w:tcW w:w="140" w:type="dxa"/>
            <w:vAlign w:val="bottom"/>
            <w:tcBorders>
              <w:top w:val="single" w:sz="8" w:color="0000FF"/>
            </w:tcBorders>
            <w:shd w:val="clear" w:color="auto" w:fill="BFE4FF"/>
          </w:tcPr>
          <w:p>
            <w:pPr>
              <w:spacing w:after="0"/>
              <w:rPr>
                <w:sz w:val="14"/>
                <w:szCs w:val="14"/>
                <w:color w:val="auto"/>
              </w:rPr>
            </w:pPr>
          </w:p>
        </w:tc>
        <w:tc>
          <w:tcPr>
            <w:tcW w:w="160" w:type="dxa"/>
            <w:vAlign w:val="bottom"/>
            <w:tcBorders>
              <w:top w:val="single" w:sz="8" w:color="0000FF"/>
            </w:tcBorders>
            <w:shd w:val="clear" w:color="auto" w:fill="BFE4FF"/>
          </w:tcPr>
          <w:p>
            <w:pPr>
              <w:spacing w:after="0"/>
              <w:rPr>
                <w:sz w:val="14"/>
                <w:szCs w:val="14"/>
                <w:color w:val="auto"/>
              </w:rPr>
            </w:pPr>
          </w:p>
        </w:tc>
        <w:tc>
          <w:tcPr>
            <w:tcW w:w="960" w:type="dxa"/>
            <w:vAlign w:val="bottom"/>
            <w:tcBorders>
              <w:top w:val="single" w:sz="8" w:color="0000FF"/>
            </w:tcBorders>
            <w:shd w:val="clear" w:color="auto" w:fill="BFE4FF"/>
          </w:tcPr>
          <w:p>
            <w:pPr>
              <w:spacing w:after="0"/>
              <w:rPr>
                <w:sz w:val="14"/>
                <w:szCs w:val="14"/>
                <w:color w:val="auto"/>
              </w:rPr>
            </w:pPr>
          </w:p>
        </w:tc>
        <w:tc>
          <w:tcPr>
            <w:tcW w:w="140" w:type="dxa"/>
            <w:vAlign w:val="bottom"/>
            <w:tcBorders>
              <w:top w:val="single" w:sz="8" w:color="0000FF"/>
            </w:tcBorders>
            <w:shd w:val="clear" w:color="auto" w:fill="BFE4FF"/>
          </w:tcPr>
          <w:p>
            <w:pPr>
              <w:spacing w:after="0"/>
              <w:rPr>
                <w:sz w:val="14"/>
                <w:szCs w:val="14"/>
                <w:color w:val="auto"/>
              </w:rPr>
            </w:pPr>
          </w:p>
        </w:tc>
        <w:tc>
          <w:tcPr>
            <w:tcW w:w="280" w:type="dxa"/>
            <w:vAlign w:val="bottom"/>
            <w:tcBorders>
              <w:top w:val="single" w:sz="8" w:color="0000FF"/>
            </w:tcBorders>
            <w:shd w:val="clear" w:color="auto" w:fill="BFE4FF"/>
          </w:tcPr>
          <w:p>
            <w:pPr>
              <w:spacing w:after="0"/>
              <w:rPr>
                <w:sz w:val="14"/>
                <w:szCs w:val="14"/>
                <w:color w:val="auto"/>
              </w:rPr>
            </w:pPr>
          </w:p>
        </w:tc>
        <w:tc>
          <w:tcPr>
            <w:tcW w:w="80" w:type="dxa"/>
            <w:vAlign w:val="bottom"/>
            <w:tcBorders>
              <w:top w:val="single" w:sz="8" w:color="0000FF"/>
            </w:tcBorders>
            <w:shd w:val="clear" w:color="auto" w:fill="BFE4FF"/>
          </w:tcPr>
          <w:p>
            <w:pPr>
              <w:spacing w:after="0"/>
              <w:rPr>
                <w:sz w:val="14"/>
                <w:szCs w:val="14"/>
                <w:color w:val="auto"/>
              </w:rPr>
            </w:pPr>
          </w:p>
        </w:tc>
        <w:tc>
          <w:tcPr>
            <w:tcW w:w="30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480" w:type="dxa"/>
            <w:vAlign w:val="bottom"/>
            <w:tcBorders>
              <w:top w:val="single" w:sz="8" w:color="0000FF"/>
            </w:tcBorders>
            <w:shd w:val="clear" w:color="auto" w:fill="BFE4FF"/>
          </w:tcPr>
          <w:p>
            <w:pPr>
              <w:spacing w:after="0"/>
              <w:rPr>
                <w:sz w:val="14"/>
                <w:szCs w:val="14"/>
                <w:color w:val="auto"/>
              </w:rPr>
            </w:pPr>
          </w:p>
        </w:tc>
        <w:tc>
          <w:tcPr>
            <w:tcW w:w="120" w:type="dxa"/>
            <w:vAlign w:val="bottom"/>
            <w:tcBorders>
              <w:top w:val="single" w:sz="8" w:color="0000FF"/>
            </w:tcBorders>
            <w:shd w:val="clear" w:color="auto" w:fill="BFE4FF"/>
          </w:tcPr>
          <w:p>
            <w:pPr>
              <w:spacing w:after="0"/>
              <w:rPr>
                <w:sz w:val="14"/>
                <w:szCs w:val="14"/>
                <w:color w:val="auto"/>
              </w:rPr>
            </w:pPr>
          </w:p>
        </w:tc>
        <w:tc>
          <w:tcPr>
            <w:tcW w:w="220" w:type="dxa"/>
            <w:vAlign w:val="bottom"/>
            <w:tcBorders>
              <w:top w:val="single" w:sz="8" w:color="0000FF"/>
            </w:tcBorders>
            <w:shd w:val="clear" w:color="auto" w:fill="BFE4FF"/>
          </w:tcPr>
          <w:p>
            <w:pPr>
              <w:spacing w:after="0"/>
              <w:rPr>
                <w:sz w:val="14"/>
                <w:szCs w:val="14"/>
                <w:color w:val="auto"/>
              </w:rPr>
            </w:pPr>
          </w:p>
        </w:tc>
        <w:tc>
          <w:tcPr>
            <w:tcW w:w="60" w:type="dxa"/>
            <w:vAlign w:val="bottom"/>
            <w:tcBorders>
              <w:top w:val="single" w:sz="8" w:color="0000FF"/>
            </w:tcBorders>
            <w:shd w:val="clear" w:color="auto" w:fill="BFE4FF"/>
          </w:tcPr>
          <w:p>
            <w:pPr>
              <w:spacing w:after="0"/>
              <w:rPr>
                <w:sz w:val="14"/>
                <w:szCs w:val="14"/>
                <w:color w:val="auto"/>
              </w:rPr>
            </w:pPr>
          </w:p>
        </w:tc>
        <w:tc>
          <w:tcPr>
            <w:tcW w:w="1020" w:type="dxa"/>
            <w:vAlign w:val="bottom"/>
            <w:tcBorders>
              <w:top w:val="single" w:sz="8" w:color="0000FF"/>
            </w:tcBorders>
            <w:shd w:val="clear" w:color="auto" w:fill="BFE4FF"/>
          </w:tcPr>
          <w:p>
            <w:pPr>
              <w:spacing w:after="0"/>
              <w:rPr>
                <w:sz w:val="14"/>
                <w:szCs w:val="14"/>
                <w:color w:val="auto"/>
              </w:rPr>
            </w:pPr>
          </w:p>
        </w:tc>
        <w:tc>
          <w:tcPr>
            <w:tcW w:w="40" w:type="dxa"/>
            <w:vAlign w:val="bottom"/>
            <w:tcBorders>
              <w:top w:val="single" w:sz="8" w:color="0000FF"/>
            </w:tcBorders>
            <w:shd w:val="clear" w:color="auto" w:fill="BFE4FF"/>
          </w:tcPr>
          <w:p>
            <w:pPr>
              <w:spacing w:after="0"/>
              <w:rPr>
                <w:sz w:val="14"/>
                <w:szCs w:val="14"/>
                <w:color w:val="auto"/>
              </w:rPr>
            </w:pPr>
          </w:p>
        </w:tc>
        <w:tc>
          <w:tcPr>
            <w:tcW w:w="260" w:type="dxa"/>
            <w:vAlign w:val="bottom"/>
            <w:tcBorders>
              <w:top w:val="single" w:sz="8" w:color="0000FF"/>
            </w:tcBorders>
            <w:shd w:val="clear" w:color="auto" w:fill="BFE4FF"/>
          </w:tcPr>
          <w:p>
            <w:pPr>
              <w:spacing w:after="0"/>
              <w:rPr>
                <w:sz w:val="14"/>
                <w:szCs w:val="14"/>
                <w:color w:val="auto"/>
              </w:rPr>
            </w:pPr>
          </w:p>
        </w:tc>
        <w:tc>
          <w:tcPr>
            <w:tcW w:w="44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40" w:type="dxa"/>
            <w:vAlign w:val="bottom"/>
            <w:tcBorders>
              <w:top w:val="single" w:sz="8" w:color="0000FF"/>
            </w:tcBorders>
            <w:shd w:val="clear" w:color="auto" w:fill="BFE4FF"/>
          </w:tcPr>
          <w:p>
            <w:pPr>
              <w:spacing w:after="0"/>
              <w:rPr>
                <w:sz w:val="14"/>
                <w:szCs w:val="14"/>
                <w:color w:val="auto"/>
              </w:rPr>
            </w:pPr>
          </w:p>
        </w:tc>
        <w:tc>
          <w:tcPr>
            <w:tcW w:w="60" w:type="dxa"/>
            <w:vAlign w:val="bottom"/>
            <w:tcBorders>
              <w:top w:val="single" w:sz="8" w:color="0000FF"/>
            </w:tcBorders>
            <w:shd w:val="clear" w:color="auto" w:fill="BFE4FF"/>
          </w:tcPr>
          <w:p>
            <w:pPr>
              <w:spacing w:after="0"/>
              <w:rPr>
                <w:sz w:val="14"/>
                <w:szCs w:val="14"/>
                <w:color w:val="auto"/>
              </w:rPr>
            </w:pPr>
          </w:p>
        </w:tc>
        <w:tc>
          <w:tcPr>
            <w:tcW w:w="24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40" w:type="dxa"/>
            <w:vAlign w:val="bottom"/>
            <w:tcBorders>
              <w:top w:val="single" w:sz="8" w:color="BFE4FF"/>
              <w:right w:val="single" w:sz="8" w:color="BFE4FF"/>
            </w:tcBorders>
            <w:shd w:val="clear" w:color="auto" w:fill="BFE4FF"/>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3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6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10.2D#</w:t>
            </w:r>
          </w:p>
        </w:tc>
        <w:tc>
          <w:tcPr>
            <w:tcW w:w="20" w:type="dxa"/>
            <w:vAlign w:val="bottom"/>
          </w:tcPr>
          <w:p>
            <w:pPr>
              <w:spacing w:after="0"/>
              <w:rPr>
                <w:sz w:val="16"/>
                <w:szCs w:val="16"/>
                <w:color w:val="auto"/>
              </w:rPr>
            </w:pPr>
          </w:p>
        </w:tc>
        <w:tc>
          <w:tcPr>
            <w:tcW w:w="872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Fourth Amendment to Lease made as of January 26, 2024 between Georgia RE Fields, LLC, successor in interest to</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80" w:type="dxa"/>
            <w:vAlign w:val="bottom"/>
            <w:tcBorders>
              <w:top w:val="single" w:sz="8" w:color="0000FF"/>
            </w:tcBorders>
            <w:gridSpan w:val="41"/>
          </w:tcPr>
          <w:p>
            <w:pPr>
              <w:spacing w:after="0" w:line="169" w:lineRule="exact"/>
              <w:rPr>
                <w:sz w:val="20"/>
                <w:szCs w:val="20"/>
                <w:color w:val="auto"/>
              </w:rPr>
            </w:pPr>
            <w:r>
              <w:rPr>
                <w:rFonts w:ascii="Times New Roman" w:cs="Times New Roman" w:eastAsia="Times New Roman" w:hAnsi="Times New Roman"/>
                <w:sz w:val="18"/>
                <w:szCs w:val="18"/>
                <w:color w:val="0000FF"/>
              </w:rPr>
              <w:t>HUB Properties GA, LLC, and CPVF II West Oak LLC, and MiMedx Group, Inc., dated January 26, 2024.</w:t>
            </w: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84" w:lineRule="exact"/>
              <w:rPr>
                <w:sz w:val="20"/>
                <w:szCs w:val="20"/>
                <w:color w:val="auto"/>
              </w:rPr>
            </w:pPr>
            <w:r>
              <w:rPr>
                <w:rFonts w:ascii="Times New Roman" w:cs="Times New Roman" w:eastAsia="Times New Roman" w:hAnsi="Times New Roman"/>
                <w:sz w:val="18"/>
                <w:szCs w:val="18"/>
                <w:color w:val="auto"/>
              </w:rPr>
              <w:t>Securities Purchase Agreement, dated as of June 30, 2020, by and between MiMedx Group, Inc., Falcon Fund 2</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94"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Holding Company, L.P. and certain other investors (</w:t>
              </w:r>
              <w:r>
                <w:rPr>
                  <w:rFonts w:ascii="Times New Roman" w:cs="Times New Roman" w:eastAsia="Times New Roman" w:hAnsi="Times New Roman"/>
                  <w:sz w:val="18"/>
                  <w:szCs w:val="18"/>
                  <w:color w:val="0000FF"/>
                </w:rPr>
                <w:t>incorporated by reference to Exhibit 10.38 to the Registrant’s</w:t>
              </w:r>
            </w:hyperlink>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3740" w:type="dxa"/>
            <w:vAlign w:val="bottom"/>
            <w:tcBorders>
              <w:top w:val="single" w:sz="8" w:color="BFE4FF"/>
            </w:tcBorders>
            <w:gridSpan w:val="15"/>
            <w:shd w:val="clear" w:color="auto" w:fill="BFE4FF"/>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Annual Report on Form 10-K filed July 6, 2020</w:t>
              </w:r>
              <w:r>
                <w:rPr>
                  <w:rFonts w:ascii="Times New Roman" w:cs="Times New Roman" w:eastAsia="Times New Roman" w:hAnsi="Times New Roman"/>
                  <w:sz w:val="18"/>
                  <w:szCs w:val="18"/>
                  <w:color w:val="000000"/>
                </w:rPr>
                <w:t>).</w:t>
              </w:r>
            </w:hyperlink>
          </w:p>
        </w:tc>
        <w:tc>
          <w:tcPr>
            <w:tcW w:w="960" w:type="dxa"/>
            <w:vAlign w:val="bottom"/>
            <w:tcBorders>
              <w:top w:val="single" w:sz="8" w:color="0000FF"/>
            </w:tcBorders>
            <w:shd w:val="clear" w:color="auto" w:fill="BFE4FF"/>
          </w:tcPr>
          <w:p>
            <w:pPr>
              <w:spacing w:after="0"/>
              <w:rPr>
                <w:sz w:val="13"/>
                <w:szCs w:val="13"/>
                <w:color w:val="auto"/>
              </w:rPr>
            </w:pPr>
          </w:p>
        </w:tc>
        <w:tc>
          <w:tcPr>
            <w:tcW w:w="140" w:type="dxa"/>
            <w:vAlign w:val="bottom"/>
            <w:tcBorders>
              <w:top w:val="single" w:sz="8" w:color="0000FF"/>
            </w:tcBorders>
            <w:shd w:val="clear" w:color="auto" w:fill="BFE4FF"/>
          </w:tcPr>
          <w:p>
            <w:pPr>
              <w:spacing w:after="0"/>
              <w:rPr>
                <w:sz w:val="13"/>
                <w:szCs w:val="13"/>
                <w:color w:val="auto"/>
              </w:rPr>
            </w:pPr>
          </w:p>
        </w:tc>
        <w:tc>
          <w:tcPr>
            <w:tcW w:w="28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30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80" w:type="dxa"/>
            <w:vAlign w:val="bottom"/>
            <w:tcBorders>
              <w:top w:val="single" w:sz="8" w:color="0000FF"/>
            </w:tcBorders>
            <w:shd w:val="clear" w:color="auto" w:fill="BFE4FF"/>
          </w:tcPr>
          <w:p>
            <w:pPr>
              <w:spacing w:after="0"/>
              <w:rPr>
                <w:sz w:val="13"/>
                <w:szCs w:val="13"/>
                <w:color w:val="auto"/>
              </w:rPr>
            </w:pPr>
          </w:p>
        </w:tc>
        <w:tc>
          <w:tcPr>
            <w:tcW w:w="120" w:type="dxa"/>
            <w:vAlign w:val="bottom"/>
            <w:tcBorders>
              <w:top w:val="single" w:sz="8" w:color="0000FF"/>
            </w:tcBorders>
            <w:shd w:val="clear" w:color="auto" w:fill="BFE4FF"/>
          </w:tcPr>
          <w:p>
            <w:pPr>
              <w:spacing w:after="0"/>
              <w:rPr>
                <w:sz w:val="13"/>
                <w:szCs w:val="13"/>
                <w:color w:val="auto"/>
              </w:rPr>
            </w:pPr>
          </w:p>
        </w:tc>
        <w:tc>
          <w:tcPr>
            <w:tcW w:w="22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10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700" w:type="dxa"/>
            <w:vAlign w:val="bottom"/>
            <w:tcBorders>
              <w:top w:val="single" w:sz="8" w:color="0000FF"/>
            </w:tcBorders>
            <w:gridSpan w:val="2"/>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BFE4FF"/>
            </w:tcBorders>
            <w:shd w:val="clear" w:color="auto" w:fill="BFE4FF"/>
          </w:tcPr>
          <w:p>
            <w:pPr>
              <w:spacing w:after="0"/>
              <w:rPr>
                <w:sz w:val="13"/>
                <w:szCs w:val="13"/>
                <w:color w:val="auto"/>
              </w:rPr>
            </w:pPr>
          </w:p>
        </w:tc>
        <w:tc>
          <w:tcPr>
            <w:tcW w:w="60" w:type="dxa"/>
            <w:vAlign w:val="bottom"/>
            <w:tcBorders>
              <w:top w:val="single" w:sz="8" w:color="BFE4FF"/>
            </w:tcBorders>
            <w:shd w:val="clear" w:color="auto" w:fill="BFE4FF"/>
          </w:tcPr>
          <w:p>
            <w:pPr>
              <w:spacing w:after="0"/>
              <w:rPr>
                <w:sz w:val="13"/>
                <w:szCs w:val="13"/>
                <w:color w:val="auto"/>
              </w:rPr>
            </w:pPr>
          </w:p>
        </w:tc>
        <w:tc>
          <w:tcPr>
            <w:tcW w:w="24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60" w:type="dxa"/>
            <w:vAlign w:val="bottom"/>
            <w:tcBorders>
              <w:top w:val="single" w:sz="8" w:color="BFE4FF"/>
              <w:right w:val="single" w:sz="8" w:color="BFE4FF"/>
            </w:tcBorders>
            <w:gridSpan w:val="2"/>
            <w:shd w:val="clear" w:color="auto" w:fill="BFE4FF"/>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6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36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42"/>
          </w:tcPr>
          <w:p>
            <w:pPr>
              <w:spacing w:after="0" w:line="184" w:lineRule="exact"/>
              <w:rPr>
                <w:sz w:val="20"/>
                <w:szCs w:val="20"/>
                <w:color w:val="auto"/>
              </w:rPr>
            </w:pPr>
            <w:r>
              <w:rPr>
                <w:rFonts w:ascii="Times New Roman" w:cs="Times New Roman" w:eastAsia="Times New Roman" w:hAnsi="Times New Roman"/>
                <w:sz w:val="18"/>
                <w:szCs w:val="18"/>
                <w:color w:val="auto"/>
              </w:rPr>
              <w:t>Registration Rights Agreement dated as of July 2, 2020, by and between MiMedx Group, Inc. and Falcon Fund 2</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43"/>
          </w:tcPr>
          <w:p>
            <w:pPr>
              <w:spacing w:after="0" w:line="194" w:lineRule="exact"/>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 xml:space="preserve">Holding Company, L.P. </w:t>
              </w:r>
              <w:r>
                <w:rPr>
                  <w:rFonts w:ascii="Times New Roman" w:cs="Times New Roman" w:eastAsia="Times New Roman" w:hAnsi="Times New Roman"/>
                  <w:sz w:val="18"/>
                  <w:szCs w:val="18"/>
                  <w:color w:val="0000FF"/>
                </w:rPr>
                <w:t>(incorporated by reference to Exhibit 10.39 to the Registrant’s Annual Report on Form 10-K</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gridSpan w:val="11"/>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filed on July 6, 2020</w:t>
              </w:r>
              <w:r>
                <w:rPr>
                  <w:rFonts w:ascii="Times New Roman" w:cs="Times New Roman" w:eastAsia="Times New Roman" w:hAnsi="Times New Roman"/>
                  <w:sz w:val="18"/>
                  <w:szCs w:val="18"/>
                  <w:color w:val="000000"/>
                </w:rPr>
                <w:t>).</w:t>
              </w:r>
            </w:hyperlink>
          </w:p>
        </w:tc>
        <w:tc>
          <w:tcPr>
            <w:tcW w:w="13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gridSpan w:val="2"/>
          </w:tcPr>
          <w:p>
            <w:pPr>
              <w:spacing w:after="0"/>
              <w:rPr>
                <w:sz w:val="13"/>
                <w:szCs w:val="13"/>
                <w:color w:val="auto"/>
              </w:rPr>
            </w:pPr>
          </w:p>
        </w:tc>
        <w:tc>
          <w:tcPr>
            <w:tcW w:w="112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84" w:lineRule="exact"/>
              <w:rPr>
                <w:sz w:val="20"/>
                <w:szCs w:val="20"/>
                <w:color w:val="auto"/>
              </w:rPr>
            </w:pPr>
            <w:r>
              <w:rPr>
                <w:rFonts w:ascii="Times New Roman" w:cs="Times New Roman" w:eastAsia="Times New Roman" w:hAnsi="Times New Roman"/>
                <w:sz w:val="18"/>
                <w:szCs w:val="18"/>
                <w:color w:val="auto"/>
              </w:rPr>
              <w:t>MiMedx Group, Inc. Assumed 2006 Stock Incentive Plan, as amended and restated effective February 25, 2014</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24">
              <w:r>
                <w:rPr>
                  <w:rFonts w:ascii="Times New Roman" w:cs="Times New Roman" w:eastAsia="Times New Roman" w:hAnsi="Times New Roman"/>
                  <w:sz w:val="18"/>
                  <w:szCs w:val="18"/>
                  <w:color w:val="0000FF"/>
                </w:rPr>
                <w:t xml:space="preserve">incorporated by reference to Exhibit 10.2 to the Registrant’s </w:t>
              </w:r>
            </w:hyperlink>
            <w:hyperlink r:id="rId119">
              <w:r>
                <w:rPr>
                  <w:rFonts w:ascii="Times New Roman" w:cs="Times New Roman" w:eastAsia="Times New Roman" w:hAnsi="Times New Roman"/>
                  <w:sz w:val="18"/>
                  <w:szCs w:val="18"/>
                  <w:color w:val="auto"/>
                </w:rPr>
                <w:t xml:space="preserve">Current </w:t>
              </w:r>
              <w:r>
                <w:rPr>
                  <w:rFonts w:ascii="Times New Roman" w:cs="Times New Roman" w:eastAsia="Times New Roman" w:hAnsi="Times New Roman"/>
                  <w:sz w:val="18"/>
                  <w:szCs w:val="18"/>
                  <w:color w:val="0000FF"/>
                </w:rPr>
                <w:t xml:space="preserve">Report on </w:t>
              </w:r>
            </w:hyperlink>
            <w:hyperlink r:id="rId124">
              <w:r>
                <w:rPr>
                  <w:rFonts w:ascii="Times New Roman" w:cs="Times New Roman" w:eastAsia="Times New Roman" w:hAnsi="Times New Roman"/>
                  <w:sz w:val="18"/>
                  <w:szCs w:val="18"/>
                  <w:color w:val="auto"/>
                </w:rPr>
                <w:t xml:space="preserve">Form </w:t>
              </w:r>
              <w:r>
                <w:rPr>
                  <w:rFonts w:ascii="Times New Roman" w:cs="Times New Roman" w:eastAsia="Times New Roman" w:hAnsi="Times New Roman"/>
                  <w:sz w:val="18"/>
                  <w:szCs w:val="18"/>
                  <w:color w:val="0000FF"/>
                </w:rPr>
                <w:t>8-K filed on March 3, 2014</w:t>
              </w:r>
            </w:hyperlink>
            <w:r>
              <w:rPr>
                <w:rFonts w:ascii="Times New Roman" w:cs="Times New Roman" w:eastAsia="Times New Roman" w:hAnsi="Times New Roman"/>
                <w:sz w:val="18"/>
                <w:szCs w:val="18"/>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6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36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14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960" w:type="dxa"/>
            <w:vAlign w:val="bottom"/>
            <w:tcBorders>
              <w:top w:val="single" w:sz="8" w:color="0000FF"/>
            </w:tcBorders>
            <w:shd w:val="clear" w:color="auto" w:fill="BFE4FF"/>
          </w:tcPr>
          <w:p>
            <w:pPr>
              <w:spacing w:after="0" w:line="20" w:lineRule="exact"/>
              <w:rPr>
                <w:sz w:val="1"/>
                <w:szCs w:val="1"/>
                <w:color w:val="auto"/>
              </w:rPr>
            </w:pPr>
          </w:p>
        </w:tc>
        <w:tc>
          <w:tcPr>
            <w:tcW w:w="1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3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1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0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44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42"/>
          </w:tcPr>
          <w:p>
            <w:pPr>
              <w:spacing w:after="0" w:line="184" w:lineRule="exact"/>
              <w:rPr>
                <w:sz w:val="20"/>
                <w:szCs w:val="20"/>
                <w:color w:val="auto"/>
              </w:rPr>
            </w:pPr>
            <w:r>
              <w:rPr>
                <w:rFonts w:ascii="Times New Roman" w:cs="Times New Roman" w:eastAsia="Times New Roman" w:hAnsi="Times New Roman"/>
                <w:sz w:val="18"/>
                <w:szCs w:val="18"/>
                <w:color w:val="auto"/>
              </w:rPr>
              <w:t>Form of Incentive Stock Option Agreement under the MiMedx Group, Inc. Assumed 2006 Stock Incentive Plan</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43"/>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25">
              <w:r>
                <w:rPr>
                  <w:rFonts w:ascii="Times New Roman" w:cs="Times New Roman" w:eastAsia="Times New Roman" w:hAnsi="Times New Roman"/>
                  <w:sz w:val="18"/>
                  <w:szCs w:val="18"/>
                  <w:color w:val="0000FF"/>
                </w:rPr>
                <w:t>incorporated by reference to Exhibit 10.4 to the Registrant’s Annual Report on Form 10-K filed on March 4, 2014)</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84" w:lineRule="exact"/>
              <w:rPr>
                <w:sz w:val="20"/>
                <w:szCs w:val="20"/>
                <w:color w:val="auto"/>
              </w:rPr>
            </w:pPr>
            <w:r>
              <w:rPr>
                <w:rFonts w:ascii="Times New Roman" w:cs="Times New Roman" w:eastAsia="Times New Roman" w:hAnsi="Times New Roman"/>
                <w:sz w:val="18"/>
                <w:szCs w:val="18"/>
                <w:color w:val="auto"/>
              </w:rPr>
              <w:t>Form of Nonqualified Stock Option Agreement under the MiMedx Group, Inc. Assumed 2006 Stock Incentive Plan</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26">
              <w:r>
                <w:rPr>
                  <w:rFonts w:ascii="Times New Roman" w:cs="Times New Roman" w:eastAsia="Times New Roman" w:hAnsi="Times New Roman"/>
                  <w:sz w:val="18"/>
                  <w:szCs w:val="18"/>
                  <w:color w:val="0000FF"/>
                </w:rPr>
                <w:t>incorporated by reference to Exhibit 10.5 to the Registrant’s Annual Report on Form 10-K filed on March 4, 2014</w:t>
              </w:r>
            </w:hyperlink>
            <w:r>
              <w:rPr>
                <w:rFonts w:ascii="Times New Roman" w:cs="Times New Roman" w:eastAsia="Times New Roman" w:hAnsi="Times New Roman"/>
                <w:sz w:val="18"/>
                <w:szCs w:val="18"/>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6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36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14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960" w:type="dxa"/>
            <w:vAlign w:val="bottom"/>
            <w:tcBorders>
              <w:top w:val="single" w:sz="8" w:color="0000FF"/>
            </w:tcBorders>
            <w:shd w:val="clear" w:color="auto" w:fill="BFE4FF"/>
          </w:tcPr>
          <w:p>
            <w:pPr>
              <w:spacing w:after="0" w:line="20" w:lineRule="exact"/>
              <w:rPr>
                <w:sz w:val="1"/>
                <w:szCs w:val="1"/>
                <w:color w:val="auto"/>
              </w:rPr>
            </w:pPr>
          </w:p>
        </w:tc>
        <w:tc>
          <w:tcPr>
            <w:tcW w:w="1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3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1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0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44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42"/>
          </w:tcPr>
          <w:p>
            <w:pPr>
              <w:spacing w:after="0" w:line="184" w:lineRule="exact"/>
              <w:rPr>
                <w:sz w:val="20"/>
                <w:szCs w:val="20"/>
                <w:color w:val="auto"/>
              </w:rPr>
            </w:pPr>
            <w:r>
              <w:rPr>
                <w:rFonts w:ascii="Times New Roman" w:cs="Times New Roman" w:eastAsia="Times New Roman" w:hAnsi="Times New Roman"/>
                <w:sz w:val="18"/>
                <w:szCs w:val="18"/>
                <w:color w:val="auto"/>
              </w:rPr>
              <w:t>Form of Restricted Stock Agreement for Non-Employee Directors under the MiMedx Group, Inc. 2006 Assumed</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43"/>
          </w:tcPr>
          <w:p>
            <w:pPr>
              <w:spacing w:after="0" w:line="194" w:lineRule="exact"/>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Stock Incentive Plan (</w:t>
              </w:r>
              <w:r>
                <w:rPr>
                  <w:rFonts w:ascii="Times New Roman" w:cs="Times New Roman" w:eastAsia="Times New Roman" w:hAnsi="Times New Roman"/>
                  <w:sz w:val="18"/>
                  <w:szCs w:val="18"/>
                  <w:color w:val="0000FF"/>
                </w:rPr>
                <w:t>incorporated by reference to Exhibit 10.66 to the Registrant’s Quarterly Report on Form 10-Q</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9"/>
          </w:tcPr>
          <w:p>
            <w:pPr>
              <w:spacing w:after="0" w:line="156" w:lineRule="exact"/>
              <w:rPr>
                <w:rFonts w:ascii="Times New Roman" w:cs="Times New Roman" w:eastAsia="Times New Roman" w:hAnsi="Times New Roman"/>
                <w:sz w:val="18"/>
                <w:szCs w:val="18"/>
                <w:color w:val="0000FF"/>
                <w:w w:val="94"/>
              </w:rPr>
            </w:pPr>
            <w:hyperlink r:id="rId127">
              <w:r>
                <w:rPr>
                  <w:rFonts w:ascii="Times New Roman" w:cs="Times New Roman" w:eastAsia="Times New Roman" w:hAnsi="Times New Roman"/>
                  <w:sz w:val="18"/>
                  <w:szCs w:val="18"/>
                  <w:color w:val="0000FF"/>
                  <w:w w:val="94"/>
                </w:rPr>
                <w:t>filed on August 8, 2013</w:t>
              </w:r>
            </w:hyperlink>
          </w:p>
        </w:tc>
        <w:tc>
          <w:tcPr>
            <w:tcW w:w="1480" w:type="dxa"/>
            <w:vAlign w:val="bottom"/>
            <w:tcBorders>
              <w:top w:val="single" w:sz="8" w:color="0000FF"/>
            </w:tcBorders>
            <w:gridSpan w:val="3"/>
          </w:tcPr>
          <w:p>
            <w:pPr>
              <w:jc w:val="right"/>
              <w:ind w:right="1320"/>
              <w:spacing w:after="0" w:line="156" w:lineRule="exact"/>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w:t>
              </w:r>
            </w:hyperlink>
          </w:p>
        </w:tc>
        <w:tc>
          <w:tcPr>
            <w:tcW w:w="460" w:type="dxa"/>
            <w:vAlign w:val="bottom"/>
            <w:tcBorders>
              <w:top w:val="single" w:sz="8" w:color="0000FF"/>
            </w:tcBorders>
            <w:gridSpan w:val="2"/>
          </w:tcPr>
          <w:p>
            <w:pPr>
              <w:spacing w:after="0"/>
              <w:rPr>
                <w:sz w:val="13"/>
                <w:szCs w:val="13"/>
                <w:color w:val="auto"/>
              </w:rPr>
            </w:pPr>
          </w:p>
        </w:tc>
        <w:tc>
          <w:tcPr>
            <w:tcW w:w="112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gridSpan w:val="3"/>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34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10.9*</w:t>
            </w: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84" w:lineRule="exact"/>
              <w:rPr>
                <w:sz w:val="20"/>
                <w:szCs w:val="20"/>
                <w:color w:val="auto"/>
              </w:rPr>
            </w:pPr>
            <w:r>
              <w:rPr>
                <w:rFonts w:ascii="Times New Roman" w:cs="Times New Roman" w:eastAsia="Times New Roman" w:hAnsi="Times New Roman"/>
                <w:sz w:val="18"/>
                <w:szCs w:val="18"/>
                <w:color w:val="auto"/>
              </w:rPr>
              <w:t>Form of Restricted Stock Agreement under the MiMedx Group, Inc. 2006 Assumed Stock Incentive Plan</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28">
              <w:r>
                <w:rPr>
                  <w:rFonts w:ascii="Times New Roman" w:cs="Times New Roman" w:eastAsia="Times New Roman" w:hAnsi="Times New Roman"/>
                  <w:sz w:val="18"/>
                  <w:szCs w:val="18"/>
                  <w:color w:val="0000FF"/>
                </w:rPr>
                <w:t>incorporated by reference to Exhibit 10.3 to the Registrant’s Annual Report on Form 10-K filed on March 4, 2014</w:t>
              </w:r>
            </w:hyperlink>
            <w:r>
              <w:rPr>
                <w:rFonts w:ascii="Times New Roman" w:cs="Times New Roman" w:eastAsia="Times New Roman" w:hAnsi="Times New Roman"/>
                <w:sz w:val="18"/>
                <w:szCs w:val="18"/>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6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36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14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960" w:type="dxa"/>
            <w:vAlign w:val="bottom"/>
            <w:tcBorders>
              <w:top w:val="single" w:sz="8" w:color="0000FF"/>
            </w:tcBorders>
            <w:shd w:val="clear" w:color="auto" w:fill="BFE4FF"/>
          </w:tcPr>
          <w:p>
            <w:pPr>
              <w:spacing w:after="0" w:line="20" w:lineRule="exact"/>
              <w:rPr>
                <w:sz w:val="1"/>
                <w:szCs w:val="1"/>
                <w:color w:val="auto"/>
              </w:rPr>
            </w:pPr>
          </w:p>
        </w:tc>
        <w:tc>
          <w:tcPr>
            <w:tcW w:w="1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3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1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0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44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42"/>
          </w:tcPr>
          <w:p>
            <w:pPr>
              <w:spacing w:after="0" w:line="189"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 xml:space="preserve">2016 Equity and Cash Incentive Plan, as amended and restated through May 2, 2023 </w:t>
              </w:r>
              <w:r>
                <w:rPr>
                  <w:rFonts w:ascii="Times New Roman" w:cs="Times New Roman" w:eastAsia="Times New Roman" w:hAnsi="Times New Roman"/>
                  <w:sz w:val="18"/>
                  <w:szCs w:val="18"/>
                  <w:color w:val="0000FF"/>
                </w:rPr>
                <w:t>(incorporated by reference to</w:t>
              </w:r>
            </w:hyperlink>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20" w:type="dxa"/>
            <w:vAlign w:val="bottom"/>
            <w:gridSpan w:val="23"/>
          </w:tcPr>
          <w:p>
            <w:pPr>
              <w:spacing w:after="0" w:line="169"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Exhibit 10.1 to the Registrant’s Current Report on Form 8-K filed on June 14, 2023</w:t>
              </w:r>
              <w:r>
                <w:rPr>
                  <w:rFonts w:ascii="Times New Roman" w:cs="Times New Roman" w:eastAsia="Times New Roman" w:hAnsi="Times New Roman"/>
                  <w:sz w:val="18"/>
                  <w:szCs w:val="18"/>
                  <w:color w:val="000000"/>
                  <w:w w:val="99"/>
                </w:rPr>
                <w:t>).</w:t>
              </w:r>
            </w:hyperlink>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gridSpan w:val="3"/>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3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10.11*</w:t>
            </w: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84" w:lineRule="exact"/>
              <w:rPr>
                <w:sz w:val="20"/>
                <w:szCs w:val="20"/>
                <w:color w:val="auto"/>
              </w:rPr>
            </w:pPr>
            <w:r>
              <w:rPr>
                <w:rFonts w:ascii="Times New Roman" w:cs="Times New Roman" w:eastAsia="Times New Roman" w:hAnsi="Times New Roman"/>
                <w:sz w:val="18"/>
                <w:szCs w:val="18"/>
                <w:color w:val="auto"/>
              </w:rPr>
              <w:t>Form of Incentive Stock Option Agreement under the MiMedx Group, Inc. 2016 Equity and Cash Incentive Plan</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94" w:lineRule="exact"/>
              <w:rPr>
                <w:rFonts w:ascii="Times New Roman" w:cs="Times New Roman" w:eastAsia="Times New Roman" w:hAnsi="Times New Roman"/>
                <w:sz w:val="18"/>
                <w:szCs w:val="18"/>
                <w:color w:val="auto"/>
              </w:rPr>
            </w:pPr>
            <w:hyperlink r:id="rId130">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incorporated by reference to Exhibit 10.2 to the Registrant’s Quarterly Report on Form 10-Q filed on August 2,</w:t>
              </w:r>
            </w:hyperlink>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80" w:type="dxa"/>
            <w:vAlign w:val="bottom"/>
            <w:tcBorders>
              <w:top w:val="single" w:sz="8" w:color="BFE4FF"/>
            </w:tcBorders>
            <w:gridSpan w:val="2"/>
            <w:shd w:val="clear" w:color="auto" w:fill="BFE4FF"/>
          </w:tcPr>
          <w:p>
            <w:pPr>
              <w:spacing w:after="0"/>
              <w:rPr>
                <w:sz w:val="13"/>
                <w:szCs w:val="13"/>
                <w:color w:val="auto"/>
              </w:rPr>
            </w:pPr>
          </w:p>
        </w:tc>
        <w:tc>
          <w:tcPr>
            <w:tcW w:w="640" w:type="dxa"/>
            <w:vAlign w:val="bottom"/>
            <w:tcBorders>
              <w:top w:val="single" w:sz="8" w:color="0000FF"/>
            </w:tcBorders>
            <w:gridSpan w:val="2"/>
            <w:shd w:val="clear" w:color="auto" w:fill="BFE4FF"/>
          </w:tcPr>
          <w:p>
            <w:pPr>
              <w:jc w:val="right"/>
              <w:ind w:right="260"/>
              <w:spacing w:after="0" w:line="156" w:lineRule="exact"/>
              <w:rPr>
                <w:rFonts w:ascii="Times New Roman" w:cs="Times New Roman" w:eastAsia="Times New Roman" w:hAnsi="Times New Roman"/>
                <w:sz w:val="18"/>
                <w:szCs w:val="18"/>
                <w:color w:val="0000FF"/>
                <w:w w:val="77"/>
              </w:rPr>
            </w:pPr>
            <w:hyperlink r:id="rId130">
              <w:r>
                <w:rPr>
                  <w:rFonts w:ascii="Times New Roman" w:cs="Times New Roman" w:eastAsia="Times New Roman" w:hAnsi="Times New Roman"/>
                  <w:sz w:val="18"/>
                  <w:szCs w:val="18"/>
                  <w:color w:val="0000FF"/>
                  <w:w w:val="77"/>
                </w:rPr>
                <w:t>2016</w:t>
              </w:r>
              <w:r>
                <w:rPr>
                  <w:rFonts w:ascii="Times New Roman" w:cs="Times New Roman" w:eastAsia="Times New Roman" w:hAnsi="Times New Roman"/>
                  <w:sz w:val="18"/>
                  <w:szCs w:val="18"/>
                  <w:color w:val="000000"/>
                  <w:w w:val="77"/>
                </w:rPr>
                <w:t>).</w:t>
              </w:r>
            </w:hyperlink>
          </w:p>
        </w:tc>
        <w:tc>
          <w:tcPr>
            <w:tcW w:w="40" w:type="dxa"/>
            <w:vAlign w:val="bottom"/>
            <w:tcBorders>
              <w:top w:val="single" w:sz="8" w:color="0000FF"/>
            </w:tcBorders>
            <w:shd w:val="clear" w:color="auto" w:fill="BFE4FF"/>
          </w:tcPr>
          <w:p>
            <w:pPr>
              <w:spacing w:after="0"/>
              <w:rPr>
                <w:sz w:val="13"/>
                <w:szCs w:val="13"/>
                <w:color w:val="auto"/>
              </w:rPr>
            </w:pPr>
          </w:p>
        </w:tc>
        <w:tc>
          <w:tcPr>
            <w:tcW w:w="460" w:type="dxa"/>
            <w:vAlign w:val="bottom"/>
            <w:tcBorders>
              <w:top w:val="single" w:sz="8" w:color="0000FF"/>
            </w:tcBorders>
            <w:shd w:val="clear" w:color="auto" w:fill="BFE4FF"/>
          </w:tcPr>
          <w:p>
            <w:pPr>
              <w:spacing w:after="0"/>
              <w:rPr>
                <w:sz w:val="13"/>
                <w:szCs w:val="13"/>
                <w:color w:val="auto"/>
              </w:rPr>
            </w:pPr>
          </w:p>
        </w:tc>
        <w:tc>
          <w:tcPr>
            <w:tcW w:w="26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1360" w:type="dxa"/>
            <w:vAlign w:val="bottom"/>
            <w:tcBorders>
              <w:top w:val="single" w:sz="8" w:color="0000FF"/>
            </w:tcBorders>
            <w:shd w:val="clear" w:color="auto" w:fill="BFE4FF"/>
          </w:tcPr>
          <w:p>
            <w:pPr>
              <w:spacing w:after="0"/>
              <w:rPr>
                <w:sz w:val="13"/>
                <w:szCs w:val="13"/>
                <w:color w:val="auto"/>
              </w:rPr>
            </w:pPr>
          </w:p>
        </w:tc>
        <w:tc>
          <w:tcPr>
            <w:tcW w:w="320" w:type="dxa"/>
            <w:vAlign w:val="bottom"/>
            <w:tcBorders>
              <w:top w:val="single" w:sz="8" w:color="0000FF"/>
            </w:tcBorders>
            <w:shd w:val="clear" w:color="auto" w:fill="BFE4FF"/>
          </w:tcPr>
          <w:p>
            <w:pPr>
              <w:spacing w:after="0"/>
              <w:rPr>
                <w:sz w:val="13"/>
                <w:szCs w:val="13"/>
                <w:color w:val="auto"/>
              </w:rPr>
            </w:pPr>
          </w:p>
        </w:tc>
        <w:tc>
          <w:tcPr>
            <w:tcW w:w="140" w:type="dxa"/>
            <w:vAlign w:val="bottom"/>
            <w:tcBorders>
              <w:top w:val="single" w:sz="8" w:color="0000FF"/>
            </w:tcBorders>
            <w:shd w:val="clear" w:color="auto" w:fill="BFE4FF"/>
          </w:tcPr>
          <w:p>
            <w:pPr>
              <w:spacing w:after="0"/>
              <w:rPr>
                <w:sz w:val="13"/>
                <w:szCs w:val="13"/>
                <w:color w:val="auto"/>
              </w:rPr>
            </w:pPr>
          </w:p>
        </w:tc>
        <w:tc>
          <w:tcPr>
            <w:tcW w:w="160" w:type="dxa"/>
            <w:vAlign w:val="bottom"/>
            <w:tcBorders>
              <w:top w:val="single" w:sz="8" w:color="0000FF"/>
            </w:tcBorders>
            <w:shd w:val="clear" w:color="auto" w:fill="BFE4FF"/>
          </w:tcPr>
          <w:p>
            <w:pPr>
              <w:spacing w:after="0"/>
              <w:rPr>
                <w:sz w:val="13"/>
                <w:szCs w:val="13"/>
                <w:color w:val="auto"/>
              </w:rPr>
            </w:pPr>
          </w:p>
        </w:tc>
        <w:tc>
          <w:tcPr>
            <w:tcW w:w="960" w:type="dxa"/>
            <w:vAlign w:val="bottom"/>
            <w:tcBorders>
              <w:top w:val="single" w:sz="8" w:color="0000FF"/>
            </w:tcBorders>
            <w:shd w:val="clear" w:color="auto" w:fill="BFE4FF"/>
          </w:tcPr>
          <w:p>
            <w:pPr>
              <w:spacing w:after="0"/>
              <w:rPr>
                <w:sz w:val="13"/>
                <w:szCs w:val="13"/>
                <w:color w:val="auto"/>
              </w:rPr>
            </w:pPr>
          </w:p>
        </w:tc>
        <w:tc>
          <w:tcPr>
            <w:tcW w:w="140" w:type="dxa"/>
            <w:vAlign w:val="bottom"/>
            <w:tcBorders>
              <w:top w:val="single" w:sz="8" w:color="0000FF"/>
            </w:tcBorders>
            <w:shd w:val="clear" w:color="auto" w:fill="BFE4FF"/>
          </w:tcPr>
          <w:p>
            <w:pPr>
              <w:spacing w:after="0"/>
              <w:rPr>
                <w:sz w:val="13"/>
                <w:szCs w:val="13"/>
                <w:color w:val="auto"/>
              </w:rPr>
            </w:pPr>
          </w:p>
        </w:tc>
        <w:tc>
          <w:tcPr>
            <w:tcW w:w="28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30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80" w:type="dxa"/>
            <w:vAlign w:val="bottom"/>
            <w:tcBorders>
              <w:top w:val="single" w:sz="8" w:color="0000FF"/>
            </w:tcBorders>
            <w:shd w:val="clear" w:color="auto" w:fill="BFE4FF"/>
          </w:tcPr>
          <w:p>
            <w:pPr>
              <w:spacing w:after="0"/>
              <w:rPr>
                <w:sz w:val="13"/>
                <w:szCs w:val="13"/>
                <w:color w:val="auto"/>
              </w:rPr>
            </w:pPr>
          </w:p>
        </w:tc>
        <w:tc>
          <w:tcPr>
            <w:tcW w:w="120" w:type="dxa"/>
            <w:vAlign w:val="bottom"/>
            <w:tcBorders>
              <w:top w:val="single" w:sz="8" w:color="0000FF"/>
            </w:tcBorders>
            <w:shd w:val="clear" w:color="auto" w:fill="BFE4FF"/>
          </w:tcPr>
          <w:p>
            <w:pPr>
              <w:spacing w:after="0"/>
              <w:rPr>
                <w:sz w:val="13"/>
                <w:szCs w:val="13"/>
                <w:color w:val="auto"/>
              </w:rPr>
            </w:pPr>
          </w:p>
        </w:tc>
        <w:tc>
          <w:tcPr>
            <w:tcW w:w="22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10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260" w:type="dxa"/>
            <w:vAlign w:val="bottom"/>
            <w:tcBorders>
              <w:top w:val="single" w:sz="8" w:color="0000FF"/>
            </w:tcBorders>
            <w:shd w:val="clear" w:color="auto" w:fill="BFE4FF"/>
          </w:tcPr>
          <w:p>
            <w:pPr>
              <w:spacing w:after="0"/>
              <w:rPr>
                <w:sz w:val="13"/>
                <w:szCs w:val="13"/>
                <w:color w:val="auto"/>
              </w:rPr>
            </w:pPr>
          </w:p>
        </w:tc>
        <w:tc>
          <w:tcPr>
            <w:tcW w:w="44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24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BFE4FF"/>
              <w:right w:val="single" w:sz="8" w:color="BFE4FF"/>
            </w:tcBorders>
            <w:shd w:val="clear" w:color="auto" w:fill="BFE4FF"/>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3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6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42"/>
          </w:tcPr>
          <w:p>
            <w:pPr>
              <w:spacing w:after="0" w:line="184" w:lineRule="exact"/>
              <w:rPr>
                <w:sz w:val="20"/>
                <w:szCs w:val="20"/>
                <w:color w:val="auto"/>
              </w:rPr>
            </w:pPr>
            <w:r>
              <w:rPr>
                <w:rFonts w:ascii="Times New Roman" w:cs="Times New Roman" w:eastAsia="Times New Roman" w:hAnsi="Times New Roman"/>
                <w:sz w:val="18"/>
                <w:szCs w:val="18"/>
                <w:color w:val="auto"/>
              </w:rPr>
              <w:t>Form of Restricted Stock Agreement under the MiMedx Group, Inc. 2016 Equity and Cash Incentive Plan (for shares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43"/>
          </w:tcPr>
          <w:p>
            <w:pPr>
              <w:spacing w:after="0" w:line="194" w:lineRule="exact"/>
              <w:rPr>
                <w:rFonts w:ascii="Times New Roman" w:cs="Times New Roman" w:eastAsia="Times New Roman" w:hAnsi="Times New Roman"/>
                <w:sz w:val="18"/>
                <w:szCs w:val="18"/>
                <w:color w:val="auto"/>
              </w:rPr>
            </w:pPr>
            <w:hyperlink r:id="rId119">
              <w:r>
                <w:rPr>
                  <w:rFonts w:ascii="Times New Roman" w:cs="Times New Roman" w:eastAsia="Times New Roman" w:hAnsi="Times New Roman"/>
                  <w:sz w:val="18"/>
                  <w:szCs w:val="18"/>
                  <w:color w:val="auto"/>
                </w:rPr>
                <w:t>not registered under the Securities Act of 1933) (</w:t>
              </w:r>
              <w:r>
                <w:rPr>
                  <w:rFonts w:ascii="Times New Roman" w:cs="Times New Roman" w:eastAsia="Times New Roman" w:hAnsi="Times New Roman"/>
                  <w:sz w:val="18"/>
                  <w:szCs w:val="18"/>
                  <w:color w:val="0000FF"/>
                </w:rPr>
                <w:t>incorporated by reference to Exhibit 10.9 to the Registrant’s Current</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gridSpan w:val="14"/>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 xml:space="preserve">Report on </w:t>
              </w:r>
            </w:hyperlink>
            <w:hyperlink r:id="rId131">
              <w:r>
                <w:rPr>
                  <w:rFonts w:ascii="Times New Roman" w:cs="Times New Roman" w:eastAsia="Times New Roman" w:hAnsi="Times New Roman"/>
                  <w:sz w:val="18"/>
                  <w:szCs w:val="18"/>
                  <w:color w:val="0000FF"/>
                </w:rPr>
                <w:t>Form 8-K filed on May 30, 2019</w:t>
              </w:r>
            </w:hyperlink>
            <w:hyperlink r:id="rId119">
              <w:r>
                <w:rPr>
                  <w:rFonts w:ascii="Times New Roman" w:cs="Times New Roman" w:eastAsia="Times New Roman" w:hAnsi="Times New Roman"/>
                  <w:sz w:val="18"/>
                  <w:szCs w:val="18"/>
                  <w:color w:val="000000"/>
                </w:rPr>
                <w:t>).</w:t>
              </w:r>
            </w:hyperlink>
          </w:p>
        </w:tc>
        <w:tc>
          <w:tcPr>
            <w:tcW w:w="112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gridSpan w:val="3"/>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gridSpan w:val="3"/>
          </w:tcPr>
          <w:p>
            <w:pPr>
              <w:spacing w:after="0"/>
              <w:rPr>
                <w:sz w:val="13"/>
                <w:szCs w:val="13"/>
                <w:color w:val="auto"/>
              </w:rPr>
            </w:pPr>
          </w:p>
        </w:tc>
        <w:tc>
          <w:tcPr>
            <w:tcW w:w="380" w:type="dxa"/>
            <w:vAlign w:val="bottom"/>
            <w:tcBorders>
              <w:top w:val="single" w:sz="8" w:color="0000FF"/>
            </w:tcBorders>
            <w:gridSpan w:val="5"/>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10.13*</w:t>
            </w: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84" w:lineRule="exact"/>
              <w:rPr>
                <w:sz w:val="20"/>
                <w:szCs w:val="20"/>
                <w:color w:val="auto"/>
              </w:rPr>
            </w:pPr>
            <w:r>
              <w:rPr>
                <w:rFonts w:ascii="Times New Roman" w:cs="Times New Roman" w:eastAsia="Times New Roman" w:hAnsi="Times New Roman"/>
                <w:sz w:val="18"/>
                <w:szCs w:val="18"/>
                <w:color w:val="auto"/>
              </w:rPr>
              <w:t>Form of Restricted Stock Agreement under the MiMedx Group, Inc. 2016 Equity and Cash Incentive Plan</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94" w:lineRule="exact"/>
              <w:rPr>
                <w:rFonts w:ascii="Times New Roman" w:cs="Times New Roman" w:eastAsia="Times New Roman" w:hAnsi="Times New Roman"/>
                <w:sz w:val="18"/>
                <w:szCs w:val="18"/>
                <w:color w:val="auto"/>
              </w:rPr>
            </w:pPr>
            <w:hyperlink r:id="rId132">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incorporated by reference to Exhibit 10.3 to the Registrant’s Quarterly Report on Form 10-Q filed on August 2,</w:t>
              </w:r>
            </w:hyperlink>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80" w:type="dxa"/>
            <w:vAlign w:val="bottom"/>
            <w:tcBorders>
              <w:top w:val="single" w:sz="8" w:color="BFE4FF"/>
            </w:tcBorders>
            <w:gridSpan w:val="2"/>
            <w:shd w:val="clear" w:color="auto" w:fill="BFE4FF"/>
          </w:tcPr>
          <w:p>
            <w:pPr>
              <w:spacing w:after="0"/>
              <w:rPr>
                <w:sz w:val="13"/>
                <w:szCs w:val="13"/>
                <w:color w:val="auto"/>
              </w:rPr>
            </w:pPr>
          </w:p>
        </w:tc>
        <w:tc>
          <w:tcPr>
            <w:tcW w:w="640" w:type="dxa"/>
            <w:vAlign w:val="bottom"/>
            <w:tcBorders>
              <w:top w:val="single" w:sz="8" w:color="0000FF"/>
            </w:tcBorders>
            <w:gridSpan w:val="2"/>
            <w:shd w:val="clear" w:color="auto" w:fill="BFE4FF"/>
          </w:tcPr>
          <w:p>
            <w:pPr>
              <w:jc w:val="right"/>
              <w:ind w:right="260"/>
              <w:spacing w:after="0" w:line="156" w:lineRule="exact"/>
              <w:rPr>
                <w:rFonts w:ascii="Times New Roman" w:cs="Times New Roman" w:eastAsia="Times New Roman" w:hAnsi="Times New Roman"/>
                <w:sz w:val="18"/>
                <w:szCs w:val="18"/>
                <w:color w:val="0000FF"/>
                <w:w w:val="77"/>
              </w:rPr>
            </w:pPr>
            <w:hyperlink r:id="rId132">
              <w:r>
                <w:rPr>
                  <w:rFonts w:ascii="Times New Roman" w:cs="Times New Roman" w:eastAsia="Times New Roman" w:hAnsi="Times New Roman"/>
                  <w:sz w:val="18"/>
                  <w:szCs w:val="18"/>
                  <w:color w:val="0000FF"/>
                  <w:w w:val="77"/>
                </w:rPr>
                <w:t>2016</w:t>
              </w:r>
              <w:r>
                <w:rPr>
                  <w:rFonts w:ascii="Times New Roman" w:cs="Times New Roman" w:eastAsia="Times New Roman" w:hAnsi="Times New Roman"/>
                  <w:sz w:val="18"/>
                  <w:szCs w:val="18"/>
                  <w:color w:val="000000"/>
                  <w:w w:val="77"/>
                </w:rPr>
                <w:t>).</w:t>
              </w:r>
            </w:hyperlink>
          </w:p>
        </w:tc>
        <w:tc>
          <w:tcPr>
            <w:tcW w:w="40" w:type="dxa"/>
            <w:vAlign w:val="bottom"/>
            <w:tcBorders>
              <w:top w:val="single" w:sz="8" w:color="0000FF"/>
            </w:tcBorders>
            <w:shd w:val="clear" w:color="auto" w:fill="BFE4FF"/>
          </w:tcPr>
          <w:p>
            <w:pPr>
              <w:spacing w:after="0"/>
              <w:rPr>
                <w:sz w:val="13"/>
                <w:szCs w:val="13"/>
                <w:color w:val="auto"/>
              </w:rPr>
            </w:pPr>
          </w:p>
        </w:tc>
        <w:tc>
          <w:tcPr>
            <w:tcW w:w="460" w:type="dxa"/>
            <w:vAlign w:val="bottom"/>
            <w:tcBorders>
              <w:top w:val="single" w:sz="8" w:color="0000FF"/>
            </w:tcBorders>
            <w:shd w:val="clear" w:color="auto" w:fill="BFE4FF"/>
          </w:tcPr>
          <w:p>
            <w:pPr>
              <w:spacing w:after="0"/>
              <w:rPr>
                <w:sz w:val="13"/>
                <w:szCs w:val="13"/>
                <w:color w:val="auto"/>
              </w:rPr>
            </w:pPr>
          </w:p>
        </w:tc>
        <w:tc>
          <w:tcPr>
            <w:tcW w:w="26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1360" w:type="dxa"/>
            <w:vAlign w:val="bottom"/>
            <w:tcBorders>
              <w:top w:val="single" w:sz="8" w:color="0000FF"/>
            </w:tcBorders>
            <w:shd w:val="clear" w:color="auto" w:fill="BFE4FF"/>
          </w:tcPr>
          <w:p>
            <w:pPr>
              <w:spacing w:after="0"/>
              <w:rPr>
                <w:sz w:val="13"/>
                <w:szCs w:val="13"/>
                <w:color w:val="auto"/>
              </w:rPr>
            </w:pPr>
          </w:p>
        </w:tc>
        <w:tc>
          <w:tcPr>
            <w:tcW w:w="320" w:type="dxa"/>
            <w:vAlign w:val="bottom"/>
            <w:tcBorders>
              <w:top w:val="single" w:sz="8" w:color="0000FF"/>
            </w:tcBorders>
            <w:shd w:val="clear" w:color="auto" w:fill="BFE4FF"/>
          </w:tcPr>
          <w:p>
            <w:pPr>
              <w:spacing w:after="0"/>
              <w:rPr>
                <w:sz w:val="13"/>
                <w:szCs w:val="13"/>
                <w:color w:val="auto"/>
              </w:rPr>
            </w:pPr>
          </w:p>
        </w:tc>
        <w:tc>
          <w:tcPr>
            <w:tcW w:w="140" w:type="dxa"/>
            <w:vAlign w:val="bottom"/>
            <w:tcBorders>
              <w:top w:val="single" w:sz="8" w:color="0000FF"/>
            </w:tcBorders>
            <w:shd w:val="clear" w:color="auto" w:fill="BFE4FF"/>
          </w:tcPr>
          <w:p>
            <w:pPr>
              <w:spacing w:after="0"/>
              <w:rPr>
                <w:sz w:val="13"/>
                <w:szCs w:val="13"/>
                <w:color w:val="auto"/>
              </w:rPr>
            </w:pPr>
          </w:p>
        </w:tc>
        <w:tc>
          <w:tcPr>
            <w:tcW w:w="160" w:type="dxa"/>
            <w:vAlign w:val="bottom"/>
            <w:tcBorders>
              <w:top w:val="single" w:sz="8" w:color="0000FF"/>
            </w:tcBorders>
            <w:shd w:val="clear" w:color="auto" w:fill="BFE4FF"/>
          </w:tcPr>
          <w:p>
            <w:pPr>
              <w:spacing w:after="0"/>
              <w:rPr>
                <w:sz w:val="13"/>
                <w:szCs w:val="13"/>
                <w:color w:val="auto"/>
              </w:rPr>
            </w:pPr>
          </w:p>
        </w:tc>
        <w:tc>
          <w:tcPr>
            <w:tcW w:w="960" w:type="dxa"/>
            <w:vAlign w:val="bottom"/>
            <w:tcBorders>
              <w:top w:val="single" w:sz="8" w:color="0000FF"/>
            </w:tcBorders>
            <w:shd w:val="clear" w:color="auto" w:fill="BFE4FF"/>
          </w:tcPr>
          <w:p>
            <w:pPr>
              <w:spacing w:after="0"/>
              <w:rPr>
                <w:sz w:val="13"/>
                <w:szCs w:val="13"/>
                <w:color w:val="auto"/>
              </w:rPr>
            </w:pPr>
          </w:p>
        </w:tc>
        <w:tc>
          <w:tcPr>
            <w:tcW w:w="140" w:type="dxa"/>
            <w:vAlign w:val="bottom"/>
            <w:tcBorders>
              <w:top w:val="single" w:sz="8" w:color="0000FF"/>
            </w:tcBorders>
            <w:shd w:val="clear" w:color="auto" w:fill="BFE4FF"/>
          </w:tcPr>
          <w:p>
            <w:pPr>
              <w:spacing w:after="0"/>
              <w:rPr>
                <w:sz w:val="13"/>
                <w:szCs w:val="13"/>
                <w:color w:val="auto"/>
              </w:rPr>
            </w:pPr>
          </w:p>
        </w:tc>
        <w:tc>
          <w:tcPr>
            <w:tcW w:w="28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30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80" w:type="dxa"/>
            <w:vAlign w:val="bottom"/>
            <w:tcBorders>
              <w:top w:val="single" w:sz="8" w:color="0000FF"/>
            </w:tcBorders>
            <w:shd w:val="clear" w:color="auto" w:fill="BFE4FF"/>
          </w:tcPr>
          <w:p>
            <w:pPr>
              <w:spacing w:after="0"/>
              <w:rPr>
                <w:sz w:val="13"/>
                <w:szCs w:val="13"/>
                <w:color w:val="auto"/>
              </w:rPr>
            </w:pPr>
          </w:p>
        </w:tc>
        <w:tc>
          <w:tcPr>
            <w:tcW w:w="120" w:type="dxa"/>
            <w:vAlign w:val="bottom"/>
            <w:tcBorders>
              <w:top w:val="single" w:sz="8" w:color="0000FF"/>
            </w:tcBorders>
            <w:shd w:val="clear" w:color="auto" w:fill="BFE4FF"/>
          </w:tcPr>
          <w:p>
            <w:pPr>
              <w:spacing w:after="0"/>
              <w:rPr>
                <w:sz w:val="13"/>
                <w:szCs w:val="13"/>
                <w:color w:val="auto"/>
              </w:rPr>
            </w:pPr>
          </w:p>
        </w:tc>
        <w:tc>
          <w:tcPr>
            <w:tcW w:w="22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10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260" w:type="dxa"/>
            <w:vAlign w:val="bottom"/>
            <w:tcBorders>
              <w:top w:val="single" w:sz="8" w:color="0000FF"/>
            </w:tcBorders>
            <w:shd w:val="clear" w:color="auto" w:fill="BFE4FF"/>
          </w:tcPr>
          <w:p>
            <w:pPr>
              <w:spacing w:after="0"/>
              <w:rPr>
                <w:sz w:val="13"/>
                <w:szCs w:val="13"/>
                <w:color w:val="auto"/>
              </w:rPr>
            </w:pPr>
          </w:p>
        </w:tc>
        <w:tc>
          <w:tcPr>
            <w:tcW w:w="44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24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BFE4FF"/>
              <w:right w:val="single" w:sz="8" w:color="BFE4FF"/>
            </w:tcBorders>
            <w:shd w:val="clear" w:color="auto" w:fill="BFE4FF"/>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3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6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42"/>
          </w:tcPr>
          <w:p>
            <w:pPr>
              <w:spacing w:after="0" w:line="184" w:lineRule="exact"/>
              <w:rPr>
                <w:sz w:val="20"/>
                <w:szCs w:val="20"/>
                <w:color w:val="auto"/>
              </w:rPr>
            </w:pPr>
            <w:r>
              <w:rPr>
                <w:rFonts w:ascii="Times New Roman" w:cs="Times New Roman" w:eastAsia="Times New Roman" w:hAnsi="Times New Roman"/>
                <w:sz w:val="18"/>
                <w:szCs w:val="18"/>
                <w:color w:val="auto"/>
              </w:rPr>
              <w:t>Form of Restricted Stock Agreement for Non-Employee Directors under the MiMedx Group, Inc. 2016 Equity and</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43"/>
          </w:tcPr>
          <w:p>
            <w:pPr>
              <w:spacing w:after="0" w:line="194"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Cash Incentive Plan (</w:t>
              </w:r>
              <w:r>
                <w:rPr>
                  <w:rFonts w:ascii="Times New Roman" w:cs="Times New Roman" w:eastAsia="Times New Roman" w:hAnsi="Times New Roman"/>
                  <w:sz w:val="18"/>
                  <w:szCs w:val="18"/>
                  <w:color w:val="0000FF"/>
                </w:rPr>
                <w:t>incorporated by reference to Exhibit 10.11 to the Registrant’s Current Report on Form 8-K filed</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8"/>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on May 30, 2019</w:t>
              </w:r>
              <w:r>
                <w:rPr>
                  <w:rFonts w:ascii="Times New Roman" w:cs="Times New Roman" w:eastAsia="Times New Roman" w:hAnsi="Times New Roman"/>
                  <w:sz w:val="18"/>
                  <w:szCs w:val="18"/>
                  <w:color w:val="000000"/>
                </w:rPr>
                <w:t>).</w:t>
              </w:r>
            </w:hyperlink>
          </w:p>
        </w:tc>
        <w:tc>
          <w:tcPr>
            <w:tcW w:w="3140" w:type="dxa"/>
            <w:vAlign w:val="bottom"/>
            <w:tcBorders>
              <w:top w:val="single" w:sz="8" w:color="0000FF"/>
            </w:tcBorders>
            <w:gridSpan w:val="8"/>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gridSpan w:val="3"/>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top w:val="single" w:sz="8" w:color="0000FF"/>
            </w:tcBorders>
            <w:gridSpan w:val="3"/>
          </w:tcPr>
          <w:p>
            <w:pPr>
              <w:spacing w:after="0"/>
              <w:rPr>
                <w:sz w:val="13"/>
                <w:szCs w:val="13"/>
                <w:color w:val="auto"/>
              </w:rPr>
            </w:pPr>
          </w:p>
        </w:tc>
        <w:tc>
          <w:tcPr>
            <w:tcW w:w="380" w:type="dxa"/>
            <w:vAlign w:val="bottom"/>
            <w:tcBorders>
              <w:top w:val="single" w:sz="8" w:color="0000FF"/>
            </w:tcBorders>
            <w:gridSpan w:val="5"/>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10.15*</w:t>
            </w: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84" w:lineRule="exact"/>
              <w:rPr>
                <w:sz w:val="20"/>
                <w:szCs w:val="20"/>
                <w:color w:val="auto"/>
              </w:rPr>
            </w:pPr>
            <w:r>
              <w:rPr>
                <w:rFonts w:ascii="Times New Roman" w:cs="Times New Roman" w:eastAsia="Times New Roman" w:hAnsi="Times New Roman"/>
                <w:sz w:val="18"/>
                <w:szCs w:val="18"/>
                <w:color w:val="auto"/>
              </w:rPr>
              <w:t>Form of Nonqualified Stock Option Agreement under the MiMedx Group, Inc. 2016 Equity and Cash Incentive Plan</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94"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incorporated by reference to Exhibit 10.4 to the Registrant’s Quarterly Report on Form 10-Q filed on August 2,</w:t>
              </w:r>
            </w:hyperlink>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80" w:type="dxa"/>
            <w:vAlign w:val="bottom"/>
            <w:tcBorders>
              <w:top w:val="single" w:sz="8" w:color="BFE4FF"/>
            </w:tcBorders>
            <w:gridSpan w:val="2"/>
            <w:shd w:val="clear" w:color="auto" w:fill="BFE4FF"/>
          </w:tcPr>
          <w:p>
            <w:pPr>
              <w:spacing w:after="0"/>
              <w:rPr>
                <w:sz w:val="13"/>
                <w:szCs w:val="13"/>
                <w:color w:val="auto"/>
              </w:rPr>
            </w:pPr>
          </w:p>
        </w:tc>
        <w:tc>
          <w:tcPr>
            <w:tcW w:w="640" w:type="dxa"/>
            <w:vAlign w:val="bottom"/>
            <w:tcBorders>
              <w:top w:val="single" w:sz="8" w:color="0000FF"/>
            </w:tcBorders>
            <w:gridSpan w:val="2"/>
            <w:shd w:val="clear" w:color="auto" w:fill="BFE4FF"/>
          </w:tcPr>
          <w:p>
            <w:pPr>
              <w:jc w:val="right"/>
              <w:ind w:right="260"/>
              <w:spacing w:after="0" w:line="156" w:lineRule="exact"/>
              <w:rPr>
                <w:rFonts w:ascii="Times New Roman" w:cs="Times New Roman" w:eastAsia="Times New Roman" w:hAnsi="Times New Roman"/>
                <w:sz w:val="18"/>
                <w:szCs w:val="18"/>
                <w:color w:val="0000FF"/>
                <w:w w:val="77"/>
              </w:rPr>
            </w:pPr>
            <w:hyperlink r:id="rId134">
              <w:r>
                <w:rPr>
                  <w:rFonts w:ascii="Times New Roman" w:cs="Times New Roman" w:eastAsia="Times New Roman" w:hAnsi="Times New Roman"/>
                  <w:sz w:val="18"/>
                  <w:szCs w:val="18"/>
                  <w:color w:val="0000FF"/>
                  <w:w w:val="77"/>
                </w:rPr>
                <w:t>2016</w:t>
              </w:r>
              <w:r>
                <w:rPr>
                  <w:rFonts w:ascii="Times New Roman" w:cs="Times New Roman" w:eastAsia="Times New Roman" w:hAnsi="Times New Roman"/>
                  <w:sz w:val="18"/>
                  <w:szCs w:val="18"/>
                  <w:color w:val="000000"/>
                  <w:w w:val="77"/>
                </w:rPr>
                <w:t>).</w:t>
              </w:r>
            </w:hyperlink>
          </w:p>
        </w:tc>
        <w:tc>
          <w:tcPr>
            <w:tcW w:w="40" w:type="dxa"/>
            <w:vAlign w:val="bottom"/>
            <w:tcBorders>
              <w:top w:val="single" w:sz="8" w:color="0000FF"/>
            </w:tcBorders>
            <w:shd w:val="clear" w:color="auto" w:fill="BFE4FF"/>
          </w:tcPr>
          <w:p>
            <w:pPr>
              <w:spacing w:after="0"/>
              <w:rPr>
                <w:sz w:val="13"/>
                <w:szCs w:val="13"/>
                <w:color w:val="auto"/>
              </w:rPr>
            </w:pPr>
          </w:p>
        </w:tc>
        <w:tc>
          <w:tcPr>
            <w:tcW w:w="460" w:type="dxa"/>
            <w:vAlign w:val="bottom"/>
            <w:tcBorders>
              <w:top w:val="single" w:sz="8" w:color="0000FF"/>
            </w:tcBorders>
            <w:shd w:val="clear" w:color="auto" w:fill="BFE4FF"/>
          </w:tcPr>
          <w:p>
            <w:pPr>
              <w:spacing w:after="0"/>
              <w:rPr>
                <w:sz w:val="13"/>
                <w:szCs w:val="13"/>
                <w:color w:val="auto"/>
              </w:rPr>
            </w:pPr>
          </w:p>
        </w:tc>
        <w:tc>
          <w:tcPr>
            <w:tcW w:w="26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1360" w:type="dxa"/>
            <w:vAlign w:val="bottom"/>
            <w:tcBorders>
              <w:top w:val="single" w:sz="8" w:color="0000FF"/>
            </w:tcBorders>
            <w:shd w:val="clear" w:color="auto" w:fill="BFE4FF"/>
          </w:tcPr>
          <w:p>
            <w:pPr>
              <w:spacing w:after="0"/>
              <w:rPr>
                <w:sz w:val="13"/>
                <w:szCs w:val="13"/>
                <w:color w:val="auto"/>
              </w:rPr>
            </w:pPr>
          </w:p>
        </w:tc>
        <w:tc>
          <w:tcPr>
            <w:tcW w:w="320" w:type="dxa"/>
            <w:vAlign w:val="bottom"/>
            <w:tcBorders>
              <w:top w:val="single" w:sz="8" w:color="0000FF"/>
            </w:tcBorders>
            <w:shd w:val="clear" w:color="auto" w:fill="BFE4FF"/>
          </w:tcPr>
          <w:p>
            <w:pPr>
              <w:spacing w:after="0"/>
              <w:rPr>
                <w:sz w:val="13"/>
                <w:szCs w:val="13"/>
                <w:color w:val="auto"/>
              </w:rPr>
            </w:pPr>
          </w:p>
        </w:tc>
        <w:tc>
          <w:tcPr>
            <w:tcW w:w="140" w:type="dxa"/>
            <w:vAlign w:val="bottom"/>
            <w:tcBorders>
              <w:top w:val="single" w:sz="8" w:color="0000FF"/>
            </w:tcBorders>
            <w:shd w:val="clear" w:color="auto" w:fill="BFE4FF"/>
          </w:tcPr>
          <w:p>
            <w:pPr>
              <w:spacing w:after="0"/>
              <w:rPr>
                <w:sz w:val="13"/>
                <w:szCs w:val="13"/>
                <w:color w:val="auto"/>
              </w:rPr>
            </w:pPr>
          </w:p>
        </w:tc>
        <w:tc>
          <w:tcPr>
            <w:tcW w:w="160" w:type="dxa"/>
            <w:vAlign w:val="bottom"/>
            <w:tcBorders>
              <w:top w:val="single" w:sz="8" w:color="0000FF"/>
            </w:tcBorders>
            <w:shd w:val="clear" w:color="auto" w:fill="BFE4FF"/>
          </w:tcPr>
          <w:p>
            <w:pPr>
              <w:spacing w:after="0"/>
              <w:rPr>
                <w:sz w:val="13"/>
                <w:szCs w:val="13"/>
                <w:color w:val="auto"/>
              </w:rPr>
            </w:pPr>
          </w:p>
        </w:tc>
        <w:tc>
          <w:tcPr>
            <w:tcW w:w="960" w:type="dxa"/>
            <w:vAlign w:val="bottom"/>
            <w:tcBorders>
              <w:top w:val="single" w:sz="8" w:color="0000FF"/>
            </w:tcBorders>
            <w:shd w:val="clear" w:color="auto" w:fill="BFE4FF"/>
          </w:tcPr>
          <w:p>
            <w:pPr>
              <w:spacing w:after="0"/>
              <w:rPr>
                <w:sz w:val="13"/>
                <w:szCs w:val="13"/>
                <w:color w:val="auto"/>
              </w:rPr>
            </w:pPr>
          </w:p>
        </w:tc>
        <w:tc>
          <w:tcPr>
            <w:tcW w:w="140" w:type="dxa"/>
            <w:vAlign w:val="bottom"/>
            <w:tcBorders>
              <w:top w:val="single" w:sz="8" w:color="0000FF"/>
            </w:tcBorders>
            <w:shd w:val="clear" w:color="auto" w:fill="BFE4FF"/>
          </w:tcPr>
          <w:p>
            <w:pPr>
              <w:spacing w:after="0"/>
              <w:rPr>
                <w:sz w:val="13"/>
                <w:szCs w:val="13"/>
                <w:color w:val="auto"/>
              </w:rPr>
            </w:pPr>
          </w:p>
        </w:tc>
        <w:tc>
          <w:tcPr>
            <w:tcW w:w="28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30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80" w:type="dxa"/>
            <w:vAlign w:val="bottom"/>
            <w:tcBorders>
              <w:top w:val="single" w:sz="8" w:color="0000FF"/>
            </w:tcBorders>
            <w:shd w:val="clear" w:color="auto" w:fill="BFE4FF"/>
          </w:tcPr>
          <w:p>
            <w:pPr>
              <w:spacing w:after="0"/>
              <w:rPr>
                <w:sz w:val="13"/>
                <w:szCs w:val="13"/>
                <w:color w:val="auto"/>
              </w:rPr>
            </w:pPr>
          </w:p>
        </w:tc>
        <w:tc>
          <w:tcPr>
            <w:tcW w:w="120" w:type="dxa"/>
            <w:vAlign w:val="bottom"/>
            <w:tcBorders>
              <w:top w:val="single" w:sz="8" w:color="0000FF"/>
            </w:tcBorders>
            <w:shd w:val="clear" w:color="auto" w:fill="BFE4FF"/>
          </w:tcPr>
          <w:p>
            <w:pPr>
              <w:spacing w:after="0"/>
              <w:rPr>
                <w:sz w:val="13"/>
                <w:szCs w:val="13"/>
                <w:color w:val="auto"/>
              </w:rPr>
            </w:pPr>
          </w:p>
        </w:tc>
        <w:tc>
          <w:tcPr>
            <w:tcW w:w="22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10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260" w:type="dxa"/>
            <w:vAlign w:val="bottom"/>
            <w:tcBorders>
              <w:top w:val="single" w:sz="8" w:color="0000FF"/>
            </w:tcBorders>
            <w:shd w:val="clear" w:color="auto" w:fill="BFE4FF"/>
          </w:tcPr>
          <w:p>
            <w:pPr>
              <w:spacing w:after="0"/>
              <w:rPr>
                <w:sz w:val="13"/>
                <w:szCs w:val="13"/>
                <w:color w:val="auto"/>
              </w:rPr>
            </w:pPr>
          </w:p>
        </w:tc>
        <w:tc>
          <w:tcPr>
            <w:tcW w:w="44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24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40" w:type="dxa"/>
            <w:vAlign w:val="bottom"/>
            <w:tcBorders>
              <w:top w:val="single" w:sz="8" w:color="BFE4FF"/>
              <w:right w:val="single" w:sz="8" w:color="BFE4FF"/>
            </w:tcBorders>
            <w:shd w:val="clear" w:color="auto" w:fill="BFE4FF"/>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3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6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96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42"/>
          </w:tcPr>
          <w:p>
            <w:pPr>
              <w:spacing w:after="0" w:line="189" w:lineRule="exact"/>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Form of Director Restricted Stock Unit Award Agreement (</w:t>
              </w:r>
              <w:r>
                <w:rPr>
                  <w:rFonts w:ascii="Times New Roman" w:cs="Times New Roman" w:eastAsia="Times New Roman" w:hAnsi="Times New Roman"/>
                  <w:sz w:val="18"/>
                  <w:szCs w:val="18"/>
                  <w:color w:val="0000FF"/>
                </w:rPr>
                <w:t>incorporated by reference to Exhibit 10.16 to the</w:t>
              </w:r>
            </w:hyperlink>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16"/>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5"/>
            <w:vMerge w:val="restart"/>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0" w:type="dxa"/>
            <w:vAlign w:val="bottom"/>
            <w:gridSpan w:val="37"/>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Registrant’s Annual Report on Form 10-K filed on March 17, 2020</w:t>
              </w:r>
              <w:r>
                <w:rPr>
                  <w:rFonts w:ascii="Times New Roman" w:cs="Times New Roman" w:eastAsia="Times New Roman" w:hAnsi="Times New Roman"/>
                  <w:sz w:val="18"/>
                  <w:szCs w:val="18"/>
                  <w:color w:val="000000"/>
                </w:rPr>
                <w:t>).</w:t>
              </w:r>
            </w:hyperlink>
          </w:p>
        </w:tc>
        <w:tc>
          <w:tcPr>
            <w:tcW w:w="120" w:type="dxa"/>
            <w:vAlign w:val="bottom"/>
            <w:gridSpan w:val="5"/>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89" w:lineRule="exact"/>
              <w:rPr>
                <w:rFonts w:ascii="Times New Roman" w:cs="Times New Roman" w:eastAsia="Times New Roman" w:hAnsi="Times New Roman"/>
                <w:sz w:val="18"/>
                <w:szCs w:val="18"/>
                <w:color w:val="auto"/>
              </w:rPr>
            </w:pPr>
            <w:hyperlink r:id="rId136">
              <w:r>
                <w:rPr>
                  <w:rFonts w:ascii="Times New Roman" w:cs="Times New Roman" w:eastAsia="Times New Roman" w:hAnsi="Times New Roman"/>
                  <w:sz w:val="18"/>
                  <w:szCs w:val="18"/>
                  <w:color w:val="auto"/>
                </w:rPr>
                <w:t>Form of Employee (Time-Vested) Restricted Stock Unit Award Agreement (</w:t>
              </w:r>
              <w:r>
                <w:rPr>
                  <w:rFonts w:ascii="Times New Roman" w:cs="Times New Roman" w:eastAsia="Times New Roman" w:hAnsi="Times New Roman"/>
                  <w:sz w:val="18"/>
                  <w:szCs w:val="18"/>
                  <w:color w:val="0000FF"/>
                </w:rPr>
                <w:t>incorporated by reference to Exhibit 10.33</w:t>
              </w:r>
            </w:hyperlink>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BFE4FF"/>
            </w:tcBorders>
            <w:shd w:val="clear" w:color="auto" w:fill="BFE4FF"/>
          </w:tcPr>
          <w:p>
            <w:pPr>
              <w:spacing w:after="0"/>
              <w:rPr>
                <w:sz w:val="14"/>
                <w:szCs w:val="14"/>
                <w:color w:val="auto"/>
              </w:rPr>
            </w:pPr>
          </w:p>
        </w:tc>
        <w:tc>
          <w:tcPr>
            <w:tcW w:w="220" w:type="dxa"/>
            <w:vAlign w:val="bottom"/>
            <w:tcBorders>
              <w:top w:val="single" w:sz="8" w:color="BFE4FF"/>
            </w:tcBorders>
            <w:shd w:val="clear" w:color="auto" w:fill="BFE4FF"/>
          </w:tcPr>
          <w:p>
            <w:pPr>
              <w:spacing w:after="0"/>
              <w:rPr>
                <w:sz w:val="14"/>
                <w:szCs w:val="14"/>
                <w:color w:val="auto"/>
              </w:rPr>
            </w:pPr>
          </w:p>
        </w:tc>
        <w:tc>
          <w:tcPr>
            <w:tcW w:w="20" w:type="dxa"/>
            <w:vAlign w:val="bottom"/>
            <w:tcBorders>
              <w:top w:val="single" w:sz="8" w:color="BFE4FF"/>
            </w:tcBorders>
            <w:shd w:val="clear" w:color="auto" w:fill="BFE4FF"/>
          </w:tcPr>
          <w:p>
            <w:pPr>
              <w:spacing w:after="0"/>
              <w:rPr>
                <w:sz w:val="14"/>
                <w:szCs w:val="14"/>
                <w:color w:val="auto"/>
              </w:rPr>
            </w:pPr>
          </w:p>
        </w:tc>
        <w:tc>
          <w:tcPr>
            <w:tcW w:w="5520" w:type="dxa"/>
            <w:vAlign w:val="bottom"/>
            <w:tcBorders>
              <w:top w:val="single" w:sz="8" w:color="BFE4FF"/>
            </w:tcBorders>
            <w:gridSpan w:val="21"/>
            <w:shd w:val="clear" w:color="auto" w:fill="BFE4FF"/>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to the Registrant’s Annual Report on Form 10-K filed on July 6, 2020).</w:t>
              </w:r>
            </w:hyperlink>
          </w:p>
        </w:tc>
        <w:tc>
          <w:tcPr>
            <w:tcW w:w="820" w:type="dxa"/>
            <w:vAlign w:val="bottom"/>
            <w:tcBorders>
              <w:top w:val="single" w:sz="8" w:color="0000FF"/>
            </w:tcBorders>
            <w:gridSpan w:val="3"/>
            <w:shd w:val="clear" w:color="auto" w:fill="BFE4FF"/>
          </w:tcPr>
          <w:p>
            <w:pPr>
              <w:spacing w:after="0"/>
              <w:rPr>
                <w:sz w:val="14"/>
                <w:szCs w:val="14"/>
                <w:color w:val="auto"/>
              </w:rPr>
            </w:pPr>
          </w:p>
        </w:tc>
        <w:tc>
          <w:tcPr>
            <w:tcW w:w="60" w:type="dxa"/>
            <w:vAlign w:val="bottom"/>
            <w:tcBorders>
              <w:top w:val="single" w:sz="8" w:color="0000FF"/>
            </w:tcBorders>
            <w:shd w:val="clear" w:color="auto" w:fill="BFE4FF"/>
          </w:tcPr>
          <w:p>
            <w:pPr>
              <w:spacing w:after="0"/>
              <w:rPr>
                <w:sz w:val="14"/>
                <w:szCs w:val="14"/>
                <w:color w:val="auto"/>
              </w:rPr>
            </w:pPr>
          </w:p>
        </w:tc>
        <w:tc>
          <w:tcPr>
            <w:tcW w:w="1780" w:type="dxa"/>
            <w:vAlign w:val="bottom"/>
            <w:tcBorders>
              <w:top w:val="single" w:sz="8" w:color="0000FF"/>
            </w:tcBorders>
            <w:gridSpan w:val="5"/>
            <w:shd w:val="clear" w:color="auto" w:fill="BFE4FF"/>
          </w:tcPr>
          <w:p>
            <w:pPr>
              <w:spacing w:after="0"/>
              <w:rPr>
                <w:sz w:val="14"/>
                <w:szCs w:val="14"/>
                <w:color w:val="auto"/>
              </w:rPr>
            </w:pPr>
          </w:p>
        </w:tc>
        <w:tc>
          <w:tcPr>
            <w:tcW w:w="380" w:type="dxa"/>
            <w:vAlign w:val="bottom"/>
            <w:tcBorders>
              <w:top w:val="single" w:sz="8" w:color="0000FF"/>
            </w:tcBorders>
            <w:gridSpan w:val="5"/>
            <w:shd w:val="clear" w:color="auto" w:fill="BFE4FF"/>
          </w:tcPr>
          <w:p>
            <w:pPr>
              <w:spacing w:after="0"/>
              <w:rPr>
                <w:sz w:val="14"/>
                <w:szCs w:val="14"/>
                <w:color w:val="auto"/>
              </w:rPr>
            </w:pPr>
          </w:p>
        </w:tc>
        <w:tc>
          <w:tcPr>
            <w:tcW w:w="80" w:type="dxa"/>
            <w:vAlign w:val="bottom"/>
            <w:tcBorders>
              <w:top w:val="single" w:sz="8" w:color="0000FF"/>
            </w:tcBorders>
            <w:gridSpan w:val="4"/>
            <w:shd w:val="clear" w:color="auto" w:fill="BFE4FF"/>
          </w:tcPr>
          <w:p>
            <w:pPr>
              <w:spacing w:after="0"/>
              <w:rPr>
                <w:sz w:val="14"/>
                <w:szCs w:val="14"/>
                <w:color w:val="auto"/>
              </w:rPr>
            </w:pPr>
          </w:p>
        </w:tc>
        <w:tc>
          <w:tcPr>
            <w:tcW w:w="80" w:type="dxa"/>
            <w:vAlign w:val="bottom"/>
            <w:tcBorders>
              <w:top w:val="single" w:sz="8" w:color="BFE4FF"/>
              <w:right w:val="single" w:sz="8" w:color="BFE4FF"/>
            </w:tcBorders>
            <w:gridSpan w:val="3"/>
            <w:shd w:val="clear" w:color="auto" w:fill="BFE4FF"/>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6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36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14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960" w:type="dxa"/>
            <w:vAlign w:val="bottom"/>
            <w:tcBorders>
              <w:top w:val="single" w:sz="8" w:color="0000FF"/>
            </w:tcBorders>
            <w:shd w:val="clear" w:color="auto" w:fill="BFE4FF"/>
          </w:tcPr>
          <w:p>
            <w:pPr>
              <w:spacing w:after="0" w:line="20" w:lineRule="exact"/>
              <w:rPr>
                <w:sz w:val="1"/>
                <w:szCs w:val="1"/>
                <w:color w:val="auto"/>
              </w:rPr>
            </w:pPr>
          </w:p>
        </w:tc>
        <w:tc>
          <w:tcPr>
            <w:tcW w:w="1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3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42"/>
          </w:tcPr>
          <w:p>
            <w:pPr>
              <w:spacing w:after="0" w:line="184" w:lineRule="exact"/>
              <w:rPr>
                <w:sz w:val="20"/>
                <w:szCs w:val="20"/>
                <w:color w:val="auto"/>
              </w:rPr>
            </w:pPr>
            <w:r>
              <w:rPr>
                <w:rFonts w:ascii="Times New Roman" w:cs="Times New Roman" w:eastAsia="Times New Roman" w:hAnsi="Times New Roman"/>
                <w:sz w:val="18"/>
                <w:szCs w:val="18"/>
                <w:color w:val="auto"/>
              </w:rPr>
              <w:t>Form of Employee (Performance-Vested, uncertain number of shares) Restricted Stock Unit Award Agreement</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43"/>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37">
              <w:r>
                <w:rPr>
                  <w:rFonts w:ascii="Times New Roman" w:cs="Times New Roman" w:eastAsia="Times New Roman" w:hAnsi="Times New Roman"/>
                  <w:sz w:val="18"/>
                  <w:szCs w:val="18"/>
                  <w:color w:val="0000FF"/>
                </w:rPr>
                <w:t>incorporated by reference to Exhibit 10.34 to the Registrant’s Annual Report on Form 10-K filed on July 6, 2020</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10.19*</w:t>
            </w: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84" w:lineRule="exact"/>
              <w:rPr>
                <w:sz w:val="20"/>
                <w:szCs w:val="20"/>
                <w:color w:val="auto"/>
              </w:rPr>
            </w:pPr>
            <w:r>
              <w:rPr>
                <w:rFonts w:ascii="Times New Roman" w:cs="Times New Roman" w:eastAsia="Times New Roman" w:hAnsi="Times New Roman"/>
                <w:sz w:val="18"/>
                <w:szCs w:val="18"/>
                <w:color w:val="auto"/>
              </w:rPr>
              <w:t>Form of Employee (Performance-Vested, certain number of shares) Restricted Stock Unit Award Agreement</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38">
              <w:r>
                <w:rPr>
                  <w:rFonts w:ascii="Times New Roman" w:cs="Times New Roman" w:eastAsia="Times New Roman" w:hAnsi="Times New Roman"/>
                  <w:sz w:val="18"/>
                  <w:szCs w:val="18"/>
                  <w:color w:val="0000FF"/>
                </w:rPr>
                <w:t>incorporated by reference to Exhibit 10.35 to the Registrant’s Annual Report on Form 10-K filed on July 6, 2020</w:t>
              </w:r>
            </w:hyperlink>
            <w:r>
              <w:rPr>
                <w:rFonts w:ascii="Times New Roman" w:cs="Times New Roman" w:eastAsia="Times New Roman" w:hAnsi="Times New Roman"/>
                <w:sz w:val="18"/>
                <w:szCs w:val="18"/>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36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6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36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14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960" w:type="dxa"/>
            <w:vAlign w:val="bottom"/>
            <w:tcBorders>
              <w:top w:val="single" w:sz="8" w:color="0000FF"/>
            </w:tcBorders>
            <w:shd w:val="clear" w:color="auto" w:fill="BFE4FF"/>
          </w:tcPr>
          <w:p>
            <w:pPr>
              <w:spacing w:after="0" w:line="20" w:lineRule="exact"/>
              <w:rPr>
                <w:sz w:val="1"/>
                <w:szCs w:val="1"/>
                <w:color w:val="auto"/>
              </w:rPr>
            </w:pPr>
          </w:p>
        </w:tc>
        <w:tc>
          <w:tcPr>
            <w:tcW w:w="1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3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1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10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44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42"/>
          </w:tcPr>
          <w:p>
            <w:pPr>
              <w:spacing w:after="0" w:line="189" w:lineRule="exact"/>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Form of Non-Employee Restricted Stock Award Agreement (vest into retirement) (</w:t>
              </w:r>
              <w:r>
                <w:rPr>
                  <w:rFonts w:ascii="Times New Roman" w:cs="Times New Roman" w:eastAsia="Times New Roman" w:hAnsi="Times New Roman"/>
                  <w:sz w:val="18"/>
                  <w:szCs w:val="18"/>
                  <w:color w:val="0000FF"/>
                </w:rPr>
                <w:t>incorporated by reference to</w:t>
              </w:r>
            </w:hyperlink>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0" w:type="dxa"/>
            <w:vAlign w:val="bottom"/>
            <w:gridSpan w:val="25"/>
          </w:tcPr>
          <w:p>
            <w:pPr>
              <w:spacing w:after="0" w:line="169"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Exhibit 10.4 to the Registrant’s Quarterly Report on Form 10-Q filed on August 4, 2020</w:t>
              </w:r>
              <w:r>
                <w:rPr>
                  <w:rFonts w:ascii="Times New Roman" w:cs="Times New Roman" w:eastAsia="Times New Roman" w:hAnsi="Times New Roman"/>
                  <w:sz w:val="18"/>
                  <w:szCs w:val="18"/>
                  <w:color w:val="000000"/>
                  <w:w w:val="99"/>
                </w:rPr>
                <w:t>)</w:t>
              </w:r>
            </w:hyperlink>
          </w:p>
        </w:tc>
        <w:tc>
          <w:tcPr>
            <w:tcW w:w="2160" w:type="dxa"/>
            <w:vAlign w:val="bottom"/>
            <w:tcBorders>
              <w:top w:val="single" w:sz="8" w:color="0000FF"/>
            </w:tcBorders>
            <w:gridSpan w:val="10"/>
          </w:tcPr>
          <w:p>
            <w:pPr>
              <w:jc w:val="right"/>
              <w:ind w:right="2120"/>
              <w:spacing w:after="0"/>
              <w:rPr>
                <w:rFonts w:ascii="Times New Roman" w:cs="Times New Roman" w:eastAsia="Times New Roman" w:hAnsi="Times New Roman"/>
                <w:sz w:val="11"/>
                <w:szCs w:val="11"/>
                <w:color w:val="auto"/>
                <w:w w:val="70"/>
              </w:rPr>
            </w:pPr>
            <w:hyperlink r:id="rId139">
              <w:r>
                <w:rPr>
                  <w:rFonts w:ascii="Times New Roman" w:cs="Times New Roman" w:eastAsia="Times New Roman" w:hAnsi="Times New Roman"/>
                  <w:sz w:val="11"/>
                  <w:szCs w:val="11"/>
                  <w:color w:val="auto"/>
                  <w:w w:val="70"/>
                </w:rPr>
                <w:t>.</w:t>
              </w:r>
            </w:hyperlink>
          </w:p>
        </w:tc>
        <w:tc>
          <w:tcPr>
            <w:tcW w:w="160" w:type="dxa"/>
            <w:vAlign w:val="bottom"/>
            <w:tcBorders>
              <w:top w:val="single" w:sz="8" w:color="0000FF"/>
            </w:tcBorders>
            <w:gridSpan w:val="7"/>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10.21*</w:t>
            </w:r>
          </w:p>
        </w:tc>
        <w:tc>
          <w:tcPr>
            <w:tcW w:w="22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8720" w:type="dxa"/>
            <w:vAlign w:val="bottom"/>
            <w:tcBorders>
              <w:right w:val="single" w:sz="8" w:color="BFE4FF"/>
            </w:tcBorders>
            <w:gridSpan w:val="42"/>
            <w:shd w:val="clear" w:color="auto" w:fill="BFE4FF"/>
          </w:tcPr>
          <w:p>
            <w:pPr>
              <w:spacing w:after="0" w:line="189" w:lineRule="exact"/>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Form of Employee (Time-Vested) Restricted Stock Unit Award Agreement (</w:t>
              </w:r>
              <w:r>
                <w:rPr>
                  <w:rFonts w:ascii="Times New Roman" w:cs="Times New Roman" w:eastAsia="Times New Roman" w:hAnsi="Times New Roman"/>
                  <w:sz w:val="18"/>
                  <w:szCs w:val="18"/>
                  <w:color w:val="0000FF"/>
                </w:rPr>
                <w:t>incorporated by reference to Exhibit 10.25</w:t>
              </w:r>
            </w:hyperlink>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60" w:type="dxa"/>
            <w:vAlign w:val="bottom"/>
            <w:tcBorders>
              <w:top w:val="single" w:sz="8" w:color="BFE4FF"/>
            </w:tcBorders>
            <w:shd w:val="clear" w:color="auto" w:fill="BFE4FF"/>
          </w:tcPr>
          <w:p>
            <w:pPr>
              <w:spacing w:after="0"/>
              <w:rPr>
                <w:sz w:val="16"/>
                <w:szCs w:val="16"/>
                <w:color w:val="auto"/>
              </w:rPr>
            </w:pPr>
          </w:p>
        </w:tc>
        <w:tc>
          <w:tcPr>
            <w:tcW w:w="220" w:type="dxa"/>
            <w:vAlign w:val="bottom"/>
            <w:tcBorders>
              <w:top w:val="single" w:sz="8" w:color="BFE4FF"/>
            </w:tcBorders>
            <w:shd w:val="clear" w:color="auto" w:fill="BFE4FF"/>
          </w:tcPr>
          <w:p>
            <w:pPr>
              <w:spacing w:after="0"/>
              <w:rPr>
                <w:sz w:val="16"/>
                <w:szCs w:val="16"/>
                <w:color w:val="auto"/>
              </w:rPr>
            </w:pPr>
          </w:p>
        </w:tc>
        <w:tc>
          <w:tcPr>
            <w:tcW w:w="20" w:type="dxa"/>
            <w:vAlign w:val="bottom"/>
            <w:tcBorders>
              <w:top w:val="single" w:sz="8" w:color="BFE4FF"/>
            </w:tcBorders>
            <w:shd w:val="clear" w:color="auto" w:fill="BFE4FF"/>
          </w:tcPr>
          <w:p>
            <w:pPr>
              <w:spacing w:after="0"/>
              <w:rPr>
                <w:sz w:val="16"/>
                <w:szCs w:val="16"/>
                <w:color w:val="auto"/>
              </w:rPr>
            </w:pPr>
          </w:p>
        </w:tc>
        <w:tc>
          <w:tcPr>
            <w:tcW w:w="5500" w:type="dxa"/>
            <w:vAlign w:val="bottom"/>
            <w:tcBorders>
              <w:top w:val="single" w:sz="8" w:color="BFE4FF"/>
            </w:tcBorders>
            <w:gridSpan w:val="20"/>
            <w:shd w:val="clear" w:color="auto" w:fill="BFE4FF"/>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to the Registrant’s Annual Report on Form 10-K filed on March 8, 2021</w:t>
              </w:r>
              <w:r>
                <w:rPr>
                  <w:rFonts w:ascii="Times New Roman" w:cs="Times New Roman" w:eastAsia="Times New Roman" w:hAnsi="Times New Roman"/>
                  <w:sz w:val="18"/>
                  <w:szCs w:val="18"/>
                  <w:color w:val="000000"/>
                </w:rPr>
                <w:t>).</w:t>
              </w:r>
            </w:hyperlink>
          </w:p>
        </w:tc>
        <w:tc>
          <w:tcPr>
            <w:tcW w:w="3060" w:type="dxa"/>
            <w:vAlign w:val="bottom"/>
            <w:tcBorders>
              <w:top w:val="single" w:sz="8" w:color="0000FF"/>
            </w:tcBorders>
            <w:gridSpan w:val="15"/>
            <w:shd w:val="clear" w:color="auto" w:fill="BFE4FF"/>
          </w:tcPr>
          <w:p>
            <w:pPr>
              <w:spacing w:after="0"/>
              <w:rPr>
                <w:sz w:val="16"/>
                <w:szCs w:val="16"/>
                <w:color w:val="auto"/>
              </w:rPr>
            </w:pPr>
          </w:p>
        </w:tc>
        <w:tc>
          <w:tcPr>
            <w:tcW w:w="160" w:type="dxa"/>
            <w:vAlign w:val="bottom"/>
            <w:tcBorders>
              <w:top w:val="single" w:sz="8" w:color="BFE4FF"/>
              <w:right w:val="single" w:sz="8" w:color="BFE4FF"/>
            </w:tcBorders>
            <w:gridSpan w:val="7"/>
            <w:shd w:val="clear" w:color="auto" w:fill="BFE4FF"/>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4"/>
        </w:trPr>
        <w:tc>
          <w:tcPr>
            <w:tcW w:w="960" w:type="dxa"/>
            <w:vAlign w:val="bottom"/>
            <w:tcBorders>
              <w:top w:val="single" w:sz="8" w:color="BFE4FF"/>
            </w:tcBorders>
          </w:tcPr>
          <w:p>
            <w:pPr>
              <w:spacing w:after="0"/>
              <w:rPr>
                <w:sz w:val="24"/>
                <w:szCs w:val="24"/>
                <w:color w:val="auto"/>
              </w:rPr>
            </w:pPr>
          </w:p>
        </w:tc>
        <w:tc>
          <w:tcPr>
            <w:tcW w:w="220" w:type="dxa"/>
            <w:vAlign w:val="bottom"/>
            <w:tcBorders>
              <w:top w:val="single" w:sz="8" w:color="BFE4FF"/>
            </w:tcBorders>
          </w:tcPr>
          <w:p>
            <w:pPr>
              <w:spacing w:after="0"/>
              <w:rPr>
                <w:sz w:val="24"/>
                <w:szCs w:val="24"/>
                <w:color w:val="auto"/>
              </w:rPr>
            </w:pPr>
          </w:p>
        </w:tc>
        <w:tc>
          <w:tcPr>
            <w:tcW w:w="20" w:type="dxa"/>
            <w:vAlign w:val="bottom"/>
            <w:tcBorders>
              <w:top w:val="single" w:sz="8" w:color="BFE4FF"/>
            </w:tcBorders>
          </w:tcPr>
          <w:p>
            <w:pPr>
              <w:spacing w:after="0"/>
              <w:rPr>
                <w:sz w:val="24"/>
                <w:szCs w:val="24"/>
                <w:color w:val="auto"/>
              </w:rPr>
            </w:pPr>
          </w:p>
        </w:tc>
        <w:tc>
          <w:tcPr>
            <w:tcW w:w="4700" w:type="dxa"/>
            <w:vAlign w:val="bottom"/>
            <w:tcBorders>
              <w:top w:val="single" w:sz="8" w:color="0000FF"/>
            </w:tcBorders>
            <w:gridSpan w:val="16"/>
          </w:tcPr>
          <w:p>
            <w:pPr>
              <w:ind w:left="434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BFE4FF"/>
            </w:tcBorders>
          </w:tcPr>
          <w:p>
            <w:pPr>
              <w:spacing w:after="0"/>
              <w:rPr>
                <w:sz w:val="24"/>
                <w:szCs w:val="24"/>
                <w:color w:val="auto"/>
              </w:rPr>
            </w:pPr>
          </w:p>
        </w:tc>
        <w:tc>
          <w:tcPr>
            <w:tcW w:w="20" w:type="dxa"/>
            <w:vAlign w:val="bottom"/>
            <w:tcBorders>
              <w:top w:val="single" w:sz="8" w:color="BFE4FF"/>
            </w:tcBorders>
          </w:tcPr>
          <w:p>
            <w:pPr>
              <w:spacing w:after="0"/>
              <w:rPr>
                <w:sz w:val="24"/>
                <w:szCs w:val="24"/>
                <w:color w:val="auto"/>
              </w:rPr>
            </w:pPr>
          </w:p>
        </w:tc>
        <w:tc>
          <w:tcPr>
            <w:tcW w:w="480" w:type="dxa"/>
            <w:vAlign w:val="bottom"/>
            <w:tcBorders>
              <w:top w:val="single" w:sz="8" w:color="BFE4FF"/>
            </w:tcBorders>
          </w:tcPr>
          <w:p>
            <w:pPr>
              <w:spacing w:after="0"/>
              <w:rPr>
                <w:sz w:val="24"/>
                <w:szCs w:val="24"/>
                <w:color w:val="auto"/>
              </w:rPr>
            </w:pPr>
          </w:p>
        </w:tc>
        <w:tc>
          <w:tcPr>
            <w:tcW w:w="120" w:type="dxa"/>
            <w:vAlign w:val="bottom"/>
            <w:tcBorders>
              <w:top w:val="single" w:sz="8" w:color="BFE4FF"/>
            </w:tcBorders>
          </w:tcPr>
          <w:p>
            <w:pPr>
              <w:spacing w:after="0"/>
              <w:rPr>
                <w:sz w:val="24"/>
                <w:szCs w:val="24"/>
                <w:color w:val="auto"/>
              </w:rPr>
            </w:pPr>
          </w:p>
        </w:tc>
        <w:tc>
          <w:tcPr>
            <w:tcW w:w="220" w:type="dxa"/>
            <w:vAlign w:val="bottom"/>
            <w:tcBorders>
              <w:top w:val="single" w:sz="8" w:color="BFE4FF"/>
            </w:tcBorders>
          </w:tcPr>
          <w:p>
            <w:pPr>
              <w:spacing w:after="0"/>
              <w:rPr>
                <w:sz w:val="24"/>
                <w:szCs w:val="24"/>
                <w:color w:val="auto"/>
              </w:rPr>
            </w:pPr>
          </w:p>
        </w:tc>
        <w:tc>
          <w:tcPr>
            <w:tcW w:w="60" w:type="dxa"/>
            <w:vAlign w:val="bottom"/>
            <w:tcBorders>
              <w:top w:val="single" w:sz="8" w:color="BFE4FF"/>
            </w:tcBorders>
          </w:tcPr>
          <w:p>
            <w:pPr>
              <w:spacing w:after="0"/>
              <w:rPr>
                <w:sz w:val="24"/>
                <w:szCs w:val="24"/>
                <w:color w:val="auto"/>
              </w:rPr>
            </w:pPr>
          </w:p>
        </w:tc>
        <w:tc>
          <w:tcPr>
            <w:tcW w:w="1020" w:type="dxa"/>
            <w:vAlign w:val="bottom"/>
            <w:tcBorders>
              <w:top w:val="single" w:sz="8" w:color="BFE4FF"/>
            </w:tcBorders>
          </w:tcPr>
          <w:p>
            <w:pPr>
              <w:spacing w:after="0"/>
              <w:rPr>
                <w:sz w:val="24"/>
                <w:szCs w:val="24"/>
                <w:color w:val="auto"/>
              </w:rPr>
            </w:pPr>
          </w:p>
        </w:tc>
        <w:tc>
          <w:tcPr>
            <w:tcW w:w="40" w:type="dxa"/>
            <w:vAlign w:val="bottom"/>
            <w:tcBorders>
              <w:top w:val="single" w:sz="8" w:color="BFE4FF"/>
            </w:tcBorders>
          </w:tcPr>
          <w:p>
            <w:pPr>
              <w:spacing w:after="0"/>
              <w:rPr>
                <w:sz w:val="24"/>
                <w:szCs w:val="24"/>
                <w:color w:val="auto"/>
              </w:rPr>
            </w:pPr>
          </w:p>
        </w:tc>
        <w:tc>
          <w:tcPr>
            <w:tcW w:w="260" w:type="dxa"/>
            <w:vAlign w:val="bottom"/>
            <w:tcBorders>
              <w:top w:val="single" w:sz="8" w:color="BFE4FF"/>
            </w:tcBorders>
          </w:tcPr>
          <w:p>
            <w:pPr>
              <w:spacing w:after="0"/>
              <w:rPr>
                <w:sz w:val="24"/>
                <w:szCs w:val="24"/>
                <w:color w:val="auto"/>
              </w:rPr>
            </w:pPr>
          </w:p>
        </w:tc>
        <w:tc>
          <w:tcPr>
            <w:tcW w:w="440" w:type="dxa"/>
            <w:vAlign w:val="bottom"/>
            <w:tcBorders>
              <w:top w:val="single" w:sz="8" w:color="BFE4FF"/>
            </w:tcBorders>
          </w:tcPr>
          <w:p>
            <w:pPr>
              <w:spacing w:after="0"/>
              <w:rPr>
                <w:sz w:val="24"/>
                <w:szCs w:val="24"/>
                <w:color w:val="auto"/>
              </w:rPr>
            </w:pPr>
          </w:p>
        </w:tc>
        <w:tc>
          <w:tcPr>
            <w:tcW w:w="20" w:type="dxa"/>
            <w:vAlign w:val="bottom"/>
            <w:tcBorders>
              <w:top w:val="single" w:sz="8" w:color="BFE4FF"/>
            </w:tcBorders>
          </w:tcPr>
          <w:p>
            <w:pPr>
              <w:spacing w:after="0"/>
              <w:rPr>
                <w:sz w:val="24"/>
                <w:szCs w:val="24"/>
                <w:color w:val="auto"/>
              </w:rPr>
            </w:pPr>
          </w:p>
        </w:tc>
        <w:tc>
          <w:tcPr>
            <w:tcW w:w="20" w:type="dxa"/>
            <w:vAlign w:val="bottom"/>
            <w:tcBorders>
              <w:top w:val="single" w:sz="8" w:color="BFE4FF"/>
            </w:tcBorders>
          </w:tcPr>
          <w:p>
            <w:pPr>
              <w:spacing w:after="0"/>
              <w:rPr>
                <w:sz w:val="24"/>
                <w:szCs w:val="24"/>
                <w:color w:val="auto"/>
              </w:rPr>
            </w:pPr>
          </w:p>
        </w:tc>
        <w:tc>
          <w:tcPr>
            <w:tcW w:w="20" w:type="dxa"/>
            <w:vAlign w:val="bottom"/>
            <w:tcBorders>
              <w:top w:val="single" w:sz="8" w:color="BFE4FF"/>
            </w:tcBorders>
          </w:tcPr>
          <w:p>
            <w:pPr>
              <w:spacing w:after="0"/>
              <w:rPr>
                <w:sz w:val="24"/>
                <w:szCs w:val="24"/>
                <w:color w:val="auto"/>
              </w:rPr>
            </w:pPr>
          </w:p>
        </w:tc>
        <w:tc>
          <w:tcPr>
            <w:tcW w:w="40" w:type="dxa"/>
            <w:vAlign w:val="bottom"/>
            <w:tcBorders>
              <w:top w:val="single" w:sz="8" w:color="BFE4FF"/>
            </w:tcBorders>
          </w:tcPr>
          <w:p>
            <w:pPr>
              <w:spacing w:after="0"/>
              <w:rPr>
                <w:sz w:val="24"/>
                <w:szCs w:val="24"/>
                <w:color w:val="auto"/>
              </w:rPr>
            </w:pPr>
          </w:p>
        </w:tc>
        <w:tc>
          <w:tcPr>
            <w:tcW w:w="60" w:type="dxa"/>
            <w:vAlign w:val="bottom"/>
            <w:tcBorders>
              <w:top w:val="single" w:sz="8" w:color="BFE4FF"/>
            </w:tcBorders>
          </w:tcPr>
          <w:p>
            <w:pPr>
              <w:spacing w:after="0"/>
              <w:rPr>
                <w:sz w:val="24"/>
                <w:szCs w:val="24"/>
                <w:color w:val="auto"/>
              </w:rPr>
            </w:pPr>
          </w:p>
        </w:tc>
        <w:tc>
          <w:tcPr>
            <w:tcW w:w="240" w:type="dxa"/>
            <w:vAlign w:val="bottom"/>
            <w:tcBorders>
              <w:top w:val="single" w:sz="8" w:color="BFE4FF"/>
            </w:tcBorders>
          </w:tcPr>
          <w:p>
            <w:pPr>
              <w:spacing w:after="0"/>
              <w:rPr>
                <w:sz w:val="24"/>
                <w:szCs w:val="24"/>
                <w:color w:val="auto"/>
              </w:rPr>
            </w:pPr>
          </w:p>
        </w:tc>
        <w:tc>
          <w:tcPr>
            <w:tcW w:w="20" w:type="dxa"/>
            <w:vAlign w:val="bottom"/>
            <w:tcBorders>
              <w:top w:val="single" w:sz="8" w:color="BFE4FF"/>
            </w:tcBorders>
          </w:tcPr>
          <w:p>
            <w:pPr>
              <w:spacing w:after="0"/>
              <w:rPr>
                <w:sz w:val="24"/>
                <w:szCs w:val="24"/>
                <w:color w:val="auto"/>
              </w:rPr>
            </w:pPr>
          </w:p>
        </w:tc>
        <w:tc>
          <w:tcPr>
            <w:tcW w:w="20" w:type="dxa"/>
            <w:vAlign w:val="bottom"/>
            <w:tcBorders>
              <w:top w:val="single" w:sz="8" w:color="BFE4FF"/>
            </w:tcBorders>
          </w:tcPr>
          <w:p>
            <w:pPr>
              <w:spacing w:after="0"/>
              <w:rPr>
                <w:sz w:val="24"/>
                <w:szCs w:val="24"/>
                <w:color w:val="auto"/>
              </w:rPr>
            </w:pPr>
          </w:p>
        </w:tc>
        <w:tc>
          <w:tcPr>
            <w:tcW w:w="20" w:type="dxa"/>
            <w:vAlign w:val="bottom"/>
            <w:tcBorders>
              <w:top w:val="single" w:sz="8" w:color="BFE4FF"/>
            </w:tcBorders>
          </w:tcPr>
          <w:p>
            <w:pPr>
              <w:spacing w:after="0"/>
              <w:rPr>
                <w:sz w:val="24"/>
                <w:szCs w:val="24"/>
                <w:color w:val="auto"/>
              </w:rPr>
            </w:pPr>
          </w:p>
        </w:tc>
        <w:tc>
          <w:tcPr>
            <w:tcW w:w="20" w:type="dxa"/>
            <w:vAlign w:val="bottom"/>
            <w:tcBorders>
              <w:top w:val="single" w:sz="8" w:color="BFE4FF"/>
            </w:tcBorders>
          </w:tcPr>
          <w:p>
            <w:pPr>
              <w:spacing w:after="0"/>
              <w:rPr>
                <w:sz w:val="24"/>
                <w:szCs w:val="24"/>
                <w:color w:val="auto"/>
              </w:rPr>
            </w:pPr>
          </w:p>
        </w:tc>
        <w:tc>
          <w:tcPr>
            <w:tcW w:w="20" w:type="dxa"/>
            <w:vAlign w:val="bottom"/>
            <w:tcBorders>
              <w:top w:val="single" w:sz="8" w:color="BFE4FF"/>
            </w:tcBorders>
          </w:tcPr>
          <w:p>
            <w:pPr>
              <w:spacing w:after="0"/>
              <w:rPr>
                <w:sz w:val="24"/>
                <w:szCs w:val="24"/>
                <w:color w:val="auto"/>
              </w:rPr>
            </w:pPr>
          </w:p>
        </w:tc>
        <w:tc>
          <w:tcPr>
            <w:tcW w:w="20" w:type="dxa"/>
            <w:vAlign w:val="bottom"/>
            <w:tcBorders>
              <w:top w:val="single" w:sz="8" w:color="BFE4FF"/>
            </w:tcBorders>
          </w:tcPr>
          <w:p>
            <w:pPr>
              <w:spacing w:after="0"/>
              <w:rPr>
                <w:sz w:val="24"/>
                <w:szCs w:val="24"/>
                <w:color w:val="auto"/>
              </w:rPr>
            </w:pPr>
          </w:p>
        </w:tc>
        <w:tc>
          <w:tcPr>
            <w:tcW w:w="40" w:type="dxa"/>
            <w:vAlign w:val="bottom"/>
            <w:tcBorders>
              <w:top w:val="single" w:sz="8" w:color="BFE4FF"/>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60" w:type="dxa"/>
            <w:vAlign w:val="bottom"/>
            <w:gridSpan w:val="4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5"/>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60" w:type="dxa"/>
            <w:vAlign w:val="bottom"/>
            <w:gridSpan w:val="4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6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10.22*</w:t>
            </w:r>
          </w:p>
        </w:tc>
        <w:tc>
          <w:tcPr>
            <w:tcW w:w="220" w:type="dxa"/>
            <w:vAlign w:val="bottom"/>
          </w:tcPr>
          <w:p>
            <w:pPr>
              <w:spacing w:after="0"/>
              <w:rPr>
                <w:sz w:val="16"/>
                <w:szCs w:val="16"/>
                <w:color w:val="auto"/>
              </w:rPr>
            </w:pPr>
          </w:p>
        </w:tc>
        <w:tc>
          <w:tcPr>
            <w:tcW w:w="8720" w:type="dxa"/>
            <w:vAlign w:val="bottom"/>
            <w:tcBorders>
              <w:top w:val="single" w:sz="8" w:color="auto"/>
            </w:tcBorders>
            <w:gridSpan w:val="45"/>
          </w:tcPr>
          <w:p>
            <w:pPr>
              <w:ind w:left="20"/>
              <w:spacing w:after="0" w:line="189" w:lineRule="exact"/>
              <w:rPr>
                <w:rFonts w:ascii="Times New Roman" w:cs="Times New Roman" w:eastAsia="Times New Roman" w:hAnsi="Times New Roman"/>
                <w:sz w:val="18"/>
                <w:szCs w:val="18"/>
                <w:color w:val="auto"/>
              </w:rPr>
            </w:pPr>
            <w:hyperlink r:id="rId143">
              <w:r>
                <w:rPr>
                  <w:rFonts w:ascii="Times New Roman" w:cs="Times New Roman" w:eastAsia="Times New Roman" w:hAnsi="Times New Roman"/>
                  <w:sz w:val="18"/>
                  <w:szCs w:val="18"/>
                  <w:color w:val="auto"/>
                </w:rPr>
                <w:t>Letter Agreement dated April 10, 2019 between MiMedx Group, Inc. and Timothy R. Wright (</w:t>
              </w:r>
              <w:r>
                <w:rPr>
                  <w:rFonts w:ascii="Times New Roman" w:cs="Times New Roman" w:eastAsia="Times New Roman" w:hAnsi="Times New Roman"/>
                  <w:sz w:val="18"/>
                  <w:szCs w:val="18"/>
                  <w:color w:val="0000FF"/>
                </w:rPr>
                <w:t>incorporated by</w:t>
              </w:r>
            </w:hyperlink>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0" w:type="dxa"/>
            <w:vAlign w:val="bottom"/>
            <w:gridSpan w:val="30"/>
          </w:tcPr>
          <w:p>
            <w:pPr>
              <w:ind w:left="20"/>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 xml:space="preserve">reference to Exhibit 10.1 to the Registrant’s </w:t>
              </w:r>
            </w:hyperlink>
            <w:hyperlink r:id="rId119">
              <w:r>
                <w:rPr>
                  <w:rFonts w:ascii="Times New Roman" w:cs="Times New Roman" w:eastAsia="Times New Roman" w:hAnsi="Times New Roman"/>
                  <w:sz w:val="18"/>
                  <w:szCs w:val="18"/>
                  <w:color w:val="0000FF"/>
                </w:rPr>
                <w:t xml:space="preserve">Current Report on </w:t>
              </w:r>
            </w:hyperlink>
            <w:hyperlink r:id="rId143">
              <w:r>
                <w:rPr>
                  <w:rFonts w:ascii="Times New Roman" w:cs="Times New Roman" w:eastAsia="Times New Roman" w:hAnsi="Times New Roman"/>
                  <w:sz w:val="18"/>
                  <w:szCs w:val="18"/>
                  <w:color w:val="0000FF"/>
                </w:rPr>
                <w:t>Form 8-K filed on May 9, 2019</w:t>
              </w:r>
              <w:r>
                <w:rPr>
                  <w:rFonts w:ascii="Times New Roman" w:cs="Times New Roman" w:eastAsia="Times New Roman" w:hAnsi="Times New Roman"/>
                  <w:sz w:val="18"/>
                  <w:szCs w:val="18"/>
                  <w:color w:val="000000"/>
                </w:rPr>
                <w:t>).</w:t>
              </w:r>
            </w:hyperlink>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10.23*</w:t>
            </w: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Employment Offer Letter between MiMedx Group, Inc. and Peter M. Carlson, as amended and restated on June 30,</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94" w:lineRule="exact"/>
              <w:rPr>
                <w:rFonts w:ascii="Times New Roman" w:cs="Times New Roman" w:eastAsia="Times New Roman" w:hAnsi="Times New Roman"/>
                <w:sz w:val="18"/>
                <w:szCs w:val="18"/>
                <w:color w:val="auto"/>
              </w:rPr>
            </w:pPr>
            <w:hyperlink r:id="rId144">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color w:val="0000FF"/>
                </w:rPr>
                <w:t>incorporated by reference to Exhibit 10.1 to the Registrant’s Quarterly Report on Form 10-Q filed on August 3,</w:t>
              </w:r>
            </w:hyperlink>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460" w:type="dxa"/>
            <w:vAlign w:val="bottom"/>
            <w:tcBorders>
              <w:top w:val="single" w:sz="8" w:color="BFE4FF"/>
            </w:tcBorders>
            <w:gridSpan w:val="6"/>
            <w:shd w:val="clear" w:color="auto" w:fill="BFE4FF"/>
          </w:tcPr>
          <w:p>
            <w:pPr>
              <w:jc w:val="right"/>
              <w:spacing w:after="0" w:line="156" w:lineRule="exact"/>
              <w:rPr>
                <w:rFonts w:ascii="Times New Roman" w:cs="Times New Roman" w:eastAsia="Times New Roman" w:hAnsi="Times New Roman"/>
                <w:sz w:val="18"/>
                <w:szCs w:val="18"/>
                <w:color w:val="0000FF"/>
                <w:w w:val="94"/>
              </w:rPr>
            </w:pPr>
            <w:hyperlink r:id="rId144">
              <w:r>
                <w:rPr>
                  <w:rFonts w:ascii="Times New Roman" w:cs="Times New Roman" w:eastAsia="Times New Roman" w:hAnsi="Times New Roman"/>
                  <w:sz w:val="18"/>
                  <w:szCs w:val="18"/>
                  <w:color w:val="0000FF"/>
                  <w:w w:val="94"/>
                </w:rPr>
                <w:t>2021</w:t>
              </w:r>
              <w:r>
                <w:rPr>
                  <w:rFonts w:ascii="Times New Roman" w:cs="Times New Roman" w:eastAsia="Times New Roman" w:hAnsi="Times New Roman"/>
                  <w:sz w:val="18"/>
                  <w:szCs w:val="18"/>
                  <w:color w:val="000000"/>
                  <w:w w:val="94"/>
                </w:rPr>
                <w:t>).</w:t>
              </w:r>
            </w:hyperlink>
          </w:p>
        </w:tc>
        <w:tc>
          <w:tcPr>
            <w:tcW w:w="20" w:type="dxa"/>
            <w:vAlign w:val="bottom"/>
            <w:tcBorders>
              <w:top w:val="single" w:sz="8" w:color="0000FF"/>
            </w:tcBorders>
            <w:shd w:val="clear" w:color="auto" w:fill="BFE4FF"/>
          </w:tcPr>
          <w:p>
            <w:pPr>
              <w:spacing w:after="0"/>
              <w:rPr>
                <w:sz w:val="13"/>
                <w:szCs w:val="13"/>
                <w:color w:val="auto"/>
              </w:rPr>
            </w:pPr>
          </w:p>
        </w:tc>
        <w:tc>
          <w:tcPr>
            <w:tcW w:w="160" w:type="dxa"/>
            <w:vAlign w:val="bottom"/>
            <w:tcBorders>
              <w:top w:val="single" w:sz="8" w:color="0000FF"/>
            </w:tcBorders>
            <w:shd w:val="clear" w:color="auto" w:fill="BFE4FF"/>
          </w:tcPr>
          <w:p>
            <w:pPr>
              <w:spacing w:after="0"/>
              <w:rPr>
                <w:sz w:val="13"/>
                <w:szCs w:val="13"/>
                <w:color w:val="auto"/>
              </w:rPr>
            </w:pPr>
          </w:p>
        </w:tc>
        <w:tc>
          <w:tcPr>
            <w:tcW w:w="66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94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400" w:type="dxa"/>
            <w:vAlign w:val="bottom"/>
            <w:tcBorders>
              <w:top w:val="single" w:sz="8" w:color="0000FF"/>
            </w:tcBorders>
            <w:shd w:val="clear" w:color="auto" w:fill="BFE4FF"/>
          </w:tcPr>
          <w:p>
            <w:pPr>
              <w:spacing w:after="0"/>
              <w:rPr>
                <w:sz w:val="13"/>
                <w:szCs w:val="13"/>
                <w:color w:val="auto"/>
              </w:rPr>
            </w:pPr>
          </w:p>
        </w:tc>
        <w:tc>
          <w:tcPr>
            <w:tcW w:w="114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820" w:type="dxa"/>
            <w:vAlign w:val="bottom"/>
            <w:tcBorders>
              <w:top w:val="single" w:sz="8" w:color="0000FF"/>
            </w:tcBorders>
            <w:shd w:val="clear" w:color="auto" w:fill="BFE4FF"/>
          </w:tcPr>
          <w:p>
            <w:pPr>
              <w:spacing w:after="0"/>
              <w:rPr>
                <w:sz w:val="13"/>
                <w:szCs w:val="13"/>
                <w:color w:val="auto"/>
              </w:rPr>
            </w:pPr>
          </w:p>
        </w:tc>
        <w:tc>
          <w:tcPr>
            <w:tcW w:w="52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780" w:type="dxa"/>
            <w:vAlign w:val="bottom"/>
            <w:tcBorders>
              <w:top w:val="single" w:sz="8" w:color="0000FF"/>
            </w:tcBorders>
            <w:shd w:val="clear" w:color="auto" w:fill="BFE4FF"/>
          </w:tcPr>
          <w:p>
            <w:pPr>
              <w:spacing w:after="0"/>
              <w:rPr>
                <w:sz w:val="13"/>
                <w:szCs w:val="13"/>
                <w:color w:val="auto"/>
              </w:rPr>
            </w:pPr>
          </w:p>
        </w:tc>
        <w:tc>
          <w:tcPr>
            <w:tcW w:w="160" w:type="dxa"/>
            <w:vAlign w:val="bottom"/>
            <w:tcBorders>
              <w:top w:val="single" w:sz="8" w:color="0000FF"/>
            </w:tcBorders>
            <w:shd w:val="clear" w:color="auto" w:fill="BFE4FF"/>
          </w:tcPr>
          <w:p>
            <w:pPr>
              <w:spacing w:after="0"/>
              <w:rPr>
                <w:sz w:val="13"/>
                <w:szCs w:val="13"/>
                <w:color w:val="auto"/>
              </w:rPr>
            </w:pPr>
          </w:p>
        </w:tc>
        <w:tc>
          <w:tcPr>
            <w:tcW w:w="48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28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6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2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right w:val="single" w:sz="8" w:color="BFE4FF"/>
            </w:tcBorders>
            <w:shd w:val="clear" w:color="auto" w:fill="BFE4FF"/>
          </w:tcPr>
          <w:p>
            <w:pPr>
              <w:spacing w:after="0"/>
              <w:rPr>
                <w:sz w:val="13"/>
                <w:szCs w:val="13"/>
                <w:color w:val="auto"/>
              </w:rPr>
            </w:pPr>
          </w:p>
        </w:tc>
        <w:tc>
          <w:tcPr>
            <w:tcW w:w="16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right w:val="single" w:sz="8" w:color="BFE4FF"/>
            </w:tcBorders>
            <w:shd w:val="clear" w:color="auto" w:fill="BFE4FF"/>
          </w:tcPr>
          <w:p>
            <w:pPr>
              <w:spacing w:after="0"/>
              <w:rPr>
                <w:sz w:val="13"/>
                <w:szCs w:val="13"/>
                <w:color w:val="auto"/>
              </w:rPr>
            </w:pPr>
          </w:p>
        </w:tc>
        <w:tc>
          <w:tcPr>
            <w:tcW w:w="80" w:type="dxa"/>
            <w:vAlign w:val="bottom"/>
            <w:tcBorders>
              <w:top w:val="single" w:sz="8" w:color="BFE4FF"/>
              <w:left w:val="single" w:sz="8" w:color="BFE4FF"/>
            </w:tcBorders>
            <w:shd w:val="clear" w:color="auto" w:fill="BFE4FF"/>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6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9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1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left w:val="single" w:sz="8" w:color="BFE4FF"/>
            </w:tcBorders>
            <w:shd w:val="clear" w:color="auto" w:fill="BFE4FF"/>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00" w:type="dxa"/>
            <w:vAlign w:val="bottom"/>
            <w:gridSpan w:val="44"/>
          </w:tcPr>
          <w:p>
            <w:pPr>
              <w:spacing w:after="0" w:line="184" w:lineRule="exact"/>
              <w:rPr>
                <w:sz w:val="20"/>
                <w:szCs w:val="20"/>
                <w:color w:val="auto"/>
              </w:rPr>
            </w:pPr>
            <w:r>
              <w:rPr>
                <w:rFonts w:ascii="Times New Roman" w:cs="Times New Roman" w:eastAsia="Times New Roman" w:hAnsi="Times New Roman"/>
                <w:sz w:val="18"/>
                <w:szCs w:val="18"/>
                <w:color w:val="auto"/>
              </w:rPr>
              <w:t>Employment Offer Letter between MiMedx Group, Inc. and William F. Hulse IV dated November 4, 2019,</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6"/>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hyperlink r:id="rId145">
              <w:r>
                <w:rPr>
                  <w:rFonts w:ascii="Times New Roman" w:cs="Times New Roman" w:eastAsia="Times New Roman" w:hAnsi="Times New Roman"/>
                  <w:sz w:val="18"/>
                  <w:szCs w:val="18"/>
                  <w:color w:val="0000FF"/>
                </w:rPr>
                <w:t>ncorporated by reference to Exhibit 10.30 to the Registrant’s Annual Report on Form 10-K filed on July 6, 2020</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10.25*</w:t>
            </w: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89" w:lineRule="exact"/>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Form of Key Employee Retention and Restrictive Covenant Agreement (</w:t>
              </w:r>
              <w:r>
                <w:rPr>
                  <w:rFonts w:ascii="Times New Roman" w:cs="Times New Roman" w:eastAsia="Times New Roman" w:hAnsi="Times New Roman"/>
                  <w:sz w:val="18"/>
                  <w:szCs w:val="18"/>
                  <w:color w:val="0000FF"/>
                </w:rPr>
                <w:t>incorporated by reference to Exhibit 10.1 to</w:t>
              </w:r>
            </w:hyperlink>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BFE4FF"/>
            </w:tcBorders>
            <w:shd w:val="clear" w:color="auto" w:fill="BFE4FF"/>
          </w:tcPr>
          <w:p>
            <w:pPr>
              <w:spacing w:after="0"/>
              <w:rPr>
                <w:sz w:val="14"/>
                <w:szCs w:val="14"/>
                <w:color w:val="auto"/>
              </w:rPr>
            </w:pPr>
          </w:p>
        </w:tc>
        <w:tc>
          <w:tcPr>
            <w:tcW w:w="220" w:type="dxa"/>
            <w:vAlign w:val="bottom"/>
            <w:tcBorders>
              <w:top w:val="single" w:sz="8" w:color="BFE4FF"/>
            </w:tcBorders>
            <w:shd w:val="clear" w:color="auto" w:fill="BFE4FF"/>
          </w:tcPr>
          <w:p>
            <w:pPr>
              <w:spacing w:after="0"/>
              <w:rPr>
                <w:sz w:val="14"/>
                <w:szCs w:val="14"/>
                <w:color w:val="auto"/>
              </w:rPr>
            </w:pPr>
          </w:p>
        </w:tc>
        <w:tc>
          <w:tcPr>
            <w:tcW w:w="20" w:type="dxa"/>
            <w:vAlign w:val="bottom"/>
            <w:tcBorders>
              <w:top w:val="single" w:sz="8" w:color="BFE4FF"/>
            </w:tcBorders>
            <w:shd w:val="clear" w:color="auto" w:fill="BFE4FF"/>
          </w:tcPr>
          <w:p>
            <w:pPr>
              <w:spacing w:after="0"/>
              <w:rPr>
                <w:sz w:val="14"/>
                <w:szCs w:val="14"/>
                <w:color w:val="auto"/>
              </w:rPr>
            </w:pPr>
          </w:p>
        </w:tc>
        <w:tc>
          <w:tcPr>
            <w:tcW w:w="5360" w:type="dxa"/>
            <w:vAlign w:val="bottom"/>
            <w:tcBorders>
              <w:top w:val="single" w:sz="8" w:color="BFE4FF"/>
            </w:tcBorders>
            <w:gridSpan w:val="18"/>
            <w:shd w:val="clear" w:color="auto" w:fill="BFE4FF"/>
          </w:tcPr>
          <w:p>
            <w:pPr>
              <w:spacing w:after="0" w:line="169"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the Registrant’s Current Report on Form 8-K filed on December 21, 2020)</w:t>
              </w:r>
            </w:hyperlink>
          </w:p>
        </w:tc>
        <w:tc>
          <w:tcPr>
            <w:tcW w:w="820" w:type="dxa"/>
            <w:vAlign w:val="bottom"/>
            <w:tcBorders>
              <w:top w:val="single" w:sz="8" w:color="0000FF"/>
            </w:tcBorders>
            <w:gridSpan w:val="2"/>
            <w:shd w:val="clear" w:color="auto" w:fill="BFE4FF"/>
          </w:tcPr>
          <w:p>
            <w:pPr>
              <w:jc w:val="right"/>
              <w:ind w:right="780"/>
              <w:spacing w:after="0"/>
              <w:rPr>
                <w:rFonts w:ascii="Times New Roman" w:cs="Times New Roman" w:eastAsia="Times New Roman" w:hAnsi="Times New Roman"/>
                <w:sz w:val="11"/>
                <w:szCs w:val="11"/>
                <w:color w:val="0000FF"/>
                <w:w w:val="70"/>
              </w:rPr>
            </w:pPr>
            <w:hyperlink r:id="rId146">
              <w:r>
                <w:rPr>
                  <w:rFonts w:ascii="Times New Roman" w:cs="Times New Roman" w:eastAsia="Times New Roman" w:hAnsi="Times New Roman"/>
                  <w:sz w:val="11"/>
                  <w:szCs w:val="11"/>
                  <w:color w:val="0000FF"/>
                  <w:w w:val="70"/>
                </w:rPr>
                <w:t>.</w:t>
              </w:r>
            </w:hyperlink>
          </w:p>
        </w:tc>
        <w:tc>
          <w:tcPr>
            <w:tcW w:w="160" w:type="dxa"/>
            <w:vAlign w:val="bottom"/>
            <w:tcBorders>
              <w:top w:val="single" w:sz="8" w:color="0000FF"/>
            </w:tcBorders>
            <w:shd w:val="clear" w:color="auto" w:fill="BFE4FF"/>
          </w:tcPr>
          <w:p>
            <w:pPr>
              <w:spacing w:after="0"/>
              <w:rPr>
                <w:sz w:val="14"/>
                <w:szCs w:val="14"/>
                <w:color w:val="auto"/>
              </w:rPr>
            </w:pPr>
          </w:p>
        </w:tc>
        <w:tc>
          <w:tcPr>
            <w:tcW w:w="520" w:type="dxa"/>
            <w:vAlign w:val="bottom"/>
            <w:tcBorders>
              <w:top w:val="single" w:sz="8" w:color="0000FF"/>
            </w:tcBorders>
            <w:gridSpan w:val="2"/>
            <w:shd w:val="clear" w:color="auto" w:fill="BFE4FF"/>
          </w:tcPr>
          <w:p>
            <w:pPr>
              <w:spacing w:after="0"/>
              <w:rPr>
                <w:sz w:val="14"/>
                <w:szCs w:val="14"/>
                <w:color w:val="auto"/>
              </w:rPr>
            </w:pPr>
          </w:p>
        </w:tc>
        <w:tc>
          <w:tcPr>
            <w:tcW w:w="280" w:type="dxa"/>
            <w:vAlign w:val="bottom"/>
            <w:tcBorders>
              <w:top w:val="single" w:sz="8" w:color="0000FF"/>
            </w:tcBorders>
            <w:shd w:val="clear" w:color="auto" w:fill="BFE4FF"/>
          </w:tcPr>
          <w:p>
            <w:pPr>
              <w:spacing w:after="0"/>
              <w:rPr>
                <w:sz w:val="14"/>
                <w:szCs w:val="14"/>
                <w:color w:val="auto"/>
              </w:rPr>
            </w:pPr>
          </w:p>
        </w:tc>
        <w:tc>
          <w:tcPr>
            <w:tcW w:w="8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40" w:type="dxa"/>
            <w:vAlign w:val="bottom"/>
            <w:tcBorders>
              <w:top w:val="single" w:sz="8" w:color="0000FF"/>
            </w:tcBorders>
            <w:shd w:val="clear" w:color="auto" w:fill="BFE4FF"/>
          </w:tcPr>
          <w:p>
            <w:pPr>
              <w:spacing w:after="0"/>
              <w:rPr>
                <w:sz w:val="14"/>
                <w:szCs w:val="14"/>
                <w:color w:val="auto"/>
              </w:rPr>
            </w:pPr>
          </w:p>
        </w:tc>
        <w:tc>
          <w:tcPr>
            <w:tcW w:w="80" w:type="dxa"/>
            <w:vAlign w:val="bottom"/>
            <w:tcBorders>
              <w:top w:val="single" w:sz="8" w:color="0000FF"/>
            </w:tcBorders>
            <w:shd w:val="clear" w:color="auto" w:fill="BFE4FF"/>
          </w:tcPr>
          <w:p>
            <w:pPr>
              <w:spacing w:after="0"/>
              <w:rPr>
                <w:sz w:val="14"/>
                <w:szCs w:val="14"/>
                <w:color w:val="auto"/>
              </w:rPr>
            </w:pPr>
          </w:p>
        </w:tc>
        <w:tc>
          <w:tcPr>
            <w:tcW w:w="40" w:type="dxa"/>
            <w:vAlign w:val="bottom"/>
            <w:tcBorders>
              <w:top w:val="single" w:sz="8" w:color="0000FF"/>
            </w:tcBorders>
            <w:gridSpan w:val="2"/>
            <w:shd w:val="clear" w:color="auto" w:fill="BFE4FF"/>
          </w:tcPr>
          <w:p>
            <w:pPr>
              <w:spacing w:after="0"/>
              <w:rPr>
                <w:sz w:val="14"/>
                <w:szCs w:val="14"/>
                <w:color w:val="auto"/>
              </w:rPr>
            </w:pPr>
          </w:p>
        </w:tc>
        <w:tc>
          <w:tcPr>
            <w:tcW w:w="26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420" w:type="dxa"/>
            <w:vAlign w:val="bottom"/>
            <w:tcBorders>
              <w:top w:val="single" w:sz="8" w:color="0000FF"/>
            </w:tcBorders>
            <w:shd w:val="clear" w:color="auto" w:fill="BFE4FF"/>
          </w:tcPr>
          <w:p>
            <w:pPr>
              <w:spacing w:after="0"/>
              <w:rPr>
                <w:sz w:val="14"/>
                <w:szCs w:val="14"/>
                <w:color w:val="auto"/>
              </w:rPr>
            </w:pPr>
          </w:p>
        </w:tc>
        <w:tc>
          <w:tcPr>
            <w:tcW w:w="120" w:type="dxa"/>
            <w:vAlign w:val="bottom"/>
            <w:tcBorders>
              <w:top w:val="single" w:sz="8" w:color="0000FF"/>
              <w:right w:val="single" w:sz="8" w:color="BFE4FF"/>
            </w:tcBorders>
            <w:gridSpan w:val="2"/>
            <w:shd w:val="clear" w:color="auto" w:fill="BFE4FF"/>
          </w:tcPr>
          <w:p>
            <w:pPr>
              <w:spacing w:after="0"/>
              <w:rPr>
                <w:sz w:val="14"/>
                <w:szCs w:val="14"/>
                <w:color w:val="auto"/>
              </w:rPr>
            </w:pPr>
          </w:p>
        </w:tc>
        <w:tc>
          <w:tcPr>
            <w:tcW w:w="16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6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6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40" w:type="dxa"/>
            <w:vAlign w:val="bottom"/>
            <w:tcBorders>
              <w:top w:val="single" w:sz="8" w:color="0000FF"/>
              <w:right w:val="single" w:sz="8" w:color="BFE4FF"/>
            </w:tcBorders>
            <w:shd w:val="clear" w:color="auto" w:fill="BFE4FF"/>
          </w:tcPr>
          <w:p>
            <w:pPr>
              <w:spacing w:after="0"/>
              <w:rPr>
                <w:sz w:val="14"/>
                <w:szCs w:val="14"/>
                <w:color w:val="auto"/>
              </w:rPr>
            </w:pPr>
          </w:p>
        </w:tc>
        <w:tc>
          <w:tcPr>
            <w:tcW w:w="80" w:type="dxa"/>
            <w:vAlign w:val="bottom"/>
            <w:tcBorders>
              <w:top w:val="single" w:sz="8" w:color="BFE4FF"/>
              <w:left w:val="single" w:sz="8" w:color="BFE4FF"/>
            </w:tcBorders>
            <w:shd w:val="clear" w:color="auto" w:fill="BFE4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94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114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5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78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left w:val="single" w:sz="8" w:color="BFE4FF"/>
            </w:tcBorders>
            <w:shd w:val="clear" w:color="auto" w:fill="BFE4FF"/>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00" w:type="dxa"/>
            <w:vAlign w:val="bottom"/>
            <w:gridSpan w:val="44"/>
          </w:tcPr>
          <w:p>
            <w:pPr>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Indemnification Agreement (</w:t>
            </w:r>
            <w:hyperlink r:id="rId147">
              <w:r>
                <w:rPr>
                  <w:rFonts w:ascii="Times New Roman" w:cs="Times New Roman" w:eastAsia="Times New Roman" w:hAnsi="Times New Roman"/>
                  <w:sz w:val="18"/>
                  <w:szCs w:val="18"/>
                  <w:color w:val="0000FF"/>
                </w:rPr>
                <w:t xml:space="preserve">incorporated by reference to Exhibit 10.65 to the Registrant’s </w:t>
              </w:r>
            </w:hyperlink>
            <w:hyperlink r:id="rId119">
              <w:r>
                <w:rPr>
                  <w:rFonts w:ascii="Times New Roman" w:cs="Times New Roman" w:eastAsia="Times New Roman" w:hAnsi="Times New Roman"/>
                  <w:sz w:val="18"/>
                  <w:szCs w:val="18"/>
                  <w:color w:val="auto"/>
                </w:rPr>
                <w:t xml:space="preserve">Current </w:t>
              </w:r>
              <w:r>
                <w:rPr>
                  <w:rFonts w:ascii="Times New Roman" w:cs="Times New Roman" w:eastAsia="Times New Roman" w:hAnsi="Times New Roman"/>
                  <w:sz w:val="18"/>
                  <w:szCs w:val="18"/>
                  <w:color w:val="0000FF"/>
                </w:rPr>
                <w:t>Report on</w:t>
              </w:r>
            </w:hyperlink>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14"/>
          </w:tcPr>
          <w:p>
            <w:pPr>
              <w:ind w:left="20"/>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8-K filed on July 15, 2008</w:t>
              </w:r>
            </w:hyperlink>
            <w:r>
              <w:rPr>
                <w:rFonts w:ascii="Times New Roman" w:cs="Times New Roman" w:eastAsia="Times New Roman" w:hAnsi="Times New Roman"/>
                <w:sz w:val="18"/>
                <w:szCs w:val="18"/>
                <w:color w:val="000000"/>
              </w:rPr>
              <w:t>).</w:t>
            </w:r>
          </w:p>
        </w:tc>
        <w:tc>
          <w:tcPr>
            <w:tcW w:w="1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gridSpan w:val="3"/>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gridSpan w:val="2"/>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gridSpan w:val="2"/>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10.27*</w:t>
            </w: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89" w:lineRule="exact"/>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 xml:space="preserve">Form of Director Restricted Stock Unit Award Agreement (Type I - Initial Grant, Full Amount) </w:t>
              </w:r>
              <w:r>
                <w:rPr>
                  <w:rFonts w:ascii="Times New Roman" w:cs="Times New Roman" w:eastAsia="Times New Roman" w:hAnsi="Times New Roman"/>
                  <w:sz w:val="18"/>
                  <w:szCs w:val="18"/>
                  <w:color w:val="0000FF"/>
                </w:rPr>
                <w:t>(incorporated by</w:t>
              </w:r>
            </w:hyperlink>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BFE4FF"/>
            </w:tcBorders>
            <w:shd w:val="clear" w:color="auto" w:fill="BFE4FF"/>
          </w:tcPr>
          <w:p>
            <w:pPr>
              <w:spacing w:after="0"/>
              <w:rPr>
                <w:sz w:val="14"/>
                <w:szCs w:val="14"/>
                <w:color w:val="auto"/>
              </w:rPr>
            </w:pPr>
          </w:p>
        </w:tc>
        <w:tc>
          <w:tcPr>
            <w:tcW w:w="220" w:type="dxa"/>
            <w:vAlign w:val="bottom"/>
            <w:tcBorders>
              <w:top w:val="single" w:sz="8" w:color="BFE4FF"/>
            </w:tcBorders>
            <w:shd w:val="clear" w:color="auto" w:fill="BFE4FF"/>
          </w:tcPr>
          <w:p>
            <w:pPr>
              <w:spacing w:after="0"/>
              <w:rPr>
                <w:sz w:val="14"/>
                <w:szCs w:val="14"/>
                <w:color w:val="auto"/>
              </w:rPr>
            </w:pPr>
          </w:p>
        </w:tc>
        <w:tc>
          <w:tcPr>
            <w:tcW w:w="20" w:type="dxa"/>
            <w:vAlign w:val="bottom"/>
            <w:tcBorders>
              <w:top w:val="single" w:sz="8" w:color="BFE4FF"/>
            </w:tcBorders>
            <w:shd w:val="clear" w:color="auto" w:fill="BFE4FF"/>
          </w:tcPr>
          <w:p>
            <w:pPr>
              <w:spacing w:after="0"/>
              <w:rPr>
                <w:sz w:val="14"/>
                <w:szCs w:val="14"/>
                <w:color w:val="auto"/>
              </w:rPr>
            </w:pPr>
          </w:p>
        </w:tc>
        <w:tc>
          <w:tcPr>
            <w:tcW w:w="6860" w:type="dxa"/>
            <w:vAlign w:val="bottom"/>
            <w:tcBorders>
              <w:top w:val="single" w:sz="8" w:color="BFE4FF"/>
            </w:tcBorders>
            <w:gridSpan w:val="23"/>
            <w:shd w:val="clear" w:color="auto" w:fill="BFE4FF"/>
          </w:tcPr>
          <w:p>
            <w:pPr>
              <w:spacing w:after="0" w:line="169"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reference to Exhibit 10.2 to the Registrant’s Quarterly Report on Form 10-Q filed on August 3,</w:t>
              </w:r>
            </w:hyperlink>
          </w:p>
        </w:tc>
        <w:tc>
          <w:tcPr>
            <w:tcW w:w="500" w:type="dxa"/>
            <w:vAlign w:val="bottom"/>
            <w:tcBorders>
              <w:top w:val="single" w:sz="8" w:color="0000FF"/>
            </w:tcBorders>
            <w:gridSpan w:val="5"/>
            <w:shd w:val="clear" w:color="auto" w:fill="BFE4FF"/>
          </w:tcPr>
          <w:p>
            <w:pPr>
              <w:jc w:val="right"/>
              <w:ind w:right="20"/>
              <w:spacing w:after="0" w:line="169"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2021</w:t>
              </w:r>
              <w:r>
                <w:rPr>
                  <w:rFonts w:ascii="Times New Roman" w:cs="Times New Roman" w:eastAsia="Times New Roman" w:hAnsi="Times New Roman"/>
                  <w:sz w:val="18"/>
                  <w:szCs w:val="18"/>
                  <w:color w:val="000000"/>
                  <w:w w:val="98"/>
                </w:rPr>
                <w:t>).</w:t>
              </w:r>
            </w:hyperlink>
          </w:p>
        </w:tc>
        <w:tc>
          <w:tcPr>
            <w:tcW w:w="40" w:type="dxa"/>
            <w:vAlign w:val="bottom"/>
            <w:tcBorders>
              <w:top w:val="single" w:sz="8" w:color="0000FF"/>
            </w:tcBorders>
            <w:gridSpan w:val="2"/>
            <w:shd w:val="clear" w:color="auto" w:fill="BFE4FF"/>
          </w:tcPr>
          <w:p>
            <w:pPr>
              <w:spacing w:after="0"/>
              <w:rPr>
                <w:sz w:val="14"/>
                <w:szCs w:val="14"/>
                <w:color w:val="auto"/>
              </w:rPr>
            </w:pPr>
          </w:p>
        </w:tc>
        <w:tc>
          <w:tcPr>
            <w:tcW w:w="26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420" w:type="dxa"/>
            <w:vAlign w:val="bottom"/>
            <w:tcBorders>
              <w:top w:val="single" w:sz="8" w:color="0000FF"/>
            </w:tcBorders>
            <w:shd w:val="clear" w:color="auto" w:fill="BFE4FF"/>
          </w:tcPr>
          <w:p>
            <w:pPr>
              <w:spacing w:after="0"/>
              <w:rPr>
                <w:sz w:val="14"/>
                <w:szCs w:val="14"/>
                <w:color w:val="auto"/>
              </w:rPr>
            </w:pPr>
          </w:p>
        </w:tc>
        <w:tc>
          <w:tcPr>
            <w:tcW w:w="120" w:type="dxa"/>
            <w:vAlign w:val="bottom"/>
            <w:tcBorders>
              <w:top w:val="single" w:sz="8" w:color="BFE4FF"/>
              <w:right w:val="single" w:sz="8" w:color="BFE4FF"/>
            </w:tcBorders>
            <w:gridSpan w:val="2"/>
            <w:shd w:val="clear" w:color="auto" w:fill="BFE4FF"/>
          </w:tcPr>
          <w:p>
            <w:pPr>
              <w:spacing w:after="0"/>
              <w:rPr>
                <w:sz w:val="14"/>
                <w:szCs w:val="14"/>
                <w:color w:val="auto"/>
              </w:rPr>
            </w:pPr>
          </w:p>
        </w:tc>
        <w:tc>
          <w:tcPr>
            <w:tcW w:w="160" w:type="dxa"/>
            <w:vAlign w:val="bottom"/>
            <w:tcBorders>
              <w:top w:val="single" w:sz="8" w:color="BFE4FF"/>
            </w:tcBorders>
            <w:shd w:val="clear" w:color="auto" w:fill="BFE4FF"/>
          </w:tcPr>
          <w:p>
            <w:pPr>
              <w:spacing w:after="0"/>
              <w:rPr>
                <w:sz w:val="14"/>
                <w:szCs w:val="14"/>
                <w:color w:val="auto"/>
              </w:rPr>
            </w:pPr>
          </w:p>
        </w:tc>
        <w:tc>
          <w:tcPr>
            <w:tcW w:w="20" w:type="dxa"/>
            <w:vAlign w:val="bottom"/>
            <w:tcBorders>
              <w:top w:val="single" w:sz="8" w:color="BFE4FF"/>
            </w:tcBorders>
            <w:shd w:val="clear" w:color="auto" w:fill="BFE4FF"/>
          </w:tcPr>
          <w:p>
            <w:pPr>
              <w:spacing w:after="0"/>
              <w:rPr>
                <w:sz w:val="14"/>
                <w:szCs w:val="14"/>
                <w:color w:val="auto"/>
              </w:rPr>
            </w:pPr>
          </w:p>
        </w:tc>
        <w:tc>
          <w:tcPr>
            <w:tcW w:w="20" w:type="dxa"/>
            <w:vAlign w:val="bottom"/>
            <w:tcBorders>
              <w:top w:val="single" w:sz="8" w:color="BFE4FF"/>
            </w:tcBorders>
            <w:shd w:val="clear" w:color="auto" w:fill="BFE4FF"/>
          </w:tcPr>
          <w:p>
            <w:pPr>
              <w:spacing w:after="0"/>
              <w:rPr>
                <w:sz w:val="14"/>
                <w:szCs w:val="14"/>
                <w:color w:val="auto"/>
              </w:rPr>
            </w:pPr>
          </w:p>
        </w:tc>
        <w:tc>
          <w:tcPr>
            <w:tcW w:w="60" w:type="dxa"/>
            <w:vAlign w:val="bottom"/>
            <w:tcBorders>
              <w:top w:val="single" w:sz="8" w:color="BFE4FF"/>
            </w:tcBorders>
            <w:shd w:val="clear" w:color="auto" w:fill="BFE4FF"/>
          </w:tcPr>
          <w:p>
            <w:pPr>
              <w:spacing w:after="0"/>
              <w:rPr>
                <w:sz w:val="14"/>
                <w:szCs w:val="14"/>
                <w:color w:val="auto"/>
              </w:rPr>
            </w:pPr>
          </w:p>
        </w:tc>
        <w:tc>
          <w:tcPr>
            <w:tcW w:w="20" w:type="dxa"/>
            <w:vAlign w:val="bottom"/>
            <w:tcBorders>
              <w:top w:val="single" w:sz="8" w:color="BFE4FF"/>
            </w:tcBorders>
            <w:shd w:val="clear" w:color="auto" w:fill="BFE4FF"/>
          </w:tcPr>
          <w:p>
            <w:pPr>
              <w:spacing w:after="0"/>
              <w:rPr>
                <w:sz w:val="14"/>
                <w:szCs w:val="14"/>
                <w:color w:val="auto"/>
              </w:rPr>
            </w:pPr>
          </w:p>
        </w:tc>
        <w:tc>
          <w:tcPr>
            <w:tcW w:w="60" w:type="dxa"/>
            <w:vAlign w:val="bottom"/>
            <w:tcBorders>
              <w:top w:val="single" w:sz="8" w:color="BFE4FF"/>
            </w:tcBorders>
            <w:shd w:val="clear" w:color="auto" w:fill="BFE4FF"/>
          </w:tcPr>
          <w:p>
            <w:pPr>
              <w:spacing w:after="0"/>
              <w:rPr>
                <w:sz w:val="14"/>
                <w:szCs w:val="14"/>
                <w:color w:val="auto"/>
              </w:rPr>
            </w:pPr>
          </w:p>
        </w:tc>
        <w:tc>
          <w:tcPr>
            <w:tcW w:w="20" w:type="dxa"/>
            <w:vAlign w:val="bottom"/>
            <w:tcBorders>
              <w:top w:val="single" w:sz="8" w:color="BFE4FF"/>
            </w:tcBorders>
            <w:shd w:val="clear" w:color="auto" w:fill="BFE4FF"/>
          </w:tcPr>
          <w:p>
            <w:pPr>
              <w:spacing w:after="0"/>
              <w:rPr>
                <w:sz w:val="14"/>
                <w:szCs w:val="14"/>
                <w:color w:val="auto"/>
              </w:rPr>
            </w:pPr>
          </w:p>
        </w:tc>
        <w:tc>
          <w:tcPr>
            <w:tcW w:w="40" w:type="dxa"/>
            <w:vAlign w:val="bottom"/>
            <w:tcBorders>
              <w:top w:val="single" w:sz="8" w:color="BFE4FF"/>
              <w:right w:val="single" w:sz="8" w:color="BFE4FF"/>
            </w:tcBorders>
            <w:shd w:val="clear" w:color="auto" w:fill="BFE4FF"/>
          </w:tcPr>
          <w:p>
            <w:pPr>
              <w:spacing w:after="0"/>
              <w:rPr>
                <w:sz w:val="14"/>
                <w:szCs w:val="14"/>
                <w:color w:val="auto"/>
              </w:rPr>
            </w:pPr>
          </w:p>
        </w:tc>
        <w:tc>
          <w:tcPr>
            <w:tcW w:w="80" w:type="dxa"/>
            <w:vAlign w:val="bottom"/>
            <w:tcBorders>
              <w:top w:val="single" w:sz="8" w:color="BFE4FF"/>
              <w:left w:val="single" w:sz="8" w:color="BFE4FF"/>
            </w:tcBorders>
            <w:shd w:val="clear" w:color="auto" w:fill="BFE4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94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114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5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78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left w:val="single" w:sz="8" w:color="BFE4FF"/>
            </w:tcBorders>
            <w:shd w:val="clear" w:color="auto" w:fill="BFE4FF"/>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00" w:type="dxa"/>
            <w:vAlign w:val="bottom"/>
            <w:gridSpan w:val="44"/>
          </w:tcPr>
          <w:p>
            <w:pPr>
              <w:spacing w:after="0" w:line="189" w:lineRule="exact"/>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Form of Director Restricted Stock Unit Award Agreement (Type II - Initial Grant, Pro Rata Amount) (</w:t>
              </w:r>
              <w:r>
                <w:rPr>
                  <w:rFonts w:ascii="Times New Roman" w:cs="Times New Roman" w:eastAsia="Times New Roman" w:hAnsi="Times New Roman"/>
                  <w:sz w:val="18"/>
                  <w:szCs w:val="18"/>
                  <w:color w:val="0000FF"/>
                </w:rPr>
                <w:t>incorporated by</w:t>
              </w:r>
            </w:hyperlink>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380" w:type="dxa"/>
            <w:vAlign w:val="bottom"/>
            <w:gridSpan w:val="29"/>
          </w:tcPr>
          <w:p>
            <w:pPr>
              <w:ind w:left="20"/>
              <w:spacing w:after="0" w:line="169"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reference to Exhibit 10.3 to the Registrant’s Quarterly Report on Form 10-Q filed on August 3, 2021</w:t>
              </w:r>
              <w:r>
                <w:rPr>
                  <w:rFonts w:ascii="Times New Roman" w:cs="Times New Roman" w:eastAsia="Times New Roman" w:hAnsi="Times New Roman"/>
                  <w:sz w:val="18"/>
                  <w:szCs w:val="18"/>
                  <w:color w:val="000000"/>
                  <w:w w:val="99"/>
                </w:rPr>
                <w:t>).</w:t>
              </w:r>
            </w:hyperlink>
          </w:p>
        </w:tc>
        <w:tc>
          <w:tcPr>
            <w:tcW w:w="40" w:type="dxa"/>
            <w:vAlign w:val="bottom"/>
            <w:tcBorders>
              <w:top w:val="single" w:sz="8" w:color="0000FF"/>
            </w:tcBorders>
            <w:gridSpan w:val="2"/>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gridSpan w:val="3"/>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10.29*</w:t>
            </w: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89" w:lineRule="exact"/>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Form of Director Restricted Stock Unit Award Agreement (Type III - Annual Grant) (</w:t>
              </w:r>
              <w:r>
                <w:rPr>
                  <w:rFonts w:ascii="Times New Roman" w:cs="Times New Roman" w:eastAsia="Times New Roman" w:hAnsi="Times New Roman"/>
                  <w:sz w:val="18"/>
                  <w:szCs w:val="18"/>
                  <w:color w:val="0000FF"/>
                </w:rPr>
                <w:t>incorporated by reference to</w:t>
              </w:r>
            </w:hyperlink>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BFE4FF"/>
          </w:tcPr>
          <w:p>
            <w:pPr>
              <w:spacing w:after="0" w:line="20" w:lineRule="exact"/>
              <w:rPr>
                <w:sz w:val="1"/>
                <w:szCs w:val="1"/>
                <w:color w:val="auto"/>
              </w:rPr>
            </w:pPr>
          </w:p>
        </w:tc>
        <w:tc>
          <w:tcPr>
            <w:tcW w:w="220" w:type="dxa"/>
            <w:vAlign w:val="bottom"/>
            <w:shd w:val="clear" w:color="auto" w:fill="BFE4FF"/>
          </w:tcPr>
          <w:p>
            <w:pPr>
              <w:spacing w:after="0" w:line="20" w:lineRule="exact"/>
              <w:rPr>
                <w:sz w:val="1"/>
                <w:szCs w:val="1"/>
                <w:color w:val="auto"/>
              </w:rPr>
            </w:pPr>
          </w:p>
        </w:tc>
        <w:tc>
          <w:tcPr>
            <w:tcW w:w="80" w:type="dxa"/>
            <w:vAlign w:val="bottom"/>
            <w:gridSpan w:val="2"/>
            <w:shd w:val="clear" w:color="auto" w:fill="BFE4FF"/>
          </w:tcPr>
          <w:p>
            <w:pPr>
              <w:spacing w:after="0" w:line="20" w:lineRule="exact"/>
              <w:rPr>
                <w:sz w:val="1"/>
                <w:szCs w:val="1"/>
                <w:color w:val="auto"/>
              </w:rPr>
            </w:pPr>
          </w:p>
        </w:tc>
        <w:tc>
          <w:tcPr>
            <w:tcW w:w="20" w:type="dxa"/>
            <w:vAlign w:val="bottom"/>
            <w:shd w:val="clear" w:color="auto" w:fill="BFE4FF"/>
          </w:tcPr>
          <w:p>
            <w:pPr>
              <w:spacing w:after="0" w:line="20" w:lineRule="exact"/>
              <w:rPr>
                <w:sz w:val="1"/>
                <w:szCs w:val="1"/>
                <w:color w:val="auto"/>
              </w:rPr>
            </w:pPr>
          </w:p>
        </w:tc>
        <w:tc>
          <w:tcPr>
            <w:tcW w:w="360" w:type="dxa"/>
            <w:vAlign w:val="bottom"/>
            <w:gridSpan w:val="3"/>
            <w:shd w:val="clear" w:color="auto" w:fill="BFE4FF"/>
          </w:tcPr>
          <w:p>
            <w:pPr>
              <w:spacing w:after="0" w:line="20" w:lineRule="exact"/>
              <w:rPr>
                <w:sz w:val="1"/>
                <w:szCs w:val="1"/>
                <w:color w:val="auto"/>
              </w:rPr>
            </w:pPr>
          </w:p>
        </w:tc>
        <w:tc>
          <w:tcPr>
            <w:tcW w:w="40" w:type="dxa"/>
            <w:vAlign w:val="bottom"/>
            <w:gridSpan w:val="2"/>
            <w:shd w:val="clear" w:color="auto" w:fill="BFE4FF"/>
          </w:tcPr>
          <w:p>
            <w:pPr>
              <w:spacing w:after="0" w:line="20" w:lineRule="exact"/>
              <w:rPr>
                <w:sz w:val="1"/>
                <w:szCs w:val="1"/>
                <w:color w:val="auto"/>
              </w:rPr>
            </w:pPr>
          </w:p>
        </w:tc>
        <w:tc>
          <w:tcPr>
            <w:tcW w:w="160" w:type="dxa"/>
            <w:vAlign w:val="bottom"/>
            <w:shd w:val="clear" w:color="auto" w:fill="BFE4FF"/>
          </w:tcPr>
          <w:p>
            <w:pPr>
              <w:spacing w:after="0" w:line="20" w:lineRule="exact"/>
              <w:rPr>
                <w:sz w:val="1"/>
                <w:szCs w:val="1"/>
                <w:color w:val="auto"/>
              </w:rPr>
            </w:pPr>
          </w:p>
        </w:tc>
        <w:tc>
          <w:tcPr>
            <w:tcW w:w="660" w:type="dxa"/>
            <w:vAlign w:val="bottom"/>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940" w:type="dxa"/>
            <w:vAlign w:val="bottom"/>
            <w:shd w:val="clear" w:color="auto" w:fill="BFE4FF"/>
          </w:tcPr>
          <w:p>
            <w:pPr>
              <w:spacing w:after="0" w:line="20" w:lineRule="exact"/>
              <w:rPr>
                <w:sz w:val="1"/>
                <w:szCs w:val="1"/>
                <w:color w:val="auto"/>
              </w:rPr>
            </w:pPr>
          </w:p>
        </w:tc>
        <w:tc>
          <w:tcPr>
            <w:tcW w:w="40" w:type="dxa"/>
            <w:vAlign w:val="bottom"/>
            <w:shd w:val="clear" w:color="auto" w:fill="BFE4FF"/>
          </w:tcPr>
          <w:p>
            <w:pPr>
              <w:spacing w:after="0" w:line="20" w:lineRule="exact"/>
              <w:rPr>
                <w:sz w:val="1"/>
                <w:szCs w:val="1"/>
                <w:color w:val="auto"/>
              </w:rPr>
            </w:pPr>
          </w:p>
        </w:tc>
        <w:tc>
          <w:tcPr>
            <w:tcW w:w="1540" w:type="dxa"/>
            <w:vAlign w:val="bottom"/>
            <w:gridSpan w:val="2"/>
            <w:shd w:val="clear" w:color="auto" w:fill="BFE4FF"/>
          </w:tcPr>
          <w:p>
            <w:pPr>
              <w:spacing w:after="0" w:line="20" w:lineRule="exact"/>
              <w:rPr>
                <w:sz w:val="1"/>
                <w:szCs w:val="1"/>
                <w:color w:val="auto"/>
              </w:rPr>
            </w:pPr>
          </w:p>
        </w:tc>
        <w:tc>
          <w:tcPr>
            <w:tcW w:w="60" w:type="dxa"/>
            <w:vAlign w:val="bottom"/>
            <w:shd w:val="clear" w:color="auto" w:fill="BFE4FF"/>
          </w:tcPr>
          <w:p>
            <w:pPr>
              <w:spacing w:after="0" w:line="20" w:lineRule="exact"/>
              <w:rPr>
                <w:sz w:val="1"/>
                <w:szCs w:val="1"/>
                <w:color w:val="auto"/>
              </w:rPr>
            </w:pPr>
          </w:p>
        </w:tc>
        <w:tc>
          <w:tcPr>
            <w:tcW w:w="820" w:type="dxa"/>
            <w:vAlign w:val="bottom"/>
            <w:shd w:val="clear" w:color="auto" w:fill="BFE4FF"/>
          </w:tcPr>
          <w:p>
            <w:pPr>
              <w:spacing w:after="0" w:line="20" w:lineRule="exact"/>
              <w:rPr>
                <w:sz w:val="1"/>
                <w:szCs w:val="1"/>
                <w:color w:val="auto"/>
              </w:rPr>
            </w:pPr>
          </w:p>
        </w:tc>
        <w:tc>
          <w:tcPr>
            <w:tcW w:w="520" w:type="dxa"/>
            <w:vAlign w:val="bottom"/>
            <w:shd w:val="clear" w:color="auto" w:fill="BFE4FF"/>
          </w:tcPr>
          <w:p>
            <w:pPr>
              <w:spacing w:after="0" w:line="20" w:lineRule="exact"/>
              <w:rPr>
                <w:sz w:val="1"/>
                <w:szCs w:val="1"/>
                <w:color w:val="auto"/>
              </w:rPr>
            </w:pPr>
          </w:p>
        </w:tc>
        <w:tc>
          <w:tcPr>
            <w:tcW w:w="900" w:type="dxa"/>
            <w:vAlign w:val="bottom"/>
            <w:gridSpan w:val="3"/>
            <w:shd w:val="clear" w:color="auto" w:fill="BFE4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BFE4FF"/>
            </w:tcBorders>
            <w:gridSpan w:val="3"/>
            <w:shd w:val="clear" w:color="auto" w:fill="0000FF"/>
          </w:tcPr>
          <w:p>
            <w:pPr>
              <w:spacing w:after="0" w:line="20" w:lineRule="exact"/>
              <w:rPr>
                <w:sz w:val="1"/>
                <w:szCs w:val="1"/>
                <w:color w:val="auto"/>
              </w:rPr>
            </w:pPr>
          </w:p>
        </w:tc>
        <w:tc>
          <w:tcPr>
            <w:tcW w:w="160" w:type="dxa"/>
            <w:vAlign w:val="bottom"/>
            <w:vMerge w:val="restart"/>
            <w:shd w:val="clear" w:color="auto" w:fill="BFE4FF"/>
          </w:tcPr>
          <w:p>
            <w:pPr>
              <w:spacing w:after="0" w:line="20" w:lineRule="exact"/>
              <w:rPr>
                <w:sz w:val="1"/>
                <w:szCs w:val="1"/>
                <w:color w:val="auto"/>
              </w:rPr>
            </w:pPr>
          </w:p>
        </w:tc>
        <w:tc>
          <w:tcPr>
            <w:tcW w:w="20" w:type="dxa"/>
            <w:vAlign w:val="bottom"/>
            <w:vMerge w:val="restart"/>
            <w:shd w:val="clear" w:color="auto" w:fill="BFE4FF"/>
          </w:tcPr>
          <w:p>
            <w:pPr>
              <w:spacing w:after="0" w:line="20" w:lineRule="exact"/>
              <w:rPr>
                <w:sz w:val="1"/>
                <w:szCs w:val="1"/>
                <w:color w:val="auto"/>
              </w:rPr>
            </w:pPr>
          </w:p>
        </w:tc>
        <w:tc>
          <w:tcPr>
            <w:tcW w:w="20" w:type="dxa"/>
            <w:vAlign w:val="bottom"/>
            <w:vMerge w:val="restart"/>
            <w:shd w:val="clear" w:color="auto" w:fill="BFE4FF"/>
          </w:tcPr>
          <w:p>
            <w:pPr>
              <w:spacing w:after="0" w:line="20" w:lineRule="exact"/>
              <w:rPr>
                <w:sz w:val="1"/>
                <w:szCs w:val="1"/>
                <w:color w:val="auto"/>
              </w:rPr>
            </w:pPr>
          </w:p>
        </w:tc>
        <w:tc>
          <w:tcPr>
            <w:tcW w:w="60" w:type="dxa"/>
            <w:vAlign w:val="bottom"/>
            <w:vMerge w:val="restart"/>
            <w:shd w:val="clear" w:color="auto" w:fill="BFE4FF"/>
          </w:tcPr>
          <w:p>
            <w:pPr>
              <w:spacing w:after="0" w:line="20" w:lineRule="exact"/>
              <w:rPr>
                <w:sz w:val="1"/>
                <w:szCs w:val="1"/>
                <w:color w:val="auto"/>
              </w:rPr>
            </w:pPr>
          </w:p>
        </w:tc>
        <w:tc>
          <w:tcPr>
            <w:tcW w:w="80" w:type="dxa"/>
            <w:vAlign w:val="bottom"/>
            <w:gridSpan w:val="2"/>
            <w:vMerge w:val="restart"/>
            <w:shd w:val="clear" w:color="auto" w:fill="BFE4FF"/>
          </w:tcPr>
          <w:p>
            <w:pPr>
              <w:spacing w:after="0" w:line="20" w:lineRule="exact"/>
              <w:rPr>
                <w:sz w:val="1"/>
                <w:szCs w:val="1"/>
                <w:color w:val="auto"/>
              </w:rPr>
            </w:pPr>
          </w:p>
        </w:tc>
        <w:tc>
          <w:tcPr>
            <w:tcW w:w="20" w:type="dxa"/>
            <w:vAlign w:val="bottom"/>
            <w:vMerge w:val="restart"/>
            <w:shd w:val="clear" w:color="auto" w:fill="BFE4FF"/>
          </w:tcPr>
          <w:p>
            <w:pPr>
              <w:spacing w:after="0" w:line="20" w:lineRule="exact"/>
              <w:rPr>
                <w:sz w:val="1"/>
                <w:szCs w:val="1"/>
                <w:color w:val="auto"/>
              </w:rPr>
            </w:pPr>
          </w:p>
        </w:tc>
        <w:tc>
          <w:tcPr>
            <w:tcW w:w="40" w:type="dxa"/>
            <w:vAlign w:val="bottom"/>
            <w:tcBorders>
              <w:right w:val="single" w:sz="8" w:color="BFE4FF"/>
            </w:tcBorders>
            <w:vMerge w:val="restart"/>
            <w:shd w:val="clear" w:color="auto" w:fill="BFE4FF"/>
          </w:tcPr>
          <w:p>
            <w:pPr>
              <w:spacing w:after="0" w:line="20" w:lineRule="exact"/>
              <w:rPr>
                <w:sz w:val="1"/>
                <w:szCs w:val="1"/>
                <w:color w:val="auto"/>
              </w:rPr>
            </w:pPr>
          </w:p>
        </w:tc>
        <w:tc>
          <w:tcPr>
            <w:tcW w:w="80" w:type="dxa"/>
            <w:vAlign w:val="bottom"/>
            <w:tcBorders>
              <w:left w:val="single" w:sz="8" w:color="BFE4FF"/>
            </w:tcBorders>
            <w:vMerge w:val="restart"/>
            <w:shd w:val="clear" w:color="auto" w:fill="BFE4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shd w:val="clear" w:color="auto" w:fill="BFE4FF"/>
          </w:tcPr>
          <w:p>
            <w:pPr>
              <w:spacing w:after="0"/>
              <w:rPr>
                <w:sz w:val="14"/>
                <w:szCs w:val="14"/>
                <w:color w:val="auto"/>
              </w:rPr>
            </w:pPr>
          </w:p>
        </w:tc>
        <w:tc>
          <w:tcPr>
            <w:tcW w:w="220" w:type="dxa"/>
            <w:vAlign w:val="bottom"/>
            <w:shd w:val="clear" w:color="auto" w:fill="BFE4FF"/>
          </w:tcPr>
          <w:p>
            <w:pPr>
              <w:spacing w:after="0"/>
              <w:rPr>
                <w:sz w:val="14"/>
                <w:szCs w:val="14"/>
                <w:color w:val="auto"/>
              </w:rPr>
            </w:pPr>
          </w:p>
        </w:tc>
        <w:tc>
          <w:tcPr>
            <w:tcW w:w="20" w:type="dxa"/>
            <w:vAlign w:val="bottom"/>
            <w:shd w:val="clear" w:color="auto" w:fill="BFE4FF"/>
          </w:tcPr>
          <w:p>
            <w:pPr>
              <w:spacing w:after="0"/>
              <w:rPr>
                <w:sz w:val="14"/>
                <w:szCs w:val="14"/>
                <w:color w:val="auto"/>
              </w:rPr>
            </w:pPr>
          </w:p>
        </w:tc>
        <w:tc>
          <w:tcPr>
            <w:tcW w:w="8220" w:type="dxa"/>
            <w:vAlign w:val="bottom"/>
            <w:tcBorders>
              <w:right w:val="single" w:sz="8" w:color="BFE4FF"/>
            </w:tcBorders>
            <w:gridSpan w:val="35"/>
            <w:shd w:val="clear" w:color="auto" w:fill="BFE4FF"/>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Exhibit 10.4 to the Registrant’s Quarterly Report on Form 10-Q filed on August 3, 2021</w:t>
              </w:r>
              <w:r>
                <w:rPr>
                  <w:rFonts w:ascii="Times New Roman" w:cs="Times New Roman" w:eastAsia="Times New Roman" w:hAnsi="Times New Roman"/>
                  <w:sz w:val="18"/>
                  <w:szCs w:val="18"/>
                  <w:color w:val="000000"/>
                </w:rPr>
                <w:t>).</w:t>
              </w:r>
            </w:hyperlink>
          </w:p>
        </w:tc>
        <w:tc>
          <w:tcPr>
            <w:tcW w:w="160" w:type="dxa"/>
            <w:vAlign w:val="bottom"/>
            <w:vMerge w:val="continue"/>
            <w:shd w:val="clear" w:color="auto" w:fill="BFE4FF"/>
          </w:tcPr>
          <w:p>
            <w:pPr>
              <w:spacing w:after="0"/>
              <w:rPr>
                <w:sz w:val="14"/>
                <w:szCs w:val="14"/>
                <w:color w:val="auto"/>
              </w:rPr>
            </w:pPr>
          </w:p>
        </w:tc>
        <w:tc>
          <w:tcPr>
            <w:tcW w:w="20" w:type="dxa"/>
            <w:vAlign w:val="bottom"/>
            <w:vMerge w:val="continue"/>
            <w:shd w:val="clear" w:color="auto" w:fill="BFE4FF"/>
          </w:tcPr>
          <w:p>
            <w:pPr>
              <w:spacing w:after="0"/>
              <w:rPr>
                <w:sz w:val="14"/>
                <w:szCs w:val="14"/>
                <w:color w:val="auto"/>
              </w:rPr>
            </w:pPr>
          </w:p>
        </w:tc>
        <w:tc>
          <w:tcPr>
            <w:tcW w:w="20" w:type="dxa"/>
            <w:vAlign w:val="bottom"/>
            <w:vMerge w:val="continue"/>
            <w:shd w:val="clear" w:color="auto" w:fill="BFE4FF"/>
          </w:tcPr>
          <w:p>
            <w:pPr>
              <w:spacing w:after="0"/>
              <w:rPr>
                <w:sz w:val="14"/>
                <w:szCs w:val="14"/>
                <w:color w:val="auto"/>
              </w:rPr>
            </w:pPr>
          </w:p>
        </w:tc>
        <w:tc>
          <w:tcPr>
            <w:tcW w:w="60" w:type="dxa"/>
            <w:vAlign w:val="bottom"/>
            <w:vMerge w:val="continue"/>
            <w:shd w:val="clear" w:color="auto" w:fill="BFE4FF"/>
          </w:tcPr>
          <w:p>
            <w:pPr>
              <w:spacing w:after="0"/>
              <w:rPr>
                <w:sz w:val="14"/>
                <w:szCs w:val="14"/>
                <w:color w:val="auto"/>
              </w:rPr>
            </w:pPr>
          </w:p>
        </w:tc>
        <w:tc>
          <w:tcPr>
            <w:tcW w:w="80" w:type="dxa"/>
            <w:vAlign w:val="bottom"/>
            <w:gridSpan w:val="2"/>
            <w:vMerge w:val="continue"/>
            <w:shd w:val="clear" w:color="auto" w:fill="BFE4FF"/>
          </w:tcPr>
          <w:p>
            <w:pPr>
              <w:spacing w:after="0"/>
              <w:rPr>
                <w:sz w:val="14"/>
                <w:szCs w:val="14"/>
                <w:color w:val="auto"/>
              </w:rPr>
            </w:pPr>
          </w:p>
        </w:tc>
        <w:tc>
          <w:tcPr>
            <w:tcW w:w="20" w:type="dxa"/>
            <w:vAlign w:val="bottom"/>
            <w:vMerge w:val="continue"/>
            <w:shd w:val="clear" w:color="auto" w:fill="BFE4FF"/>
          </w:tcPr>
          <w:p>
            <w:pPr>
              <w:spacing w:after="0"/>
              <w:rPr>
                <w:sz w:val="14"/>
                <w:szCs w:val="14"/>
                <w:color w:val="auto"/>
              </w:rPr>
            </w:pPr>
          </w:p>
        </w:tc>
        <w:tc>
          <w:tcPr>
            <w:tcW w:w="40" w:type="dxa"/>
            <w:vAlign w:val="bottom"/>
            <w:tcBorders>
              <w:right w:val="single" w:sz="8" w:color="BFE4FF"/>
            </w:tcBorders>
            <w:vMerge w:val="continue"/>
            <w:shd w:val="clear" w:color="auto" w:fill="BFE4FF"/>
          </w:tcPr>
          <w:p>
            <w:pPr>
              <w:spacing w:after="0"/>
              <w:rPr>
                <w:sz w:val="14"/>
                <w:szCs w:val="14"/>
                <w:color w:val="auto"/>
              </w:rPr>
            </w:pPr>
          </w:p>
        </w:tc>
        <w:tc>
          <w:tcPr>
            <w:tcW w:w="80" w:type="dxa"/>
            <w:vAlign w:val="bottom"/>
            <w:tcBorders>
              <w:left w:val="single" w:sz="8" w:color="BFE4FF"/>
            </w:tcBorders>
            <w:vMerge w:val="continue"/>
            <w:shd w:val="clear" w:color="auto" w:fill="BFE4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94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114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5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78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left w:val="single" w:sz="8" w:color="BFE4FF"/>
            </w:tcBorders>
            <w:shd w:val="clear" w:color="auto" w:fill="BFE4FF"/>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00" w:type="dxa"/>
            <w:vAlign w:val="bottom"/>
            <w:gridSpan w:val="44"/>
          </w:tcPr>
          <w:p>
            <w:pPr>
              <w:spacing w:after="0" w:line="184" w:lineRule="exact"/>
              <w:rPr>
                <w:sz w:val="20"/>
                <w:szCs w:val="20"/>
                <w:color w:val="auto"/>
              </w:rPr>
            </w:pPr>
            <w:r>
              <w:rPr>
                <w:rFonts w:ascii="Times New Roman" w:cs="Times New Roman" w:eastAsia="Times New Roman" w:hAnsi="Times New Roman"/>
                <w:sz w:val="18"/>
                <w:szCs w:val="18"/>
                <w:color w:val="auto"/>
              </w:rPr>
              <w:t>Technology License Agreement dated January 29, 2007 between MiMedx, Inc., Shriner's Hospitals for Children and</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6"/>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University of South Florida Research Foundation (</w:t>
            </w:r>
            <w:hyperlink r:id="rId151">
              <w:r>
                <w:rPr>
                  <w:rFonts w:ascii="Times New Roman" w:cs="Times New Roman" w:eastAsia="Times New Roman" w:hAnsi="Times New Roman"/>
                  <w:sz w:val="18"/>
                  <w:szCs w:val="18"/>
                  <w:color w:val="0000FF"/>
                </w:rPr>
                <w:t>incorporated by reference to Exhibit 10.32 to the Registrant’s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900" w:type="dxa"/>
            <w:vAlign w:val="bottom"/>
            <w:gridSpan w:val="15"/>
          </w:tcPr>
          <w:p>
            <w:pPr>
              <w:ind w:left="20"/>
              <w:spacing w:after="0" w:line="156" w:lineRule="exact"/>
              <w:rPr>
                <w:rFonts w:ascii="Times New Roman" w:cs="Times New Roman" w:eastAsia="Times New Roman" w:hAnsi="Times New Roman"/>
                <w:sz w:val="18"/>
                <w:szCs w:val="18"/>
                <w:color w:val="0000FF"/>
                <w:w w:val="97"/>
              </w:rPr>
            </w:pPr>
            <w:hyperlink r:id="rId119">
              <w:r>
                <w:rPr>
                  <w:rFonts w:ascii="Times New Roman" w:cs="Times New Roman" w:eastAsia="Times New Roman" w:hAnsi="Times New Roman"/>
                  <w:sz w:val="18"/>
                  <w:szCs w:val="18"/>
                  <w:color w:val="0000FF"/>
                  <w:w w:val="97"/>
                </w:rPr>
                <w:t xml:space="preserve">Current Report on </w:t>
              </w:r>
            </w:hyperlink>
            <w:hyperlink r:id="rId151">
              <w:r>
                <w:rPr>
                  <w:rFonts w:ascii="Times New Roman" w:cs="Times New Roman" w:eastAsia="Times New Roman" w:hAnsi="Times New Roman"/>
                  <w:sz w:val="18"/>
                  <w:szCs w:val="18"/>
                  <w:color w:val="0000FF"/>
                  <w:w w:val="97"/>
                </w:rPr>
                <w:t>Form 8-K filed on February 8, 2008</w:t>
              </w:r>
            </w:hyperlink>
          </w:p>
        </w:tc>
        <w:tc>
          <w:tcPr>
            <w:tcW w:w="880" w:type="dxa"/>
            <w:vAlign w:val="bottom"/>
            <w:tcBorders>
              <w:top w:val="single" w:sz="8" w:color="0000FF"/>
            </w:tcBorders>
            <w:gridSpan w:val="2"/>
          </w:tcPr>
          <w:p>
            <w:pPr>
              <w:jc w:val="right"/>
              <w:ind w:right="700"/>
              <w:spacing w:after="0" w:line="15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gridSpan w:val="7"/>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gridSpan w:val="3"/>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gridSpan w:val="3"/>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10.31</w:t>
            </w: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Cooperation Agreement dated as of May 29, 2019 among MiMedx Group, Inc., M. Kathleen Behrens Wilsey, K. Todd</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6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8720" w:type="dxa"/>
            <w:vAlign w:val="bottom"/>
            <w:gridSpan w:val="45"/>
            <w:shd w:val="clear" w:color="auto" w:fill="BFE4FF"/>
          </w:tcPr>
          <w:p>
            <w:pPr>
              <w:ind w:left="20"/>
              <w:spacing w:after="0" w:line="181" w:lineRule="exact"/>
              <w:rPr>
                <w:sz w:val="20"/>
                <w:szCs w:val="20"/>
                <w:color w:val="auto"/>
              </w:rPr>
            </w:pPr>
            <w:r>
              <w:rPr>
                <w:rFonts w:ascii="Times New Roman" w:cs="Times New Roman" w:eastAsia="Times New Roman" w:hAnsi="Times New Roman"/>
                <w:sz w:val="18"/>
                <w:szCs w:val="18"/>
                <w:color w:val="auto"/>
              </w:rPr>
              <w:t>Newton, Richard J. Barry, Prescience Partners, LP, Prescience Point Special Opportunity LP, Prescience Capital LLC,</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89" w:lineRule="exact"/>
              <w:rPr>
                <w:rFonts w:ascii="Times New Roman" w:cs="Times New Roman" w:eastAsia="Times New Roman" w:hAnsi="Times New Roman"/>
                <w:sz w:val="18"/>
                <w:szCs w:val="18"/>
                <w:color w:val="auto"/>
              </w:rPr>
            </w:pPr>
            <w:hyperlink r:id="rId119">
              <w:r>
                <w:rPr>
                  <w:rFonts w:ascii="Times New Roman" w:cs="Times New Roman" w:eastAsia="Times New Roman" w:hAnsi="Times New Roman"/>
                  <w:sz w:val="18"/>
                  <w:szCs w:val="18"/>
                  <w:color w:val="auto"/>
                </w:rPr>
                <w:t>Prescience Investment Group, LLC d/b/a Prescience Point Capital Management LLC and Eiad Asbahi (</w:t>
              </w:r>
              <w:r>
                <w:rPr>
                  <w:rFonts w:ascii="Times New Roman" w:cs="Times New Roman" w:eastAsia="Times New Roman" w:hAnsi="Times New Roman"/>
                  <w:sz w:val="18"/>
                  <w:szCs w:val="18"/>
                  <w:color w:val="0000FF"/>
                </w:rPr>
                <w:t>incorporated</w:t>
              </w:r>
            </w:hyperlink>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7680" w:type="dxa"/>
            <w:vAlign w:val="bottom"/>
            <w:tcBorders>
              <w:top w:val="single" w:sz="8" w:color="BFE4FF"/>
            </w:tcBorders>
            <w:gridSpan w:val="32"/>
            <w:shd w:val="clear" w:color="auto" w:fill="BFE4FF"/>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by reference to Exhibit 10.32 to the Registrant’s Current Report on Form 8-K filed on May 30, 2019</w:t>
              </w:r>
              <w:r>
                <w:rPr>
                  <w:rFonts w:ascii="Times New Roman" w:cs="Times New Roman" w:eastAsia="Times New Roman" w:hAnsi="Times New Roman"/>
                  <w:sz w:val="18"/>
                  <w:szCs w:val="18"/>
                  <w:color w:val="000000"/>
                </w:rPr>
                <w:t>).</w:t>
              </w:r>
            </w:hyperlink>
          </w:p>
        </w:tc>
        <w:tc>
          <w:tcPr>
            <w:tcW w:w="540" w:type="dxa"/>
            <w:vAlign w:val="bottom"/>
            <w:tcBorders>
              <w:top w:val="single" w:sz="8" w:color="0000FF"/>
              <w:right w:val="single" w:sz="8" w:color="BFE4FF"/>
            </w:tcBorders>
            <w:gridSpan w:val="3"/>
            <w:shd w:val="clear" w:color="auto" w:fill="BFE4FF"/>
          </w:tcPr>
          <w:p>
            <w:pPr>
              <w:spacing w:after="0"/>
              <w:rPr>
                <w:sz w:val="13"/>
                <w:szCs w:val="13"/>
                <w:color w:val="auto"/>
              </w:rPr>
            </w:pPr>
          </w:p>
        </w:tc>
        <w:tc>
          <w:tcPr>
            <w:tcW w:w="16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80" w:type="dxa"/>
            <w:vAlign w:val="bottom"/>
            <w:tcBorders>
              <w:top w:val="single" w:sz="8" w:color="0000FF"/>
            </w:tcBorders>
            <w:gridSpan w:val="2"/>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40" w:type="dxa"/>
            <w:vAlign w:val="bottom"/>
            <w:tcBorders>
              <w:top w:val="single" w:sz="8" w:color="0000FF"/>
              <w:right w:val="single" w:sz="8" w:color="BFE4FF"/>
            </w:tcBorders>
            <w:shd w:val="clear" w:color="auto" w:fill="BFE4FF"/>
          </w:tcPr>
          <w:p>
            <w:pPr>
              <w:spacing w:after="0"/>
              <w:rPr>
                <w:sz w:val="13"/>
                <w:szCs w:val="13"/>
                <w:color w:val="auto"/>
              </w:rPr>
            </w:pPr>
          </w:p>
        </w:tc>
        <w:tc>
          <w:tcPr>
            <w:tcW w:w="80" w:type="dxa"/>
            <w:vAlign w:val="bottom"/>
            <w:tcBorders>
              <w:top w:val="single" w:sz="8" w:color="BFE4FF"/>
              <w:left w:val="single" w:sz="8" w:color="BFE4FF"/>
            </w:tcBorders>
            <w:shd w:val="clear" w:color="auto" w:fill="BFE4FF"/>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94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114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5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78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left w:val="single" w:sz="8" w:color="BFE4FF"/>
            </w:tcBorders>
            <w:shd w:val="clear" w:color="auto" w:fill="BFE4FF"/>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00" w:type="dxa"/>
            <w:vAlign w:val="bottom"/>
            <w:gridSpan w:val="44"/>
          </w:tcPr>
          <w:p>
            <w:pPr>
              <w:spacing w:after="0" w:line="184" w:lineRule="exact"/>
              <w:rPr>
                <w:sz w:val="20"/>
                <w:szCs w:val="20"/>
                <w:color w:val="auto"/>
              </w:rPr>
            </w:pPr>
            <w:r>
              <w:rPr>
                <w:rFonts w:ascii="Times New Roman" w:cs="Times New Roman" w:eastAsia="Times New Roman" w:hAnsi="Times New Roman"/>
                <w:sz w:val="18"/>
                <w:szCs w:val="18"/>
                <w:color w:val="auto"/>
              </w:rPr>
              <w:t>Separation Agreement and General Release between MiMedx Group, Inc. and Timothy R. Wright dated September 15,</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6"/>
          </w:tcPr>
          <w:p>
            <w:pPr>
              <w:ind w:left="20"/>
              <w:spacing w:after="0" w:line="194" w:lineRule="exact"/>
              <w:rPr>
                <w:rFonts w:ascii="Times New Roman" w:cs="Times New Roman" w:eastAsia="Times New Roman" w:hAnsi="Times New Roman"/>
                <w:sz w:val="18"/>
                <w:szCs w:val="18"/>
                <w:color w:val="auto"/>
              </w:rPr>
            </w:pPr>
            <w:hyperlink r:id="rId152">
              <w:r>
                <w:rPr>
                  <w:rFonts w:ascii="Times New Roman" w:cs="Times New Roman" w:eastAsia="Times New Roman" w:hAnsi="Times New Roman"/>
                  <w:sz w:val="18"/>
                  <w:szCs w:val="18"/>
                  <w:color w:val="auto"/>
                </w:rPr>
                <w:t>2022 (</w:t>
              </w:r>
              <w:r>
                <w:rPr>
                  <w:rFonts w:ascii="Times New Roman" w:cs="Times New Roman" w:eastAsia="Times New Roman" w:hAnsi="Times New Roman"/>
                  <w:sz w:val="18"/>
                  <w:szCs w:val="18"/>
                  <w:color w:val="0000FF"/>
                </w:rPr>
                <w:t>incorporated by reference to Exhibit 10.3 to the Registrant’s Current Report on Form 8-K filed on September</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10"/>
          </w:tcPr>
          <w:p>
            <w:pPr>
              <w:ind w:left="20"/>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14, 2022</w:t>
              </w:r>
              <w:r>
                <w:rPr>
                  <w:rFonts w:ascii="Times New Roman" w:cs="Times New Roman" w:eastAsia="Times New Roman" w:hAnsi="Times New Roman"/>
                  <w:sz w:val="18"/>
                  <w:szCs w:val="18"/>
                  <w:color w:val="000000"/>
                </w:rPr>
                <w:t>).</w:t>
              </w:r>
            </w:hyperlink>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10.33*</w:t>
            </w: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Interim Executive Employment Agreement between MiMedx Group, Inc. and K. Todd Newton dated September 14,</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94" w:lineRule="exact"/>
              <w:rPr>
                <w:rFonts w:ascii="Times New Roman" w:cs="Times New Roman" w:eastAsia="Times New Roman" w:hAnsi="Times New Roman"/>
                <w:sz w:val="18"/>
                <w:szCs w:val="18"/>
                <w:color w:val="auto"/>
              </w:rPr>
            </w:pPr>
            <w:hyperlink r:id="rId153">
              <w:r>
                <w:rPr>
                  <w:rFonts w:ascii="Times New Roman" w:cs="Times New Roman" w:eastAsia="Times New Roman" w:hAnsi="Times New Roman"/>
                  <w:sz w:val="18"/>
                  <w:szCs w:val="18"/>
                  <w:color w:val="auto"/>
                </w:rPr>
                <w:t>2022 (</w:t>
              </w:r>
              <w:r>
                <w:rPr>
                  <w:rFonts w:ascii="Times New Roman" w:cs="Times New Roman" w:eastAsia="Times New Roman" w:hAnsi="Times New Roman"/>
                  <w:sz w:val="18"/>
                  <w:szCs w:val="18"/>
                  <w:color w:val="0000FF"/>
                </w:rPr>
                <w:t>incorporated by reference to Exhibit 10.1 to the Registrant’s Current Report on Form 8-K filed on September</w:t>
              </w:r>
            </w:hyperlink>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BFE4FF"/>
          </w:tcPr>
          <w:p>
            <w:pPr>
              <w:spacing w:after="0" w:line="20" w:lineRule="exact"/>
              <w:rPr>
                <w:sz w:val="1"/>
                <w:szCs w:val="1"/>
                <w:color w:val="auto"/>
              </w:rPr>
            </w:pPr>
          </w:p>
        </w:tc>
        <w:tc>
          <w:tcPr>
            <w:tcW w:w="220" w:type="dxa"/>
            <w:vAlign w:val="bottom"/>
            <w:shd w:val="clear" w:color="auto" w:fill="BFE4FF"/>
          </w:tcPr>
          <w:p>
            <w:pPr>
              <w:spacing w:after="0" w:line="20" w:lineRule="exact"/>
              <w:rPr>
                <w:sz w:val="1"/>
                <w:szCs w:val="1"/>
                <w:color w:val="auto"/>
              </w:rPr>
            </w:pPr>
          </w:p>
        </w:tc>
        <w:tc>
          <w:tcPr>
            <w:tcW w:w="80" w:type="dxa"/>
            <w:vAlign w:val="bottom"/>
            <w:gridSpan w:val="2"/>
            <w:shd w:val="clear" w:color="auto" w:fill="BFE4FF"/>
          </w:tcPr>
          <w:p>
            <w:pPr>
              <w:spacing w:after="0" w:line="20" w:lineRule="exact"/>
              <w:rPr>
                <w:sz w:val="1"/>
                <w:szCs w:val="1"/>
                <w:color w:val="auto"/>
              </w:rPr>
            </w:pPr>
          </w:p>
        </w:tc>
        <w:tc>
          <w:tcPr>
            <w:tcW w:w="20" w:type="dxa"/>
            <w:vAlign w:val="bottom"/>
            <w:shd w:val="clear" w:color="auto" w:fill="BFE4FF"/>
          </w:tcPr>
          <w:p>
            <w:pPr>
              <w:spacing w:after="0" w:line="20" w:lineRule="exact"/>
              <w:rPr>
                <w:sz w:val="1"/>
                <w:szCs w:val="1"/>
                <w:color w:val="auto"/>
              </w:rPr>
            </w:pPr>
          </w:p>
        </w:tc>
        <w:tc>
          <w:tcPr>
            <w:tcW w:w="360" w:type="dxa"/>
            <w:vAlign w:val="bottom"/>
            <w:gridSpan w:val="3"/>
            <w:shd w:val="clear" w:color="auto" w:fill="BFE4FF"/>
          </w:tcPr>
          <w:p>
            <w:pPr>
              <w:spacing w:after="0" w:line="20" w:lineRule="exact"/>
              <w:rPr>
                <w:sz w:val="1"/>
                <w:szCs w:val="1"/>
                <w:color w:val="auto"/>
              </w:rPr>
            </w:pPr>
          </w:p>
        </w:tc>
        <w:tc>
          <w:tcPr>
            <w:tcW w:w="40" w:type="dxa"/>
            <w:vAlign w:val="bottom"/>
            <w:gridSpan w:val="2"/>
            <w:shd w:val="clear" w:color="auto" w:fill="BFE4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BFE4FF"/>
            </w:tcBorders>
            <w:shd w:val="clear" w:color="auto" w:fill="BFE4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6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1300" w:type="dxa"/>
            <w:vAlign w:val="bottom"/>
            <w:gridSpan w:val="9"/>
            <w:shd w:val="clear" w:color="auto" w:fill="BFE4FF"/>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14, 2022</w:t>
              </w:r>
              <w:r>
                <w:rPr>
                  <w:rFonts w:ascii="Times New Roman" w:cs="Times New Roman" w:eastAsia="Times New Roman" w:hAnsi="Times New Roman"/>
                  <w:sz w:val="18"/>
                  <w:szCs w:val="18"/>
                  <w:color w:val="000000"/>
                </w:rPr>
                <w:t>).</w:t>
              </w:r>
            </w:hyperlink>
          </w:p>
        </w:tc>
        <w:tc>
          <w:tcPr>
            <w:tcW w:w="60" w:type="dxa"/>
            <w:vAlign w:val="bottom"/>
            <w:shd w:val="clear" w:color="auto" w:fill="BFE4FF"/>
          </w:tcPr>
          <w:p>
            <w:pPr>
              <w:spacing w:after="0"/>
              <w:rPr>
                <w:sz w:val="13"/>
                <w:szCs w:val="13"/>
                <w:color w:val="auto"/>
              </w:rPr>
            </w:pPr>
          </w:p>
        </w:tc>
        <w:tc>
          <w:tcPr>
            <w:tcW w:w="940" w:type="dxa"/>
            <w:vAlign w:val="bottom"/>
            <w:shd w:val="clear" w:color="auto" w:fill="BFE4FF"/>
          </w:tcPr>
          <w:p>
            <w:pPr>
              <w:spacing w:after="0"/>
              <w:rPr>
                <w:sz w:val="13"/>
                <w:szCs w:val="13"/>
                <w:color w:val="auto"/>
              </w:rPr>
            </w:pPr>
          </w:p>
        </w:tc>
        <w:tc>
          <w:tcPr>
            <w:tcW w:w="40" w:type="dxa"/>
            <w:vAlign w:val="bottom"/>
            <w:shd w:val="clear" w:color="auto" w:fill="BFE4FF"/>
          </w:tcPr>
          <w:p>
            <w:pPr>
              <w:spacing w:after="0"/>
              <w:rPr>
                <w:sz w:val="13"/>
                <w:szCs w:val="13"/>
                <w:color w:val="auto"/>
              </w:rPr>
            </w:pPr>
          </w:p>
        </w:tc>
        <w:tc>
          <w:tcPr>
            <w:tcW w:w="400" w:type="dxa"/>
            <w:vAlign w:val="bottom"/>
            <w:shd w:val="clear" w:color="auto" w:fill="BFE4FF"/>
          </w:tcPr>
          <w:p>
            <w:pPr>
              <w:spacing w:after="0"/>
              <w:rPr>
                <w:sz w:val="13"/>
                <w:szCs w:val="13"/>
                <w:color w:val="auto"/>
              </w:rPr>
            </w:pPr>
          </w:p>
        </w:tc>
        <w:tc>
          <w:tcPr>
            <w:tcW w:w="1140" w:type="dxa"/>
            <w:vAlign w:val="bottom"/>
            <w:shd w:val="clear" w:color="auto" w:fill="BFE4FF"/>
          </w:tcPr>
          <w:p>
            <w:pPr>
              <w:spacing w:after="0"/>
              <w:rPr>
                <w:sz w:val="13"/>
                <w:szCs w:val="13"/>
                <w:color w:val="auto"/>
              </w:rPr>
            </w:pPr>
          </w:p>
        </w:tc>
        <w:tc>
          <w:tcPr>
            <w:tcW w:w="60" w:type="dxa"/>
            <w:vAlign w:val="bottom"/>
            <w:shd w:val="clear" w:color="auto" w:fill="BFE4FF"/>
          </w:tcPr>
          <w:p>
            <w:pPr>
              <w:spacing w:after="0"/>
              <w:rPr>
                <w:sz w:val="13"/>
                <w:szCs w:val="13"/>
                <w:color w:val="auto"/>
              </w:rPr>
            </w:pPr>
          </w:p>
        </w:tc>
        <w:tc>
          <w:tcPr>
            <w:tcW w:w="820" w:type="dxa"/>
            <w:vAlign w:val="bottom"/>
            <w:shd w:val="clear" w:color="auto" w:fill="BFE4FF"/>
          </w:tcPr>
          <w:p>
            <w:pPr>
              <w:spacing w:after="0"/>
              <w:rPr>
                <w:sz w:val="13"/>
                <w:szCs w:val="13"/>
                <w:color w:val="auto"/>
              </w:rPr>
            </w:pPr>
          </w:p>
        </w:tc>
        <w:tc>
          <w:tcPr>
            <w:tcW w:w="52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40" w:type="dxa"/>
            <w:vAlign w:val="bottom"/>
            <w:shd w:val="clear" w:color="auto" w:fill="BFE4FF"/>
          </w:tcPr>
          <w:p>
            <w:pPr>
              <w:spacing w:after="0"/>
              <w:rPr>
                <w:sz w:val="13"/>
                <w:szCs w:val="13"/>
                <w:color w:val="auto"/>
              </w:rPr>
            </w:pPr>
          </w:p>
        </w:tc>
        <w:tc>
          <w:tcPr>
            <w:tcW w:w="78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480" w:type="dxa"/>
            <w:vAlign w:val="bottom"/>
            <w:shd w:val="clear" w:color="auto" w:fill="BFE4FF"/>
          </w:tcPr>
          <w:p>
            <w:pPr>
              <w:spacing w:after="0"/>
              <w:rPr>
                <w:sz w:val="13"/>
                <w:szCs w:val="13"/>
                <w:color w:val="auto"/>
              </w:rPr>
            </w:pPr>
          </w:p>
        </w:tc>
        <w:tc>
          <w:tcPr>
            <w:tcW w:w="40" w:type="dxa"/>
            <w:vAlign w:val="bottom"/>
            <w:shd w:val="clear" w:color="auto" w:fill="BFE4FF"/>
          </w:tcPr>
          <w:p>
            <w:pPr>
              <w:spacing w:after="0"/>
              <w:rPr>
                <w:sz w:val="13"/>
                <w:szCs w:val="13"/>
                <w:color w:val="auto"/>
              </w:rPr>
            </w:pPr>
          </w:p>
        </w:tc>
        <w:tc>
          <w:tcPr>
            <w:tcW w:w="28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4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26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42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40" w:type="dxa"/>
            <w:vAlign w:val="bottom"/>
            <w:tcBorders>
              <w:right w:val="single" w:sz="8" w:color="BFE4FF"/>
            </w:tcBorders>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6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6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40" w:type="dxa"/>
            <w:vAlign w:val="bottom"/>
            <w:tcBorders>
              <w:right w:val="single" w:sz="8" w:color="BFE4FF"/>
            </w:tcBorders>
            <w:shd w:val="clear" w:color="auto" w:fill="BFE4FF"/>
          </w:tcPr>
          <w:p>
            <w:pPr>
              <w:spacing w:after="0"/>
              <w:rPr>
                <w:sz w:val="13"/>
                <w:szCs w:val="13"/>
                <w:color w:val="auto"/>
              </w:rPr>
            </w:pPr>
          </w:p>
        </w:tc>
        <w:tc>
          <w:tcPr>
            <w:tcW w:w="80" w:type="dxa"/>
            <w:vAlign w:val="bottom"/>
            <w:tcBorders>
              <w:left w:val="single" w:sz="8" w:color="BFE4FF"/>
            </w:tcBorders>
            <w:shd w:val="clear" w:color="auto" w:fill="BFE4FF"/>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9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1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left w:val="single" w:sz="8" w:color="BFE4FF"/>
            </w:tcBorders>
            <w:shd w:val="clear" w:color="auto" w:fill="BFE4FF"/>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00" w:type="dxa"/>
            <w:vAlign w:val="bottom"/>
            <w:gridSpan w:val="44"/>
          </w:tcPr>
          <w:p>
            <w:pPr>
              <w:spacing w:after="0" w:line="184" w:lineRule="exact"/>
              <w:rPr>
                <w:sz w:val="20"/>
                <w:szCs w:val="20"/>
                <w:color w:val="auto"/>
              </w:rPr>
            </w:pPr>
            <w:r>
              <w:rPr>
                <w:rFonts w:ascii="Times New Roman" w:cs="Times New Roman" w:eastAsia="Times New Roman" w:hAnsi="Times New Roman"/>
                <w:sz w:val="18"/>
                <w:szCs w:val="18"/>
                <w:color w:val="auto"/>
              </w:rPr>
              <w:t>Restricted Stock Unit Agreement between MiMedx Group, Inc. and K. Todd Newton dated September 15, 2022</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6"/>
          </w:tcPr>
          <w:p>
            <w:pPr>
              <w:ind w:left="20"/>
              <w:spacing w:after="0" w:line="194"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incorporated by reference to Exhibit 10.2 to the Registrant’s Current Report on Form 8-K filed on September 14,</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tcBorders>
            <w:gridSpan w:val="4"/>
          </w:tcPr>
          <w:p>
            <w:pPr>
              <w:jc w:val="right"/>
              <w:spacing w:after="0" w:line="156" w:lineRule="exact"/>
              <w:rPr>
                <w:rFonts w:ascii="Times New Roman" w:cs="Times New Roman" w:eastAsia="Times New Roman" w:hAnsi="Times New Roman"/>
                <w:sz w:val="18"/>
                <w:szCs w:val="18"/>
                <w:color w:val="0000FF"/>
                <w:w w:val="77"/>
              </w:rPr>
            </w:pPr>
            <w:hyperlink r:id="rId154">
              <w:r>
                <w:rPr>
                  <w:rFonts w:ascii="Times New Roman" w:cs="Times New Roman" w:eastAsia="Times New Roman" w:hAnsi="Times New Roman"/>
                  <w:sz w:val="18"/>
                  <w:szCs w:val="18"/>
                  <w:color w:val="0000FF"/>
                  <w:w w:val="77"/>
                </w:rPr>
                <w:t>2022</w:t>
              </w:r>
              <w:r>
                <w:rPr>
                  <w:rFonts w:ascii="Times New Roman" w:cs="Times New Roman" w:eastAsia="Times New Roman" w:hAnsi="Times New Roman"/>
                  <w:sz w:val="18"/>
                  <w:szCs w:val="18"/>
                  <w:color w:val="000000"/>
                  <w:w w:val="77"/>
                </w:rPr>
                <w:t>).</w:t>
              </w:r>
            </w:hyperlink>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10.35*</w:t>
            </w: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89" w:lineRule="exact"/>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Employment Offer Letter between MiMedx Group, Inc. and Ricci S. Whitlow dated December 27, 2022 (</w:t>
              </w:r>
              <w:r>
                <w:rPr>
                  <w:rFonts w:ascii="Times New Roman" w:cs="Times New Roman" w:eastAsia="Times New Roman" w:hAnsi="Times New Roman"/>
                  <w:sz w:val="18"/>
                  <w:szCs w:val="18"/>
                  <w:color w:val="0000FF"/>
                </w:rPr>
                <w:t>incorporated</w:t>
              </w:r>
            </w:hyperlink>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BFE4FF"/>
            </w:tcBorders>
            <w:shd w:val="clear" w:color="auto" w:fill="BFE4FF"/>
          </w:tcPr>
          <w:p>
            <w:pPr>
              <w:spacing w:after="0"/>
              <w:rPr>
                <w:sz w:val="14"/>
                <w:szCs w:val="14"/>
                <w:color w:val="auto"/>
              </w:rPr>
            </w:pPr>
          </w:p>
        </w:tc>
        <w:tc>
          <w:tcPr>
            <w:tcW w:w="220" w:type="dxa"/>
            <w:vAlign w:val="bottom"/>
            <w:tcBorders>
              <w:top w:val="single" w:sz="8" w:color="BFE4FF"/>
            </w:tcBorders>
            <w:shd w:val="clear" w:color="auto" w:fill="BFE4FF"/>
          </w:tcPr>
          <w:p>
            <w:pPr>
              <w:spacing w:after="0"/>
              <w:rPr>
                <w:sz w:val="14"/>
                <w:szCs w:val="14"/>
                <w:color w:val="auto"/>
              </w:rPr>
            </w:pPr>
          </w:p>
        </w:tc>
        <w:tc>
          <w:tcPr>
            <w:tcW w:w="20" w:type="dxa"/>
            <w:vAlign w:val="bottom"/>
            <w:tcBorders>
              <w:top w:val="single" w:sz="8" w:color="BFE4FF"/>
            </w:tcBorders>
            <w:shd w:val="clear" w:color="auto" w:fill="BFE4FF"/>
          </w:tcPr>
          <w:p>
            <w:pPr>
              <w:spacing w:after="0"/>
              <w:rPr>
                <w:sz w:val="14"/>
                <w:szCs w:val="14"/>
                <w:color w:val="auto"/>
              </w:rPr>
            </w:pPr>
          </w:p>
        </w:tc>
        <w:tc>
          <w:tcPr>
            <w:tcW w:w="7660" w:type="dxa"/>
            <w:vAlign w:val="bottom"/>
            <w:tcBorders>
              <w:top w:val="single" w:sz="8" w:color="BFE4FF"/>
            </w:tcBorders>
            <w:gridSpan w:val="31"/>
            <w:shd w:val="clear" w:color="auto" w:fill="BFE4FF"/>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by reference to Exhibit 10.1 to the Registrant’s Current Report on Form 8-K filed on January 3, 2023</w:t>
              </w:r>
              <w:r>
                <w:rPr>
                  <w:rFonts w:ascii="Times New Roman" w:cs="Times New Roman" w:eastAsia="Times New Roman" w:hAnsi="Times New Roman"/>
                  <w:sz w:val="18"/>
                  <w:szCs w:val="18"/>
                  <w:color w:val="000000"/>
                </w:rPr>
                <w:t>).</w:t>
              </w:r>
            </w:hyperlink>
          </w:p>
        </w:tc>
        <w:tc>
          <w:tcPr>
            <w:tcW w:w="560" w:type="dxa"/>
            <w:vAlign w:val="bottom"/>
            <w:tcBorders>
              <w:top w:val="single" w:sz="8" w:color="0000FF"/>
              <w:right w:val="single" w:sz="8" w:color="BFE4FF"/>
            </w:tcBorders>
            <w:gridSpan w:val="4"/>
            <w:shd w:val="clear" w:color="auto" w:fill="BFE4FF"/>
          </w:tcPr>
          <w:p>
            <w:pPr>
              <w:spacing w:after="0"/>
              <w:rPr>
                <w:sz w:val="14"/>
                <w:szCs w:val="14"/>
                <w:color w:val="auto"/>
              </w:rPr>
            </w:pPr>
          </w:p>
        </w:tc>
        <w:tc>
          <w:tcPr>
            <w:tcW w:w="16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60" w:type="dxa"/>
            <w:vAlign w:val="bottom"/>
            <w:tcBorders>
              <w:top w:val="single" w:sz="8" w:color="0000FF"/>
            </w:tcBorders>
            <w:shd w:val="clear" w:color="auto" w:fill="BFE4FF"/>
          </w:tcPr>
          <w:p>
            <w:pPr>
              <w:spacing w:after="0"/>
              <w:rPr>
                <w:sz w:val="14"/>
                <w:szCs w:val="14"/>
                <w:color w:val="auto"/>
              </w:rPr>
            </w:pPr>
          </w:p>
        </w:tc>
        <w:tc>
          <w:tcPr>
            <w:tcW w:w="80" w:type="dxa"/>
            <w:vAlign w:val="bottom"/>
            <w:tcBorders>
              <w:top w:val="single" w:sz="8" w:color="0000FF"/>
            </w:tcBorders>
            <w:gridSpan w:val="2"/>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120" w:type="dxa"/>
            <w:vAlign w:val="bottom"/>
            <w:tcBorders>
              <w:top w:val="single" w:sz="8" w:color="BFE4FF"/>
            </w:tcBorders>
            <w:gridSpan w:val="2"/>
            <w:shd w:val="clear" w:color="auto" w:fill="BFE4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94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114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5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78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left w:val="single" w:sz="8" w:color="BFE4FF"/>
            </w:tcBorders>
            <w:shd w:val="clear" w:color="auto" w:fill="BFE4FF"/>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00" w:type="dxa"/>
            <w:vAlign w:val="bottom"/>
            <w:gridSpan w:val="44"/>
          </w:tcPr>
          <w:p>
            <w:pPr>
              <w:spacing w:after="0" w:line="189" w:lineRule="exact"/>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Letter Agreement between MiMedx Group, Inc. and Joseph H. Capper dated January 27, 2023 (</w:t>
              </w:r>
              <w:r>
                <w:rPr>
                  <w:rFonts w:ascii="Times New Roman" w:cs="Times New Roman" w:eastAsia="Times New Roman" w:hAnsi="Times New Roman"/>
                  <w:sz w:val="18"/>
                  <w:szCs w:val="18"/>
                  <w:color w:val="0000FF"/>
                </w:rPr>
                <w:t>incorporated by</w:t>
              </w:r>
            </w:hyperlink>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20" w:type="dxa"/>
            <w:vAlign w:val="bottom"/>
            <w:gridSpan w:val="31"/>
          </w:tcPr>
          <w:p>
            <w:pPr>
              <w:ind w:left="20"/>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reference to Exhibit 10.1 to the Registrant’s Current Report on Form 8-K filed on January 27, 2023</w:t>
              </w:r>
              <w:r>
                <w:rPr>
                  <w:rFonts w:ascii="Times New Roman" w:cs="Times New Roman" w:eastAsia="Times New Roman" w:hAnsi="Times New Roman"/>
                  <w:sz w:val="18"/>
                  <w:szCs w:val="18"/>
                  <w:color w:val="000000"/>
                </w:rPr>
                <w:t>).</w:t>
              </w:r>
            </w:hyperlink>
          </w:p>
        </w:tc>
        <w:tc>
          <w:tcPr>
            <w:tcW w:w="820" w:type="dxa"/>
            <w:vAlign w:val="bottom"/>
            <w:tcBorders>
              <w:top w:val="single" w:sz="8" w:color="0000FF"/>
            </w:tcBorders>
            <w:gridSpan w:val="5"/>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gridSpan w:val="2"/>
          </w:tcPr>
          <w:p>
            <w:pPr>
              <w:spacing w:after="0"/>
              <w:rPr>
                <w:sz w:val="14"/>
                <w:szCs w:val="14"/>
                <w:color w:val="auto"/>
              </w:rPr>
            </w:pPr>
          </w:p>
        </w:tc>
        <w:tc>
          <w:tcPr>
            <w:tcW w:w="14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10.37*</w:t>
            </w: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Stock Unit Agreement between MiMedx Group, Inc. and Joseph H. Capper dated January 27, 2023</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hyperlink r:id="rId157">
              <w:r>
                <w:rPr>
                  <w:rFonts w:ascii="Times New Roman" w:cs="Times New Roman" w:eastAsia="Times New Roman" w:hAnsi="Times New Roman"/>
                  <w:sz w:val="18"/>
                  <w:szCs w:val="18"/>
                  <w:color w:val="0000FF"/>
                </w:rPr>
                <w:t>ncorporated by reference to Exhibit 10.3 to the Registrant’s Current Report on Form 8-K filed on January 27, 2023</w:t>
              </w:r>
            </w:hyperlink>
            <w:r>
              <w:rPr>
                <w:rFonts w:ascii="Times New Roman" w:cs="Times New Roman" w:eastAsia="Times New Roman" w:hAnsi="Times New Roman"/>
                <w:sz w:val="18"/>
                <w:szCs w:val="18"/>
                <w:color w:val="auto"/>
              </w:rPr>
              <w: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94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114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5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78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4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right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left w:val="single" w:sz="8" w:color="BFE4FF"/>
            </w:tcBorders>
            <w:shd w:val="clear" w:color="auto" w:fill="BFE4FF"/>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10.38*</w:t>
            </w:r>
          </w:p>
        </w:tc>
        <w:tc>
          <w:tcPr>
            <w:tcW w:w="220" w:type="dxa"/>
            <w:vAlign w:val="bottom"/>
          </w:tcPr>
          <w:p>
            <w:pPr>
              <w:spacing w:after="0"/>
              <w:rPr>
                <w:sz w:val="16"/>
                <w:szCs w:val="16"/>
                <w:color w:val="auto"/>
              </w:rPr>
            </w:pPr>
          </w:p>
        </w:tc>
        <w:tc>
          <w:tcPr>
            <w:tcW w:w="8720" w:type="dxa"/>
            <w:vAlign w:val="bottom"/>
            <w:gridSpan w:val="45"/>
          </w:tcPr>
          <w:p>
            <w:pPr>
              <w:ind w:left="20"/>
              <w:spacing w:after="0" w:line="184" w:lineRule="exact"/>
              <w:rPr>
                <w:sz w:val="20"/>
                <w:szCs w:val="20"/>
                <w:color w:val="auto"/>
              </w:rPr>
            </w:pPr>
            <w:r>
              <w:rPr>
                <w:rFonts w:ascii="Times New Roman" w:cs="Times New Roman" w:eastAsia="Times New Roman" w:hAnsi="Times New Roman"/>
                <w:sz w:val="18"/>
                <w:szCs w:val="18"/>
                <w:color w:val="auto"/>
              </w:rPr>
              <w:t>Nonqualified Stock Option Agreement between MiMedx Group, Inc. and Joseph H. Capper dated January 27, 2023</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6"/>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57">
              <w:r>
                <w:rPr>
                  <w:rFonts w:ascii="Times New Roman" w:cs="Times New Roman" w:eastAsia="Times New Roman" w:hAnsi="Times New Roman"/>
                  <w:sz w:val="18"/>
                  <w:szCs w:val="18"/>
                  <w:color w:val="0000FF"/>
                </w:rPr>
                <w:t>incorporated by reference to Exhibit 10.4 to the Registrant’s Current Report on Form 8-K filed on January 27, 2023</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10.39</w:t>
            </w: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Platform Intellectual Property License Agreement by and between MiMedx Group, Inc. and Global Health Solutions,</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94" w:lineRule="exact"/>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Inc. (d.b.a. Turn Therapeutics) (</w:t>
              </w:r>
              <w:r>
                <w:rPr>
                  <w:rFonts w:ascii="Times New Roman" w:cs="Times New Roman" w:eastAsia="Times New Roman" w:hAnsi="Times New Roman"/>
                  <w:sz w:val="18"/>
                  <w:szCs w:val="18"/>
                  <w:color w:val="0000FF"/>
                </w:rPr>
                <w:t>incorporated by reference to Exhibit 10.44 to the Registrant’s Annual Report on Form</w:t>
              </w:r>
            </w:hyperlink>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60" w:type="dxa"/>
            <w:vAlign w:val="bottom"/>
            <w:tcBorders>
              <w:top w:val="single" w:sz="8" w:color="BFE4FF"/>
            </w:tcBorders>
            <w:shd w:val="clear" w:color="auto" w:fill="BFE4FF"/>
          </w:tcPr>
          <w:p>
            <w:pPr>
              <w:spacing w:after="0"/>
              <w:rPr>
                <w:sz w:val="13"/>
                <w:szCs w:val="13"/>
                <w:color w:val="auto"/>
              </w:rPr>
            </w:pPr>
          </w:p>
        </w:tc>
        <w:tc>
          <w:tcPr>
            <w:tcW w:w="22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2300" w:type="dxa"/>
            <w:vAlign w:val="bottom"/>
            <w:tcBorders>
              <w:top w:val="single" w:sz="8" w:color="BFE4FF"/>
            </w:tcBorders>
            <w:gridSpan w:val="11"/>
            <w:shd w:val="clear" w:color="auto" w:fill="BFE4FF"/>
          </w:tcPr>
          <w:p>
            <w:pPr>
              <w:spacing w:after="0" w:line="156" w:lineRule="exact"/>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10-K filed on February 28, 2023</w:t>
              </w:r>
            </w:hyperlink>
          </w:p>
        </w:tc>
        <w:tc>
          <w:tcPr>
            <w:tcW w:w="2460" w:type="dxa"/>
            <w:vAlign w:val="bottom"/>
            <w:tcBorders>
              <w:top w:val="single" w:sz="8" w:color="0000FF"/>
            </w:tcBorders>
            <w:gridSpan w:val="5"/>
            <w:shd w:val="clear" w:color="auto" w:fill="BFE4FF"/>
          </w:tcPr>
          <w:p>
            <w:pPr>
              <w:jc w:val="right"/>
              <w:ind w:right="2320"/>
              <w:spacing w:after="0" w:line="156" w:lineRule="exact"/>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w:t>
              </w:r>
            </w:hyperlink>
          </w:p>
        </w:tc>
        <w:tc>
          <w:tcPr>
            <w:tcW w:w="520" w:type="dxa"/>
            <w:vAlign w:val="bottom"/>
            <w:tcBorders>
              <w:top w:val="single" w:sz="8" w:color="0000FF"/>
            </w:tcBorders>
            <w:shd w:val="clear" w:color="auto" w:fill="BFE4FF"/>
          </w:tcPr>
          <w:p>
            <w:pPr>
              <w:spacing w:after="0"/>
              <w:rPr>
                <w:sz w:val="13"/>
                <w:szCs w:val="13"/>
                <w:color w:val="auto"/>
              </w:rPr>
            </w:pPr>
          </w:p>
        </w:tc>
        <w:tc>
          <w:tcPr>
            <w:tcW w:w="2940" w:type="dxa"/>
            <w:vAlign w:val="bottom"/>
            <w:tcBorders>
              <w:top w:val="single" w:sz="8" w:color="0000FF"/>
              <w:right w:val="single" w:sz="8" w:color="BFE4FF"/>
            </w:tcBorders>
            <w:gridSpan w:val="18"/>
            <w:shd w:val="clear" w:color="auto" w:fill="BFE4FF"/>
          </w:tcPr>
          <w:p>
            <w:pPr>
              <w:spacing w:after="0"/>
              <w:rPr>
                <w:sz w:val="13"/>
                <w:szCs w:val="13"/>
                <w:color w:val="auto"/>
              </w:rPr>
            </w:pPr>
          </w:p>
        </w:tc>
        <w:tc>
          <w:tcPr>
            <w:tcW w:w="180" w:type="dxa"/>
            <w:vAlign w:val="bottom"/>
            <w:tcBorders>
              <w:top w:val="single" w:sz="8" w:color="0000FF"/>
            </w:tcBorders>
            <w:gridSpan w:val="2"/>
            <w:shd w:val="clear" w:color="auto" w:fill="BFE4FF"/>
          </w:tcPr>
          <w:p>
            <w:pPr>
              <w:spacing w:after="0"/>
              <w:rPr>
                <w:sz w:val="13"/>
                <w:szCs w:val="13"/>
                <w:color w:val="auto"/>
              </w:rPr>
            </w:pPr>
          </w:p>
        </w:tc>
        <w:tc>
          <w:tcPr>
            <w:tcW w:w="20" w:type="dxa"/>
            <w:vAlign w:val="bottom"/>
            <w:tcBorders>
              <w:top w:val="single" w:sz="8" w:color="0000FF"/>
            </w:tcBorders>
            <w:shd w:val="clear" w:color="auto" w:fill="BFE4FF"/>
          </w:tcPr>
          <w:p>
            <w:pPr>
              <w:spacing w:after="0"/>
              <w:rPr>
                <w:sz w:val="13"/>
                <w:szCs w:val="13"/>
                <w:color w:val="auto"/>
              </w:rPr>
            </w:pPr>
          </w:p>
        </w:tc>
        <w:tc>
          <w:tcPr>
            <w:tcW w:w="60" w:type="dxa"/>
            <w:vAlign w:val="bottom"/>
            <w:tcBorders>
              <w:top w:val="single" w:sz="8" w:color="0000FF"/>
            </w:tcBorders>
            <w:shd w:val="clear" w:color="auto" w:fill="BFE4FF"/>
          </w:tcPr>
          <w:p>
            <w:pPr>
              <w:spacing w:after="0"/>
              <w:rPr>
                <w:sz w:val="13"/>
                <w:szCs w:val="13"/>
                <w:color w:val="auto"/>
              </w:rPr>
            </w:pPr>
          </w:p>
        </w:tc>
        <w:tc>
          <w:tcPr>
            <w:tcW w:w="220" w:type="dxa"/>
            <w:vAlign w:val="bottom"/>
            <w:tcBorders>
              <w:top w:val="single" w:sz="8" w:color="BFE4FF"/>
            </w:tcBorders>
            <w:gridSpan w:val="5"/>
            <w:shd w:val="clear" w:color="auto" w:fill="BFE4FF"/>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94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1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left w:val="single" w:sz="8" w:color="BFE4FF"/>
            </w:tcBorders>
            <w:shd w:val="clear" w:color="auto" w:fill="BFE4FF"/>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00" w:type="dxa"/>
            <w:vAlign w:val="bottom"/>
            <w:gridSpan w:val="44"/>
          </w:tcPr>
          <w:p>
            <w:pPr>
              <w:spacing w:after="0" w:line="184" w:lineRule="exact"/>
              <w:rPr>
                <w:sz w:val="20"/>
                <w:szCs w:val="20"/>
                <w:color w:val="auto"/>
              </w:rPr>
            </w:pPr>
            <w:r>
              <w:rPr>
                <w:rFonts w:ascii="Times New Roman" w:cs="Times New Roman" w:eastAsia="Times New Roman" w:hAnsi="Times New Roman"/>
                <w:sz w:val="18"/>
                <w:szCs w:val="18"/>
                <w:color w:val="auto"/>
              </w:rPr>
              <w:t>Separation Agreement and General Release between MiMedx Group, Inc. and Peter M. Carlson dated July 14, 2023</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6"/>
          </w:tcPr>
          <w:p>
            <w:pPr>
              <w:ind w:left="20"/>
              <w:spacing w:after="0" w:line="194" w:lineRule="exact"/>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incorporated by reference to Exhibit 10.7 to the Registrant’s Quarterly Report on Form 10-Q filed on October 30,</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380" w:type="dxa"/>
            <w:vAlign w:val="bottom"/>
            <w:tcBorders>
              <w:top w:val="single" w:sz="8" w:color="0000FF"/>
            </w:tcBorders>
            <w:gridSpan w:val="4"/>
          </w:tcPr>
          <w:p>
            <w:pPr>
              <w:jc w:val="right"/>
              <w:spacing w:after="0" w:line="156" w:lineRule="exact"/>
              <w:rPr>
                <w:rFonts w:ascii="Times New Roman" w:cs="Times New Roman" w:eastAsia="Times New Roman" w:hAnsi="Times New Roman"/>
                <w:sz w:val="18"/>
                <w:szCs w:val="18"/>
                <w:color w:val="0000FF"/>
                <w:w w:val="77"/>
              </w:rPr>
            </w:pPr>
            <w:hyperlink r:id="rId159">
              <w:r>
                <w:rPr>
                  <w:rFonts w:ascii="Times New Roman" w:cs="Times New Roman" w:eastAsia="Times New Roman" w:hAnsi="Times New Roman"/>
                  <w:sz w:val="18"/>
                  <w:szCs w:val="18"/>
                  <w:color w:val="0000FF"/>
                  <w:w w:val="77"/>
                </w:rPr>
                <w:t>2023</w:t>
              </w:r>
              <w:r>
                <w:rPr>
                  <w:rFonts w:ascii="Times New Roman" w:cs="Times New Roman" w:eastAsia="Times New Roman" w:hAnsi="Times New Roman"/>
                  <w:sz w:val="18"/>
                  <w:szCs w:val="18"/>
                  <w:color w:val="000000"/>
                  <w:w w:val="77"/>
                </w:rPr>
                <w:t>).</w:t>
              </w:r>
            </w:hyperlink>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10.41*</w:t>
            </w:r>
          </w:p>
        </w:tc>
        <w:tc>
          <w:tcPr>
            <w:tcW w:w="220" w:type="dxa"/>
            <w:vAlign w:val="bottom"/>
            <w:shd w:val="clear" w:color="auto" w:fill="BFE4FF"/>
          </w:tcPr>
          <w:p>
            <w:pPr>
              <w:spacing w:after="0"/>
              <w:rPr>
                <w:sz w:val="16"/>
                <w:szCs w:val="16"/>
                <w:color w:val="auto"/>
              </w:rPr>
            </w:pPr>
          </w:p>
        </w:tc>
        <w:tc>
          <w:tcPr>
            <w:tcW w:w="8720" w:type="dxa"/>
            <w:vAlign w:val="bottom"/>
            <w:gridSpan w:val="45"/>
            <w:shd w:val="clear" w:color="auto" w:fill="BFE4FF"/>
          </w:tcPr>
          <w:p>
            <w:pPr>
              <w:ind w:left="20"/>
              <w:spacing w:after="0" w:line="189" w:lineRule="exact"/>
              <w:rPr>
                <w:rFonts w:ascii="Times New Roman" w:cs="Times New Roman" w:eastAsia="Times New Roman" w:hAnsi="Times New Roman"/>
                <w:sz w:val="18"/>
                <w:szCs w:val="18"/>
                <w:color w:val="auto"/>
              </w:rPr>
            </w:pPr>
            <w:hyperlink r:id="rId160">
              <w:r>
                <w:rPr>
                  <w:rFonts w:ascii="Times New Roman" w:cs="Times New Roman" w:eastAsia="Times New Roman" w:hAnsi="Times New Roman"/>
                  <w:sz w:val="18"/>
                  <w:szCs w:val="18"/>
                  <w:color w:val="auto"/>
                </w:rPr>
                <w:t>Offer Letter dated June 30, 2023, between the Company and Doug Rice (</w:t>
              </w:r>
              <w:r>
                <w:rPr>
                  <w:rFonts w:ascii="Times New Roman" w:cs="Times New Roman" w:eastAsia="Times New Roman" w:hAnsi="Times New Roman"/>
                  <w:sz w:val="18"/>
                  <w:szCs w:val="18"/>
                  <w:color w:val="0000FF"/>
                </w:rPr>
                <w:t>incorporated by reference to Exhibit 10.1 to</w:t>
              </w:r>
            </w:hyperlink>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BFE4FF"/>
            </w:tcBorders>
            <w:shd w:val="clear" w:color="auto" w:fill="BFE4FF"/>
          </w:tcPr>
          <w:p>
            <w:pPr>
              <w:spacing w:after="0"/>
              <w:rPr>
                <w:sz w:val="14"/>
                <w:szCs w:val="14"/>
                <w:color w:val="auto"/>
              </w:rPr>
            </w:pPr>
          </w:p>
        </w:tc>
        <w:tc>
          <w:tcPr>
            <w:tcW w:w="220" w:type="dxa"/>
            <w:vAlign w:val="bottom"/>
            <w:tcBorders>
              <w:top w:val="single" w:sz="8" w:color="BFE4FF"/>
            </w:tcBorders>
            <w:shd w:val="clear" w:color="auto" w:fill="BFE4FF"/>
          </w:tcPr>
          <w:p>
            <w:pPr>
              <w:spacing w:after="0"/>
              <w:rPr>
                <w:sz w:val="14"/>
                <w:szCs w:val="14"/>
                <w:color w:val="auto"/>
              </w:rPr>
            </w:pPr>
          </w:p>
        </w:tc>
        <w:tc>
          <w:tcPr>
            <w:tcW w:w="20" w:type="dxa"/>
            <w:vAlign w:val="bottom"/>
            <w:tcBorders>
              <w:top w:val="single" w:sz="8" w:color="BFE4FF"/>
            </w:tcBorders>
            <w:shd w:val="clear" w:color="auto" w:fill="BFE4FF"/>
          </w:tcPr>
          <w:p>
            <w:pPr>
              <w:spacing w:after="0"/>
              <w:rPr>
                <w:sz w:val="14"/>
                <w:szCs w:val="14"/>
                <w:color w:val="auto"/>
              </w:rPr>
            </w:pPr>
          </w:p>
        </w:tc>
        <w:tc>
          <w:tcPr>
            <w:tcW w:w="5280" w:type="dxa"/>
            <w:vAlign w:val="bottom"/>
            <w:tcBorders>
              <w:top w:val="single" w:sz="8" w:color="BFE4FF"/>
            </w:tcBorders>
            <w:gridSpan w:val="17"/>
            <w:shd w:val="clear" w:color="auto" w:fill="BFE4FF"/>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the Registrant’s Current Report on Form 8-K filed on July 5, 2023</w:t>
              </w:r>
              <w:r>
                <w:rPr>
                  <w:rFonts w:ascii="Times New Roman" w:cs="Times New Roman" w:eastAsia="Times New Roman" w:hAnsi="Times New Roman"/>
                  <w:sz w:val="18"/>
                  <w:szCs w:val="18"/>
                  <w:color w:val="000000"/>
                </w:rPr>
                <w:t>).</w:t>
              </w:r>
            </w:hyperlink>
          </w:p>
        </w:tc>
        <w:tc>
          <w:tcPr>
            <w:tcW w:w="3120" w:type="dxa"/>
            <w:vAlign w:val="bottom"/>
            <w:tcBorders>
              <w:top w:val="single" w:sz="8" w:color="0000FF"/>
            </w:tcBorders>
            <w:gridSpan w:val="20"/>
            <w:shd w:val="clear" w:color="auto" w:fill="BFE4FF"/>
          </w:tcPr>
          <w:p>
            <w:pPr>
              <w:spacing w:after="0"/>
              <w:rPr>
                <w:sz w:val="14"/>
                <w:szCs w:val="14"/>
                <w:color w:val="auto"/>
              </w:rPr>
            </w:pPr>
          </w:p>
        </w:tc>
        <w:tc>
          <w:tcPr>
            <w:tcW w:w="20" w:type="dxa"/>
            <w:vAlign w:val="bottom"/>
            <w:tcBorders>
              <w:top w:val="single" w:sz="8" w:color="0000FF"/>
            </w:tcBorders>
            <w:shd w:val="clear" w:color="auto" w:fill="BFE4FF"/>
          </w:tcPr>
          <w:p>
            <w:pPr>
              <w:spacing w:after="0"/>
              <w:rPr>
                <w:sz w:val="14"/>
                <w:szCs w:val="14"/>
                <w:color w:val="auto"/>
              </w:rPr>
            </w:pPr>
          </w:p>
        </w:tc>
        <w:tc>
          <w:tcPr>
            <w:tcW w:w="280" w:type="dxa"/>
            <w:vAlign w:val="bottom"/>
            <w:tcBorders>
              <w:top w:val="single" w:sz="8" w:color="BFE4FF"/>
            </w:tcBorders>
            <w:gridSpan w:val="6"/>
            <w:shd w:val="clear" w:color="auto" w:fill="BFE4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94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00" w:type="dxa"/>
            <w:vAlign w:val="bottom"/>
            <w:tcBorders>
              <w:top w:val="single" w:sz="8" w:color="0000FF"/>
            </w:tcBorders>
            <w:shd w:val="clear" w:color="auto" w:fill="BFE4FF"/>
          </w:tcPr>
          <w:p>
            <w:pPr>
              <w:spacing w:after="0" w:line="20" w:lineRule="exact"/>
              <w:rPr>
                <w:sz w:val="1"/>
                <w:szCs w:val="1"/>
                <w:color w:val="auto"/>
              </w:rPr>
            </w:pPr>
          </w:p>
        </w:tc>
        <w:tc>
          <w:tcPr>
            <w:tcW w:w="114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5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4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right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left w:val="single" w:sz="8" w:color="BFE4FF"/>
            </w:tcBorders>
            <w:shd w:val="clear" w:color="auto" w:fill="BFE4FF"/>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00" w:type="dxa"/>
            <w:vAlign w:val="bottom"/>
            <w:gridSpan w:val="44"/>
          </w:tcPr>
          <w:p>
            <w:pPr>
              <w:spacing w:after="0" w:line="184" w:lineRule="exact"/>
              <w:rPr>
                <w:sz w:val="20"/>
                <w:szCs w:val="20"/>
                <w:color w:val="auto"/>
              </w:rPr>
            </w:pPr>
            <w:r>
              <w:rPr>
                <w:rFonts w:ascii="Times New Roman" w:cs="Times New Roman" w:eastAsia="Times New Roman" w:hAnsi="Times New Roman"/>
                <w:sz w:val="18"/>
                <w:szCs w:val="18"/>
                <w:color w:val="auto"/>
              </w:rPr>
              <w:t>Key Employee Retention and Restrictive Covenant Agreement dated July 5, 2023, between the Company and Doug</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6"/>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Rice (</w:t>
            </w:r>
            <w:hyperlink r:id="rId161">
              <w:r>
                <w:rPr>
                  <w:rFonts w:ascii="Times New Roman" w:cs="Times New Roman" w:eastAsia="Times New Roman" w:hAnsi="Times New Roman"/>
                  <w:sz w:val="18"/>
                  <w:szCs w:val="18"/>
                  <w:color w:val="0000FF"/>
                </w:rPr>
                <w:t>incorporated by reference to Exhibit 10.2 to the Registrant’s Current Report on Form 8-K filed on July 5, 2023</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4"/>
        </w:trPr>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6"/>
          </w:tcPr>
          <w:p>
            <w:pPr>
              <w:spacing w:after="0"/>
              <w:rPr>
                <w:sz w:val="24"/>
                <w:szCs w:val="24"/>
                <w:color w:val="auto"/>
              </w:rPr>
            </w:pPr>
          </w:p>
        </w:tc>
        <w:tc>
          <w:tcPr>
            <w:tcW w:w="4320" w:type="dxa"/>
            <w:vAlign w:val="bottom"/>
            <w:tcBorders>
              <w:top w:val="single" w:sz="8" w:color="0000FF"/>
            </w:tcBorders>
            <w:gridSpan w:val="11"/>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620" w:type="dxa"/>
            <w:vAlign w:val="bottom"/>
            <w:gridSpan w:val="1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5"/>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20" w:type="dxa"/>
            <w:vAlign w:val="bottom"/>
            <w:gridSpan w:val="1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10.43*</w:t>
            </w:r>
          </w:p>
        </w:tc>
        <w:tc>
          <w:tcPr>
            <w:tcW w:w="220" w:type="dxa"/>
            <w:vAlign w:val="bottom"/>
            <w:tcBorders>
              <w:top w:val="single" w:sz="8" w:color="BFE4FF"/>
            </w:tcBorders>
            <w:shd w:val="clear" w:color="auto" w:fill="BFE4FF"/>
          </w:tcPr>
          <w:p>
            <w:pPr>
              <w:spacing w:after="0"/>
              <w:rPr>
                <w:sz w:val="16"/>
                <w:szCs w:val="16"/>
                <w:color w:val="auto"/>
              </w:rPr>
            </w:pPr>
          </w:p>
        </w:tc>
        <w:tc>
          <w:tcPr>
            <w:tcW w:w="8620" w:type="dxa"/>
            <w:vAlign w:val="bottom"/>
            <w:tcBorders>
              <w:top w:val="single" w:sz="8" w:color="auto"/>
            </w:tcBorders>
            <w:gridSpan w:val="13"/>
            <w:shd w:val="clear" w:color="auto" w:fill="BFE4FF"/>
          </w:tcPr>
          <w:p>
            <w:pPr>
              <w:ind w:left="20"/>
              <w:spacing w:after="0" w:line="184" w:lineRule="exact"/>
              <w:rPr>
                <w:sz w:val="20"/>
                <w:szCs w:val="20"/>
                <w:color w:val="auto"/>
              </w:rPr>
            </w:pPr>
            <w:r>
              <w:rPr>
                <w:rFonts w:ascii="Times New Roman" w:cs="Times New Roman" w:eastAsia="Times New Roman" w:hAnsi="Times New Roman"/>
                <w:sz w:val="18"/>
                <w:szCs w:val="18"/>
                <w:color w:val="auto"/>
              </w:rPr>
              <w:t>Inducement Performance Stock Unit Agreement dated June 30, 2023, between the Company and Doug Rice</w:t>
            </w:r>
          </w:p>
        </w:tc>
        <w:tc>
          <w:tcPr>
            <w:tcW w:w="0" w:type="dxa"/>
            <w:vAlign w:val="bottom"/>
          </w:tcPr>
          <w:p>
            <w:pPr>
              <w:spacing w:after="0"/>
              <w:rPr>
                <w:sz w:val="1"/>
                <w:szCs w:val="1"/>
                <w:color w:val="auto"/>
              </w:rPr>
            </w:pPr>
          </w:p>
        </w:tc>
      </w:tr>
      <w:tr>
        <w:trPr>
          <w:trHeight w:val="194"/>
        </w:trPr>
        <w:tc>
          <w:tcPr>
            <w:tcW w:w="96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620" w:type="dxa"/>
            <w:vAlign w:val="bottom"/>
            <w:gridSpan w:val="13"/>
            <w:shd w:val="clear" w:color="auto" w:fill="BFE4FF"/>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64">
              <w:r>
                <w:rPr>
                  <w:rFonts w:ascii="Times New Roman" w:cs="Times New Roman" w:eastAsia="Times New Roman" w:hAnsi="Times New Roman"/>
                  <w:sz w:val="18"/>
                  <w:szCs w:val="18"/>
                  <w:color w:val="0000FF"/>
                </w:rPr>
                <w:t>incorporated by reference to Exhibit 10.3 to the Registrant’s Current Report on Form 8-K filed on July 5, 2023</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96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560" w:type="dxa"/>
            <w:vAlign w:val="bottom"/>
            <w:tcBorders>
              <w:top w:val="single" w:sz="8" w:color="0000FF"/>
            </w:tcBorders>
            <w:shd w:val="clear" w:color="auto" w:fill="BFE4FF"/>
          </w:tcPr>
          <w:p>
            <w:pPr>
              <w:spacing w:after="0" w:line="20" w:lineRule="exact"/>
              <w:rPr>
                <w:sz w:val="1"/>
                <w:szCs w:val="1"/>
                <w:color w:val="auto"/>
              </w:rPr>
            </w:pPr>
          </w:p>
        </w:tc>
        <w:tc>
          <w:tcPr>
            <w:tcW w:w="2920" w:type="dxa"/>
            <w:vAlign w:val="bottom"/>
            <w:tcBorders>
              <w:top w:val="single" w:sz="8" w:color="0000FF"/>
            </w:tcBorders>
            <w:shd w:val="clear" w:color="auto" w:fill="BFE4FF"/>
          </w:tcPr>
          <w:p>
            <w:pPr>
              <w:spacing w:after="0" w:line="20" w:lineRule="exact"/>
              <w:rPr>
                <w:sz w:val="1"/>
                <w:szCs w:val="1"/>
                <w:color w:val="auto"/>
              </w:rPr>
            </w:pPr>
          </w:p>
        </w:tc>
        <w:tc>
          <w:tcPr>
            <w:tcW w:w="600" w:type="dxa"/>
            <w:vAlign w:val="bottom"/>
            <w:tcBorders>
              <w:top w:val="single" w:sz="8" w:color="0000FF"/>
            </w:tcBorders>
            <w:shd w:val="clear" w:color="auto" w:fill="BFE4FF"/>
          </w:tcPr>
          <w:p>
            <w:pPr>
              <w:spacing w:after="0" w:line="20" w:lineRule="exact"/>
              <w:rPr>
                <w:sz w:val="1"/>
                <w:szCs w:val="1"/>
                <w:color w:val="auto"/>
              </w:rPr>
            </w:pPr>
          </w:p>
        </w:tc>
        <w:tc>
          <w:tcPr>
            <w:tcW w:w="64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10.44*</w:t>
            </w:r>
          </w:p>
        </w:tc>
        <w:tc>
          <w:tcPr>
            <w:tcW w:w="220" w:type="dxa"/>
            <w:vAlign w:val="bottom"/>
          </w:tcPr>
          <w:p>
            <w:pPr>
              <w:spacing w:after="0"/>
              <w:rPr>
                <w:sz w:val="16"/>
                <w:szCs w:val="16"/>
                <w:color w:val="auto"/>
              </w:rPr>
            </w:pPr>
          </w:p>
        </w:tc>
        <w:tc>
          <w:tcPr>
            <w:tcW w:w="8620" w:type="dxa"/>
            <w:vAlign w:val="bottom"/>
            <w:gridSpan w:val="13"/>
          </w:tcPr>
          <w:p>
            <w:pPr>
              <w:ind w:left="20"/>
              <w:spacing w:after="0" w:line="184" w:lineRule="exact"/>
              <w:rPr>
                <w:sz w:val="20"/>
                <w:szCs w:val="20"/>
                <w:color w:val="auto"/>
              </w:rPr>
            </w:pPr>
            <w:r>
              <w:rPr>
                <w:rFonts w:ascii="Times New Roman" w:cs="Times New Roman" w:eastAsia="Times New Roman" w:hAnsi="Times New Roman"/>
                <w:sz w:val="18"/>
                <w:szCs w:val="18"/>
                <w:color w:val="auto"/>
              </w:rPr>
              <w:t>Inducement Restricted Stock Unit Agreement dated June 30, 2023, between the Company and Doug Rice</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20" w:type="dxa"/>
            <w:vAlign w:val="bottom"/>
            <w:gridSpan w:val="13"/>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65">
              <w:r>
                <w:rPr>
                  <w:rFonts w:ascii="Times New Roman" w:cs="Times New Roman" w:eastAsia="Times New Roman" w:hAnsi="Times New Roman"/>
                  <w:sz w:val="18"/>
                  <w:szCs w:val="18"/>
                  <w:color w:val="0000FF"/>
                </w:rPr>
                <w:t>incorporated by reference to Exhibit 10.4 to the Registrant’s Current Report on Form 8-K filed on July 5, 2023</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Borders>
              <w:top w:val="single" w:sz="8" w:color="0000FF"/>
            </w:tcBorders>
          </w:tcPr>
          <w:p>
            <w:pPr>
              <w:spacing w:after="0" w:line="20" w:lineRule="exact"/>
              <w:rPr>
                <w:sz w:val="1"/>
                <w:szCs w:val="1"/>
                <w:color w:val="auto"/>
              </w:rPr>
            </w:pPr>
          </w:p>
        </w:tc>
        <w:tc>
          <w:tcPr>
            <w:tcW w:w="29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10.45*</w:t>
            </w:r>
          </w:p>
        </w:tc>
        <w:tc>
          <w:tcPr>
            <w:tcW w:w="220" w:type="dxa"/>
            <w:vAlign w:val="bottom"/>
            <w:shd w:val="clear" w:color="auto" w:fill="BFE4FF"/>
          </w:tcPr>
          <w:p>
            <w:pPr>
              <w:spacing w:after="0"/>
              <w:rPr>
                <w:sz w:val="16"/>
                <w:szCs w:val="16"/>
                <w:color w:val="auto"/>
              </w:rPr>
            </w:pPr>
          </w:p>
        </w:tc>
        <w:tc>
          <w:tcPr>
            <w:tcW w:w="8620" w:type="dxa"/>
            <w:vAlign w:val="bottom"/>
            <w:gridSpan w:val="13"/>
            <w:shd w:val="clear" w:color="auto" w:fill="BFE4FF"/>
          </w:tcPr>
          <w:p>
            <w:pPr>
              <w:ind w:left="20"/>
              <w:spacing w:after="0" w:line="189" w:lineRule="exact"/>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Inducement Stock Option Agreement dated June 30, 2023, between the Company and Doug Rice (</w:t>
              </w:r>
              <w:r>
                <w:rPr>
                  <w:rFonts w:ascii="Times New Roman" w:cs="Times New Roman" w:eastAsia="Times New Roman" w:hAnsi="Times New Roman"/>
                  <w:sz w:val="18"/>
                  <w:szCs w:val="18"/>
                  <w:color w:val="0000FF"/>
                </w:rPr>
                <w:t>incorporated by</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BFE4FF"/>
            </w:tcBorders>
            <w:shd w:val="clear" w:color="auto" w:fill="BFE4FF"/>
          </w:tcPr>
          <w:p>
            <w:pPr>
              <w:spacing w:after="0"/>
              <w:rPr>
                <w:sz w:val="16"/>
                <w:szCs w:val="16"/>
                <w:color w:val="auto"/>
              </w:rPr>
            </w:pPr>
          </w:p>
        </w:tc>
        <w:tc>
          <w:tcPr>
            <w:tcW w:w="220" w:type="dxa"/>
            <w:vAlign w:val="bottom"/>
            <w:tcBorders>
              <w:top w:val="single" w:sz="8" w:color="BFE4FF"/>
            </w:tcBorders>
            <w:shd w:val="clear" w:color="auto" w:fill="BFE4FF"/>
          </w:tcPr>
          <w:p>
            <w:pPr>
              <w:spacing w:after="0"/>
              <w:rPr>
                <w:sz w:val="16"/>
                <w:szCs w:val="16"/>
                <w:color w:val="auto"/>
              </w:rPr>
            </w:pPr>
          </w:p>
        </w:tc>
        <w:tc>
          <w:tcPr>
            <w:tcW w:w="20" w:type="dxa"/>
            <w:vAlign w:val="bottom"/>
            <w:tcBorders>
              <w:top w:val="single" w:sz="8" w:color="BFE4FF"/>
            </w:tcBorders>
            <w:shd w:val="clear" w:color="auto" w:fill="BFE4FF"/>
          </w:tcPr>
          <w:p>
            <w:pPr>
              <w:spacing w:after="0"/>
              <w:rPr>
                <w:sz w:val="16"/>
                <w:szCs w:val="16"/>
                <w:color w:val="auto"/>
              </w:rPr>
            </w:pPr>
          </w:p>
        </w:tc>
        <w:tc>
          <w:tcPr>
            <w:tcW w:w="7100" w:type="dxa"/>
            <w:vAlign w:val="bottom"/>
            <w:tcBorders>
              <w:top w:val="single" w:sz="8" w:color="BFE4FF"/>
            </w:tcBorders>
            <w:gridSpan w:val="6"/>
            <w:shd w:val="clear" w:color="auto" w:fill="BFE4FF"/>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reference to Exhibit 10.5 to the Registrant’s Current Report on Form 8-K filed on July 5, 2023</w:t>
              </w:r>
              <w:r>
                <w:rPr>
                  <w:rFonts w:ascii="Times New Roman" w:cs="Times New Roman" w:eastAsia="Times New Roman" w:hAnsi="Times New Roman"/>
                  <w:sz w:val="18"/>
                  <w:szCs w:val="18"/>
                  <w:color w:val="000000"/>
                </w:rPr>
                <w:t>).</w:t>
              </w:r>
            </w:hyperlink>
          </w:p>
        </w:tc>
        <w:tc>
          <w:tcPr>
            <w:tcW w:w="40" w:type="dxa"/>
            <w:vAlign w:val="bottom"/>
            <w:tcBorders>
              <w:top w:val="single" w:sz="8" w:color="0000FF"/>
            </w:tcBorders>
            <w:shd w:val="clear" w:color="auto" w:fill="BFE4FF"/>
          </w:tcPr>
          <w:p>
            <w:pPr>
              <w:spacing w:after="0"/>
              <w:rPr>
                <w:sz w:val="16"/>
                <w:szCs w:val="16"/>
                <w:color w:val="auto"/>
              </w:rPr>
            </w:pPr>
          </w:p>
        </w:tc>
        <w:tc>
          <w:tcPr>
            <w:tcW w:w="40" w:type="dxa"/>
            <w:vAlign w:val="bottom"/>
            <w:tcBorders>
              <w:top w:val="single" w:sz="8" w:color="0000FF"/>
            </w:tcBorders>
            <w:shd w:val="clear" w:color="auto" w:fill="BFE4FF"/>
          </w:tcPr>
          <w:p>
            <w:pPr>
              <w:spacing w:after="0"/>
              <w:rPr>
                <w:sz w:val="16"/>
                <w:szCs w:val="16"/>
                <w:color w:val="auto"/>
              </w:rPr>
            </w:pPr>
          </w:p>
        </w:tc>
        <w:tc>
          <w:tcPr>
            <w:tcW w:w="20" w:type="dxa"/>
            <w:vAlign w:val="bottom"/>
            <w:tcBorders>
              <w:top w:val="single" w:sz="8" w:color="0000FF"/>
            </w:tcBorders>
            <w:shd w:val="clear" w:color="auto" w:fill="BFE4FF"/>
          </w:tcPr>
          <w:p>
            <w:pPr>
              <w:spacing w:after="0"/>
              <w:rPr>
                <w:sz w:val="16"/>
                <w:szCs w:val="16"/>
                <w:color w:val="auto"/>
              </w:rPr>
            </w:pPr>
          </w:p>
        </w:tc>
        <w:tc>
          <w:tcPr>
            <w:tcW w:w="1040" w:type="dxa"/>
            <w:vAlign w:val="bottom"/>
            <w:tcBorders>
              <w:top w:val="single" w:sz="8" w:color="0000FF"/>
            </w:tcBorders>
            <w:gridSpan w:val="2"/>
            <w:shd w:val="clear" w:color="auto" w:fill="BFE4FF"/>
          </w:tcPr>
          <w:p>
            <w:pPr>
              <w:spacing w:after="0"/>
              <w:rPr>
                <w:sz w:val="16"/>
                <w:szCs w:val="16"/>
                <w:color w:val="auto"/>
              </w:rPr>
            </w:pPr>
          </w:p>
        </w:tc>
        <w:tc>
          <w:tcPr>
            <w:tcW w:w="360" w:type="dxa"/>
            <w:vAlign w:val="bottom"/>
            <w:tcBorders>
              <w:top w:val="single" w:sz="8" w:color="BFE4FF"/>
            </w:tcBorders>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60" w:type="dxa"/>
            <w:vAlign w:val="bottom"/>
            <w:tcBorders>
              <w:top w:val="single" w:sz="8" w:color="BFE4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10.46#</w:t>
            </w:r>
          </w:p>
        </w:tc>
        <w:tc>
          <w:tcPr>
            <w:tcW w:w="220" w:type="dxa"/>
            <w:vAlign w:val="bottom"/>
            <w:tcBorders>
              <w:top w:val="single" w:sz="8" w:color="BFE4FF"/>
            </w:tcBorders>
          </w:tcPr>
          <w:p>
            <w:pPr>
              <w:spacing w:after="0"/>
              <w:rPr>
                <w:sz w:val="16"/>
                <w:szCs w:val="16"/>
                <w:color w:val="auto"/>
              </w:rPr>
            </w:pPr>
          </w:p>
        </w:tc>
        <w:tc>
          <w:tcPr>
            <w:tcW w:w="20" w:type="dxa"/>
            <w:vAlign w:val="bottom"/>
            <w:tcBorders>
              <w:top w:val="single" w:sz="8" w:color="BFE4FF"/>
            </w:tcBorders>
          </w:tcPr>
          <w:p>
            <w:pPr>
              <w:spacing w:after="0"/>
              <w:rPr>
                <w:sz w:val="16"/>
                <w:szCs w:val="16"/>
                <w:color w:val="auto"/>
              </w:rPr>
            </w:pPr>
          </w:p>
        </w:tc>
        <w:tc>
          <w:tcPr>
            <w:tcW w:w="678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Management Incentive Plan, as amended and restated effective June 6, 2023.</w:t>
            </w:r>
          </w:p>
        </w:tc>
        <w:tc>
          <w:tcPr>
            <w:tcW w:w="1820" w:type="dxa"/>
            <w:vAlign w:val="bottom"/>
            <w:tcBorders>
              <w:top w:val="single" w:sz="8" w:color="BFE4FF"/>
            </w:tcBorders>
            <w:gridSpan w:val="7"/>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560" w:type="dxa"/>
            <w:vAlign w:val="bottom"/>
            <w:tcBorders>
              <w:top w:val="single" w:sz="8" w:color="0000FF"/>
            </w:tcBorders>
          </w:tcPr>
          <w:p>
            <w:pPr>
              <w:spacing w:after="0" w:line="20" w:lineRule="exact"/>
              <w:rPr>
                <w:sz w:val="1"/>
                <w:szCs w:val="1"/>
                <w:color w:val="auto"/>
              </w:rPr>
            </w:pPr>
          </w:p>
        </w:tc>
        <w:tc>
          <w:tcPr>
            <w:tcW w:w="29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Borders>
              <w:bottom w:val="single" w:sz="8" w:color="BFE4FF"/>
            </w:tcBorders>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bottom w:val="single" w:sz="8" w:color="BFE4FF"/>
            </w:tcBorders>
            <w:shd w:val="clear" w:color="auto" w:fill="BFE4FF"/>
          </w:tcPr>
          <w:p>
            <w:pPr>
              <w:spacing w:after="0"/>
              <w:rPr>
                <w:sz w:val="18"/>
                <w:szCs w:val="18"/>
                <w:color w:val="auto"/>
              </w:rPr>
            </w:pPr>
          </w:p>
        </w:tc>
        <w:tc>
          <w:tcPr>
            <w:tcW w:w="20" w:type="dxa"/>
            <w:vAlign w:val="bottom"/>
            <w:tcBorders>
              <w:bottom w:val="single" w:sz="8" w:color="BFE4FF"/>
            </w:tcBorders>
            <w:shd w:val="clear" w:color="auto" w:fill="BFE4FF"/>
          </w:tcPr>
          <w:p>
            <w:pPr>
              <w:spacing w:after="0"/>
              <w:rPr>
                <w:sz w:val="18"/>
                <w:szCs w:val="18"/>
                <w:color w:val="auto"/>
              </w:rPr>
            </w:pPr>
          </w:p>
        </w:tc>
        <w:tc>
          <w:tcPr>
            <w:tcW w:w="2620" w:type="dxa"/>
            <w:vAlign w:val="bottom"/>
            <w:tcBorders>
              <w:bottom w:val="single" w:sz="8" w:color="0000FF"/>
            </w:tcBorders>
            <w:gridSpan w:val="2"/>
            <w:shd w:val="clear" w:color="auto" w:fill="BFE4FF"/>
          </w:tcPr>
          <w:p>
            <w:pPr>
              <w:spacing w:after="0" w:line="189" w:lineRule="exact"/>
              <w:rPr>
                <w:sz w:val="20"/>
                <w:szCs w:val="20"/>
                <w:color w:val="auto"/>
              </w:rPr>
            </w:pPr>
            <w:r>
              <w:rPr>
                <w:rFonts w:ascii="Times New Roman" w:cs="Times New Roman" w:eastAsia="Times New Roman" w:hAnsi="Times New Roman"/>
                <w:sz w:val="18"/>
                <w:szCs w:val="18"/>
                <w:color w:val="0000FF"/>
                <w:w w:val="99"/>
              </w:rPr>
              <w:t>Subsidiaries of MiMedx Group, Inc.</w:t>
            </w:r>
          </w:p>
        </w:tc>
        <w:tc>
          <w:tcPr>
            <w:tcW w:w="5980" w:type="dxa"/>
            <w:vAlign w:val="bottom"/>
            <w:tcBorders>
              <w:bottom w:val="single" w:sz="8" w:color="BFE4FF"/>
            </w:tcBorders>
            <w:gridSpan w:val="10"/>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16"/>
                <w:szCs w:val="16"/>
                <w:color w:val="auto"/>
              </w:rPr>
            </w:pPr>
          </w:p>
        </w:tc>
        <w:tc>
          <w:tcPr>
            <w:tcW w:w="862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560" w:type="dxa"/>
            <w:vAlign w:val="bottom"/>
            <w:tcBorders>
              <w:top w:val="single" w:sz="8" w:color="0000FF"/>
            </w:tcBorders>
          </w:tcPr>
          <w:p>
            <w:pPr>
              <w:spacing w:after="0" w:line="20" w:lineRule="exact"/>
              <w:rPr>
                <w:sz w:val="1"/>
                <w:szCs w:val="1"/>
                <w:color w:val="auto"/>
              </w:rPr>
            </w:pPr>
          </w:p>
        </w:tc>
        <w:tc>
          <w:tcPr>
            <w:tcW w:w="29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shd w:val="clear" w:color="auto" w:fill="BFE4FF"/>
          </w:tcPr>
          <w:p>
            <w:pPr>
              <w:spacing w:after="0"/>
              <w:rPr>
                <w:sz w:val="19"/>
                <w:szCs w:val="19"/>
                <w:color w:val="auto"/>
              </w:rPr>
            </w:pPr>
          </w:p>
        </w:tc>
        <w:tc>
          <w:tcPr>
            <w:tcW w:w="8620" w:type="dxa"/>
            <w:vAlign w:val="bottom"/>
            <w:gridSpan w:val="13"/>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Power of Attorney (included on the signature page to this Report).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6"/>
                <w:szCs w:val="16"/>
                <w:color w:val="auto"/>
              </w:rPr>
            </w:pPr>
          </w:p>
        </w:tc>
        <w:tc>
          <w:tcPr>
            <w:tcW w:w="862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560" w:type="dxa"/>
            <w:vAlign w:val="bottom"/>
            <w:tcBorders>
              <w:top w:val="single" w:sz="8" w:color="0000FF"/>
            </w:tcBorders>
          </w:tcPr>
          <w:p>
            <w:pPr>
              <w:spacing w:after="0" w:line="20" w:lineRule="exact"/>
              <w:rPr>
                <w:sz w:val="1"/>
                <w:szCs w:val="1"/>
                <w:color w:val="auto"/>
              </w:rPr>
            </w:pPr>
          </w:p>
        </w:tc>
        <w:tc>
          <w:tcPr>
            <w:tcW w:w="29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Borders>
              <w:bottom w:val="single" w:sz="8" w:color="BFE4FF"/>
            </w:tcBorders>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Borders>
              <w:bottom w:val="single" w:sz="8" w:color="BFE4FF"/>
            </w:tcBorders>
            <w:shd w:val="clear" w:color="auto" w:fill="BFE4FF"/>
          </w:tcPr>
          <w:p>
            <w:pPr>
              <w:spacing w:after="0"/>
              <w:rPr>
                <w:sz w:val="18"/>
                <w:szCs w:val="18"/>
                <w:color w:val="auto"/>
              </w:rPr>
            </w:pPr>
          </w:p>
        </w:tc>
        <w:tc>
          <w:tcPr>
            <w:tcW w:w="20" w:type="dxa"/>
            <w:vAlign w:val="bottom"/>
            <w:tcBorders>
              <w:bottom w:val="single" w:sz="8" w:color="BFE4FF"/>
            </w:tcBorders>
            <w:shd w:val="clear" w:color="auto" w:fill="BFE4FF"/>
          </w:tcPr>
          <w:p>
            <w:pPr>
              <w:spacing w:after="0"/>
              <w:rPr>
                <w:sz w:val="18"/>
                <w:szCs w:val="18"/>
                <w:color w:val="auto"/>
              </w:rPr>
            </w:pPr>
          </w:p>
        </w:tc>
        <w:tc>
          <w:tcPr>
            <w:tcW w:w="7140" w:type="dxa"/>
            <w:vAlign w:val="bottom"/>
            <w:tcBorders>
              <w:bottom w:val="single" w:sz="8" w:color="0000FF"/>
            </w:tcBorders>
            <w:gridSpan w:val="7"/>
            <w:shd w:val="clear" w:color="auto" w:fill="BFE4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1460" w:type="dxa"/>
            <w:vAlign w:val="bottom"/>
            <w:tcBorders>
              <w:bottom w:val="single" w:sz="8" w:color="BFE4FF"/>
            </w:tcBorders>
            <w:gridSpan w:val="5"/>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6"/>
                <w:szCs w:val="16"/>
                <w:color w:val="auto"/>
              </w:rPr>
            </w:pPr>
          </w:p>
        </w:tc>
        <w:tc>
          <w:tcPr>
            <w:tcW w:w="862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560" w:type="dxa"/>
            <w:vAlign w:val="bottom"/>
            <w:tcBorders>
              <w:top w:val="single" w:sz="8" w:color="0000FF"/>
            </w:tcBorders>
          </w:tcPr>
          <w:p>
            <w:pPr>
              <w:spacing w:after="0" w:line="20" w:lineRule="exact"/>
              <w:rPr>
                <w:sz w:val="1"/>
                <w:szCs w:val="1"/>
                <w:color w:val="auto"/>
              </w:rPr>
            </w:pPr>
          </w:p>
        </w:tc>
        <w:tc>
          <w:tcPr>
            <w:tcW w:w="29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Borders>
              <w:bottom w:val="single" w:sz="8" w:color="BFE4FF"/>
            </w:tcBorders>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bottom w:val="single" w:sz="8" w:color="BFE4FF"/>
            </w:tcBorders>
            <w:shd w:val="clear" w:color="auto" w:fill="BFE4FF"/>
          </w:tcPr>
          <w:p>
            <w:pPr>
              <w:spacing w:after="0"/>
              <w:rPr>
                <w:sz w:val="18"/>
                <w:szCs w:val="18"/>
                <w:color w:val="auto"/>
              </w:rPr>
            </w:pPr>
          </w:p>
        </w:tc>
        <w:tc>
          <w:tcPr>
            <w:tcW w:w="20" w:type="dxa"/>
            <w:vAlign w:val="bottom"/>
            <w:tcBorders>
              <w:bottom w:val="single" w:sz="8" w:color="BFE4FF"/>
            </w:tcBorders>
            <w:shd w:val="clear" w:color="auto" w:fill="BFE4FF"/>
          </w:tcPr>
          <w:p>
            <w:pPr>
              <w:spacing w:after="0"/>
              <w:rPr>
                <w:sz w:val="18"/>
                <w:szCs w:val="18"/>
                <w:color w:val="auto"/>
              </w:rPr>
            </w:pPr>
          </w:p>
        </w:tc>
        <w:tc>
          <w:tcPr>
            <w:tcW w:w="7140" w:type="dxa"/>
            <w:vAlign w:val="bottom"/>
            <w:tcBorders>
              <w:bottom w:val="single" w:sz="8" w:color="0000FF"/>
            </w:tcBorders>
            <w:gridSpan w:val="7"/>
            <w:shd w:val="clear" w:color="auto" w:fill="BFE4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1460" w:type="dxa"/>
            <w:vAlign w:val="bottom"/>
            <w:tcBorders>
              <w:bottom w:val="single" w:sz="8" w:color="BFE4FF"/>
            </w:tcBorders>
            <w:gridSpan w:val="5"/>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220" w:type="dxa"/>
            <w:vAlign w:val="bottom"/>
          </w:tcPr>
          <w:p>
            <w:pPr>
              <w:spacing w:after="0"/>
              <w:rPr>
                <w:sz w:val="16"/>
                <w:szCs w:val="16"/>
                <w:color w:val="auto"/>
              </w:rPr>
            </w:pPr>
          </w:p>
        </w:tc>
        <w:tc>
          <w:tcPr>
            <w:tcW w:w="862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MiMedx Compensation Recoupment Policy, as amended and restated effective November 29, 2023.</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560" w:type="dxa"/>
            <w:vAlign w:val="bottom"/>
            <w:tcBorders>
              <w:top w:val="single" w:sz="8" w:color="0000FF"/>
            </w:tcBorders>
          </w:tcPr>
          <w:p>
            <w:pPr>
              <w:spacing w:after="0" w:line="20" w:lineRule="exact"/>
              <w:rPr>
                <w:sz w:val="1"/>
                <w:szCs w:val="1"/>
                <w:color w:val="auto"/>
              </w:rPr>
            </w:pPr>
          </w:p>
        </w:tc>
        <w:tc>
          <w:tcPr>
            <w:tcW w:w="29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8620" w:type="dxa"/>
            <w:vAlign w:val="bottom"/>
            <w:gridSpan w:val="13"/>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29"/>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6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1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620" w:type="dxa"/>
            <w:vAlign w:val="bottom"/>
            <w:gridSpan w:val="13"/>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6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620" w:type="dxa"/>
            <w:vAlign w:val="bottom"/>
            <w:gridSpan w:val="13"/>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6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5"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MIMEDX GROUP, INC.</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c>
          <w:tcPr>
            <w:tcW w:w="77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Doug Rice</w:t>
            </w:r>
          </w:p>
        </w:tc>
      </w:tr>
      <w:tr>
        <w:trPr>
          <w:trHeight w:val="218"/>
        </w:trPr>
        <w:tc>
          <w:tcPr>
            <w:tcW w:w="3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Doug Rice</w:t>
            </w:r>
          </w:p>
        </w:tc>
      </w:tr>
      <w:tr>
        <w:trPr>
          <w:trHeight w:val="234"/>
        </w:trPr>
        <w:tc>
          <w:tcPr>
            <w:tcW w:w="34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William F. Hulse IV and Sajid N. Ajmeri and each of them acting individually, as his or her true and lawful attorneys-in-fact and agents, each with full power of substitution and resubstitution, for him or her in any and all capacities, to sign any and all amendments to this Annual Report for the year ended December 31, 2023, and to file the same, with exhibits thereto and other documents in connection therewith, with the Securities and Exchange Commission, hereby ratifying and confirming our signatures as they may be signed by our said attorney to any and all amendments to said Annual Report.</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 / Name</w:t>
            </w:r>
          </w:p>
        </w:tc>
        <w:tc>
          <w:tcPr>
            <w:tcW w:w="460" w:type="dxa"/>
            <w:vAlign w:val="bottom"/>
          </w:tcPr>
          <w:p>
            <w:pPr>
              <w:spacing w:after="0"/>
              <w:rPr>
                <w:sz w:val="20"/>
                <w:szCs w:val="20"/>
                <w:color w:val="auto"/>
              </w:rPr>
            </w:pPr>
          </w:p>
        </w:tc>
        <w:tc>
          <w:tcPr>
            <w:tcW w:w="480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0" w:type="dxa"/>
            <w:vAlign w:val="bottom"/>
          </w:tcPr>
          <w:p>
            <w:pPr>
              <w:spacing w:after="0"/>
              <w:rPr>
                <w:sz w:val="20"/>
                <w:szCs w:val="20"/>
                <w:color w:val="auto"/>
              </w:rPr>
            </w:pPr>
          </w:p>
        </w:tc>
        <w:tc>
          <w:tcPr>
            <w:tcW w:w="1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5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H. Capper</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Capper</w:t>
            </w:r>
          </w:p>
        </w:tc>
        <w:tc>
          <w:tcPr>
            <w:tcW w:w="46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40" w:type="dxa"/>
            <w:vAlign w:val="bottom"/>
          </w:tcPr>
          <w:p>
            <w:pPr>
              <w:spacing w:after="0"/>
              <w:rPr>
                <w:sz w:val="19"/>
                <w:szCs w:val="19"/>
                <w:color w:val="auto"/>
              </w:rPr>
            </w:pPr>
          </w:p>
        </w:tc>
      </w:tr>
      <w:tr>
        <w:trPr>
          <w:trHeight w:val="45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 Rice</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 Rice</w:t>
            </w:r>
          </w:p>
        </w:tc>
        <w:tc>
          <w:tcPr>
            <w:tcW w:w="46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940" w:type="dxa"/>
            <w:vAlign w:val="bottom"/>
          </w:tcPr>
          <w:p>
            <w:pPr>
              <w:spacing w:after="0"/>
              <w:rPr>
                <w:sz w:val="19"/>
                <w:szCs w:val="19"/>
                <w:color w:val="auto"/>
              </w:rPr>
            </w:pPr>
          </w:p>
        </w:tc>
      </w:tr>
      <w:tr>
        <w:trPr>
          <w:trHeight w:val="495"/>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 Kathleen Behrens</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 of the Board (Director)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 Kathleen Behrens</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95"/>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L. Bierman</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L. Bierman</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5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J. Giuliani</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Giuliani</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95"/>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A. Hawkins III</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A. Hawkins III</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5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Cato T. Laurencin</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Cato T. Laurencin</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5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 Todd Newton</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 Todd Newton</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5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Martin P. Sutter</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P. Sutter</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95"/>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Phyllis I. Gardner</w:t>
            </w:r>
          </w:p>
        </w:tc>
        <w:tc>
          <w:tcPr>
            <w:tcW w:w="4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Phyllis I. Gardner</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80"/>
          </w:cols>
          <w:pgMar w:left="320" w:top="1103" w:right="39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5831840</wp:posOffset>
            </wp:positionH>
            <wp:positionV relativeFrom="page">
              <wp:posOffset>88900</wp:posOffset>
            </wp:positionV>
            <wp:extent cx="1508760" cy="402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508760" cy="4025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color w:val="auto"/>
        </w:rPr>
        <w:t>August 29, 2018</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By FedEx Overnight</w:t>
      </w:r>
    </w:p>
    <w:p>
      <w:pPr>
        <w:spacing w:after="0" w:line="196" w:lineRule="exact"/>
        <w:rPr>
          <w:sz w:val="20"/>
          <w:szCs w:val="20"/>
          <w:color w:val="auto"/>
        </w:rPr>
      </w:pPr>
    </w:p>
    <w:p>
      <w:pPr>
        <w:spacing w:after="0"/>
        <w:rPr>
          <w:sz w:val="20"/>
          <w:szCs w:val="20"/>
          <w:color w:val="auto"/>
        </w:rPr>
      </w:pPr>
      <w:r>
        <w:rPr>
          <w:rFonts w:ascii="Calibri" w:cs="Calibri" w:eastAsia="Calibri" w:hAnsi="Calibri"/>
          <w:sz w:val="22"/>
          <w:szCs w:val="22"/>
          <w:color w:val="auto"/>
        </w:rPr>
        <w:t>Georgia RE Fields, LLC</w:t>
      </w:r>
    </w:p>
    <w:p>
      <w:pPr>
        <w:spacing w:after="0" w:line="191" w:lineRule="auto"/>
        <w:rPr>
          <w:sz w:val="20"/>
          <w:szCs w:val="20"/>
          <w:color w:val="auto"/>
        </w:rPr>
      </w:pPr>
      <w:r>
        <w:rPr>
          <w:rFonts w:ascii="Calibri" w:cs="Calibri" w:eastAsia="Calibri" w:hAnsi="Calibri"/>
          <w:sz w:val="22"/>
          <w:szCs w:val="22"/>
          <w:color w:val="auto"/>
        </w:rPr>
        <w:t>521 NE Spanish Trail</w:t>
      </w:r>
    </w:p>
    <w:p>
      <w:pPr>
        <w:spacing w:after="0" w:line="195" w:lineRule="auto"/>
        <w:rPr>
          <w:sz w:val="20"/>
          <w:szCs w:val="20"/>
          <w:color w:val="auto"/>
        </w:rPr>
      </w:pPr>
      <w:r>
        <w:rPr>
          <w:rFonts w:ascii="Calibri" w:cs="Calibri" w:eastAsia="Calibri" w:hAnsi="Calibri"/>
          <w:sz w:val="22"/>
          <w:szCs w:val="22"/>
          <w:color w:val="auto"/>
        </w:rPr>
        <w:t>Boca Raton, FL 33432</w:t>
      </w:r>
    </w:p>
    <w:p>
      <w:pPr>
        <w:spacing w:after="0" w:line="193" w:lineRule="auto"/>
        <w:rPr>
          <w:sz w:val="20"/>
          <w:szCs w:val="20"/>
          <w:color w:val="auto"/>
        </w:rPr>
      </w:pPr>
      <w:r>
        <w:rPr>
          <w:rFonts w:ascii="Calibri" w:cs="Calibri" w:eastAsia="Calibri" w:hAnsi="Calibri"/>
          <w:sz w:val="22"/>
          <w:szCs w:val="22"/>
          <w:color w:val="auto"/>
        </w:rPr>
        <w:t>Atn: Kim B. Fields</w:t>
      </w:r>
    </w:p>
    <w:p>
      <w:pPr>
        <w:spacing w:after="0" w:line="192" w:lineRule="exact"/>
        <w:rPr>
          <w:sz w:val="20"/>
          <w:szCs w:val="20"/>
          <w:color w:val="auto"/>
        </w:rPr>
      </w:pPr>
    </w:p>
    <w:p>
      <w:pPr>
        <w:jc w:val="both"/>
        <w:ind w:left="680" w:hanging="847"/>
        <w:spacing w:after="0" w:line="209" w:lineRule="auto"/>
        <w:tabs>
          <w:tab w:leader="none" w:pos="660" w:val="left"/>
        </w:tabs>
        <w:rPr>
          <w:sz w:val="20"/>
          <w:szCs w:val="20"/>
          <w:color w:val="auto"/>
        </w:rPr>
      </w:pPr>
      <w:r>
        <w:rPr>
          <w:rFonts w:ascii="Calibri" w:cs="Calibri" w:eastAsia="Calibri" w:hAnsi="Calibri"/>
          <w:sz w:val="20"/>
          <w:szCs w:val="20"/>
          <w:color w:val="auto"/>
        </w:rPr>
        <w:t>Re:</w:t>
        <w:tab/>
        <w:t>Second Amendment to Lease for real property and improvements located at 1775 West Oak Commons Court, Marieta, Georgia between RE Fields, LLC, successor in interest to HUB Propertes GA, LLC, and CPVF II West Oak LLC, (“Landlord”), and MiMedx Group, Inc., (‘Tenant”) dated January 25, 2013, as amended March 7, 2017 (the “Lease”).</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color w:val="auto"/>
        </w:rPr>
        <w:t>Dear Ms. Fields:</w:t>
      </w:r>
    </w:p>
    <w:p>
      <w:pPr>
        <w:spacing w:after="0" w:line="211" w:lineRule="exact"/>
        <w:rPr>
          <w:sz w:val="20"/>
          <w:szCs w:val="20"/>
          <w:color w:val="auto"/>
        </w:rPr>
      </w:pPr>
    </w:p>
    <w:p>
      <w:pPr>
        <w:jc w:val="both"/>
        <w:ind w:firstLine="229"/>
        <w:spacing w:after="0" w:line="199" w:lineRule="auto"/>
        <w:rPr>
          <w:sz w:val="20"/>
          <w:szCs w:val="20"/>
          <w:color w:val="auto"/>
        </w:rPr>
      </w:pPr>
      <w:r>
        <w:rPr>
          <w:rFonts w:ascii="Calibri" w:cs="Calibri" w:eastAsia="Calibri" w:hAnsi="Calibri"/>
          <w:sz w:val="20"/>
          <w:szCs w:val="20"/>
          <w:color w:val="auto"/>
        </w:rPr>
        <w:t>As we discussed yesterday, we are terminatng our line of credit with Bank of America and other banks and therefore will very soon terminate Bank of America, N.A. Irrevocable Standby Leter of Credit No. 68995862 in the current amount of $51,572.37 (the “Leter of Credit”), which currently serves as the security deposit for the above-referenced Lease. In exchange therefore, we enclose a check for $51,572.37 as a replacement security deposit. By acceptng this check you agree to (1) promptly return the Leter of Credit to us within three business days and, within a commercially reasonable tme not to exceed thirty days, execute such documents as Bank of America shall reasonably require to release Landlord’s interest in such Leter of Credit, and (2) amend the Lease to delete Secton 4.7 and replace it with the following:</w:t>
      </w:r>
    </w:p>
    <w:p>
      <w:pPr>
        <w:spacing w:after="0" w:line="217" w:lineRule="exact"/>
        <w:rPr>
          <w:sz w:val="20"/>
          <w:szCs w:val="20"/>
          <w:color w:val="auto"/>
        </w:rPr>
      </w:pPr>
    </w:p>
    <w:p>
      <w:pPr>
        <w:jc w:val="both"/>
        <w:ind w:left="660" w:right="660" w:firstLine="648"/>
        <w:spacing w:after="0" w:line="196" w:lineRule="auto"/>
        <w:rPr>
          <w:sz w:val="20"/>
          <w:szCs w:val="20"/>
          <w:color w:val="auto"/>
        </w:rPr>
      </w:pPr>
      <w:r>
        <w:rPr>
          <w:rFonts w:ascii="Calibri" w:cs="Calibri" w:eastAsia="Calibri" w:hAnsi="Calibri"/>
          <w:sz w:val="20"/>
          <w:szCs w:val="20"/>
          <w:b w:val="1"/>
          <w:bCs w:val="1"/>
          <w:i w:val="1"/>
          <w:iCs w:val="1"/>
          <w:color w:val="auto"/>
        </w:rPr>
        <w:t xml:space="preserve">4.7 </w:t>
      </w:r>
      <w:r>
        <w:rPr>
          <w:rFonts w:ascii="Calibri" w:cs="Calibri" w:eastAsia="Calibri" w:hAnsi="Calibri"/>
          <w:sz w:val="20"/>
          <w:szCs w:val="20"/>
          <w:b w:val="1"/>
          <w:bCs w:val="1"/>
          <w:i w:val="1"/>
          <w:iCs w:val="1"/>
          <w:u w:val="single" w:color="auto"/>
          <w:color w:val="auto"/>
        </w:rPr>
        <w:t>Security Deposit</w:t>
      </w:r>
      <w:r>
        <w:rPr>
          <w:rFonts w:ascii="Calibri" w:cs="Calibri" w:eastAsia="Calibri" w:hAnsi="Calibri"/>
          <w:sz w:val="20"/>
          <w:szCs w:val="20"/>
          <w:color w:val="auto"/>
        </w:rPr>
        <w:t>. Landlord and Tenant acknowledge that Tenant has delivered to Landlord $51,572.37 as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Security Deposit. Landlord shall hold Tenant’s Security Deposit without liability for interest except to the extent required by law, as security for the performance of Tenant’s obligatons under this Lease. Unless required by applicable law, Landlord shall not be required to keep the Security Deposit segregated from other funds of Landlord. Tenant shall not assign or in any way encumber the Security Deposit. Upon the occurrence of any event of default by Tenant, and following the expiraton of any applicable notce and cure period, Landlord shall have the right, without prejudice to any other remedy, to use the Security Deposit, or portons thereof, to the extent necessary to pay any arrearage in Rent, and any other damage, injury or expense. Following any such applicaton of all or any porton of the Security Deposit, Tenant shall pay Landlord, on demand, the amount so applied in order to restore the Security Deposit to its original amount. Landlord shall reimburse Tenant such amount within thirty (30) days of the expiraton date of the Term, provided Tenant is not then in default under this Lease (unless otherwise waived by Landlord). If Landlord transfers an interest in the premises during the Term, Landlord may assign the Security Deposit to the transferee, and, in such event and upon transferee’s writen assumpton of Landlord’s obligatons to Tenant hereunder, Landlord shall thereafer have no further liability to Tenant for the Security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1E60AD"/>
        </w:rPr>
        <w:t>Innovations In Regenerative Biomaterials</w:t>
      </w: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5A5A5A"/>
        </w:rPr>
        <w:t xml:space="preserve">MiMedx Group, Inc. </w:t>
      </w:r>
      <w:r>
        <w:rPr>
          <w:rFonts w:ascii="Calibri" w:cs="Calibri" w:eastAsia="Calibri" w:hAnsi="Calibri"/>
          <w:sz w:val="14"/>
          <w:szCs w:val="14"/>
          <w:color w:val="005A9B"/>
        </w:rPr>
        <w:t>|</w:t>
      </w:r>
      <w:r>
        <w:rPr>
          <w:rFonts w:ascii="Calibri" w:cs="Calibri" w:eastAsia="Calibri" w:hAnsi="Calibri"/>
          <w:sz w:val="14"/>
          <w:szCs w:val="14"/>
          <w:color w:val="5A5A5A"/>
        </w:rPr>
        <w:t xml:space="preserve"> 1775 West Oak Commons Ct NE </w:t>
      </w:r>
      <w:r>
        <w:rPr>
          <w:rFonts w:ascii="Calibri" w:cs="Calibri" w:eastAsia="Calibri" w:hAnsi="Calibri"/>
          <w:sz w:val="14"/>
          <w:szCs w:val="14"/>
          <w:color w:val="005A9B"/>
        </w:rPr>
        <w:t>|</w:t>
      </w:r>
      <w:r>
        <w:rPr>
          <w:rFonts w:ascii="Calibri" w:cs="Calibri" w:eastAsia="Calibri" w:hAnsi="Calibri"/>
          <w:sz w:val="14"/>
          <w:szCs w:val="14"/>
          <w:color w:val="5A5A5A"/>
        </w:rPr>
        <w:t xml:space="preserve"> Marieta, GA 30062 </w:t>
      </w:r>
      <w:r>
        <w:rPr>
          <w:rFonts w:ascii="Calibri" w:cs="Calibri" w:eastAsia="Calibri" w:hAnsi="Calibri"/>
          <w:sz w:val="14"/>
          <w:szCs w:val="14"/>
          <w:color w:val="005A9B"/>
        </w:rPr>
        <w:t>|</w:t>
      </w:r>
      <w:r>
        <w:rPr>
          <w:rFonts w:ascii="Calibri" w:cs="Calibri" w:eastAsia="Calibri" w:hAnsi="Calibri"/>
          <w:sz w:val="14"/>
          <w:szCs w:val="14"/>
          <w:color w:val="5A5A5A"/>
        </w:rPr>
        <w:t xml:space="preserve"> 770.651.9100 </w:t>
      </w:r>
      <w:r>
        <w:rPr>
          <w:rFonts w:ascii="Calibri" w:cs="Calibri" w:eastAsia="Calibri" w:hAnsi="Calibri"/>
          <w:sz w:val="14"/>
          <w:szCs w:val="14"/>
          <w:color w:val="005A9B"/>
        </w:rPr>
        <w:t>|</w:t>
      </w:r>
      <w:r>
        <w:rPr>
          <w:rFonts w:ascii="Calibri" w:cs="Calibri" w:eastAsia="Calibri" w:hAnsi="Calibri"/>
          <w:sz w:val="14"/>
          <w:szCs w:val="14"/>
          <w:color w:val="5A5A5A"/>
        </w:rPr>
        <w:t xml:space="preserve"> Fax 770.590.3550 </w:t>
      </w:r>
      <w:r>
        <w:rPr>
          <w:rFonts w:ascii="Calibri" w:cs="Calibri" w:eastAsia="Calibri" w:hAnsi="Calibri"/>
          <w:sz w:val="14"/>
          <w:szCs w:val="14"/>
          <w:color w:val="005A9B"/>
        </w:rPr>
        <w:t>|</w:t>
      </w:r>
      <w:r>
        <w:rPr>
          <w:rFonts w:ascii="Calibri" w:cs="Calibri" w:eastAsia="Calibri" w:hAnsi="Calibri"/>
          <w:sz w:val="14"/>
          <w:szCs w:val="14"/>
          <w:color w:val="5A5A5A"/>
        </w:rPr>
        <w:t xml:space="preserve"> www.mimedx.com</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5831840</wp:posOffset>
            </wp:positionH>
            <wp:positionV relativeFrom="page">
              <wp:posOffset>88900</wp:posOffset>
            </wp:positionV>
            <wp:extent cx="1508760" cy="402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508760" cy="4025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color w:val="auto"/>
        </w:rPr>
        <w:t>Kindly acknowledge your agreement by signing and returning a copy of this leter to me.</w:t>
      </w:r>
    </w:p>
    <w:p>
      <w:pPr>
        <w:spacing w:after="0" w:line="201" w:lineRule="exact"/>
        <w:rPr>
          <w:sz w:val="20"/>
          <w:szCs w:val="20"/>
          <w:color w:val="auto"/>
        </w:rPr>
      </w:pPr>
    </w:p>
    <w:p>
      <w:pPr>
        <w:ind w:left="1100"/>
        <w:spacing w:after="0"/>
        <w:rPr>
          <w:sz w:val="20"/>
          <w:szCs w:val="20"/>
          <w:color w:val="auto"/>
        </w:rPr>
      </w:pPr>
      <w:r>
        <w:rPr>
          <w:rFonts w:ascii="Calibri" w:cs="Calibri" w:eastAsia="Calibri" w:hAnsi="Calibri"/>
          <w:sz w:val="20"/>
          <w:szCs w:val="20"/>
          <w:color w:val="auto"/>
        </w:rPr>
        <w:t>Sincerely,</w:t>
      </w:r>
    </w:p>
    <w:p>
      <w:pPr>
        <w:spacing w:after="0" w:line="188"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MiMedx Group, Inc.</w:t>
      </w: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By: /s/ Edward Borkowski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-21590</wp:posOffset>
            </wp:positionV>
            <wp:extent cx="13620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ind w:left="4220"/>
        <w:spacing w:after="0" w:line="191" w:lineRule="auto"/>
        <w:rPr>
          <w:sz w:val="20"/>
          <w:szCs w:val="20"/>
          <w:color w:val="auto"/>
        </w:rPr>
      </w:pPr>
      <w:r>
        <w:rPr>
          <w:rFonts w:ascii="Calibri" w:cs="Calibri" w:eastAsia="Calibri" w:hAnsi="Calibri"/>
          <w:sz w:val="20"/>
          <w:szCs w:val="20"/>
          <w:color w:val="auto"/>
        </w:rPr>
        <w:t>Edward Borkowski,</w:t>
      </w:r>
    </w:p>
    <w:p>
      <w:pPr>
        <w:ind w:left="4220"/>
        <w:spacing w:after="0" w:line="193" w:lineRule="auto"/>
        <w:rPr>
          <w:sz w:val="20"/>
          <w:szCs w:val="20"/>
          <w:color w:val="auto"/>
        </w:rPr>
      </w:pPr>
      <w:r>
        <w:rPr>
          <w:rFonts w:ascii="Calibri" w:cs="Calibri" w:eastAsia="Calibri" w:hAnsi="Calibri"/>
          <w:sz w:val="20"/>
          <w:szCs w:val="20"/>
          <w:color w:val="auto"/>
        </w:rPr>
        <w:t>EVP &amp; Interim Chief Financial Ofcer</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color w:val="auto"/>
        </w:rPr>
        <w:t>Accepted and Agreed to:</w:t>
      </w:r>
    </w:p>
    <w:p>
      <w:pPr>
        <w:spacing w:after="0" w:line="208" w:lineRule="exact"/>
        <w:rPr>
          <w:sz w:val="20"/>
          <w:szCs w:val="20"/>
          <w:color w:val="auto"/>
        </w:rPr>
      </w:pPr>
    </w:p>
    <w:p>
      <w:pPr>
        <w:spacing w:after="0"/>
        <w:rPr>
          <w:sz w:val="20"/>
          <w:szCs w:val="20"/>
          <w:color w:val="auto"/>
        </w:rPr>
      </w:pPr>
      <w:r>
        <w:rPr>
          <w:rFonts w:ascii="Calibri" w:cs="Calibri" w:eastAsia="Calibri" w:hAnsi="Calibri"/>
          <w:sz w:val="22"/>
          <w:szCs w:val="22"/>
          <w:color w:val="auto"/>
        </w:rPr>
        <w:t>Georgia RE Fields, LLC</w:t>
      </w:r>
    </w:p>
    <w:p>
      <w:pPr>
        <w:spacing w:after="0" w:line="192" w:lineRule="exact"/>
        <w:rPr>
          <w:sz w:val="20"/>
          <w:szCs w:val="20"/>
          <w:color w:val="auto"/>
        </w:rPr>
      </w:pPr>
    </w:p>
    <w:p>
      <w:pPr>
        <w:spacing w:after="0"/>
        <w:rPr>
          <w:sz w:val="20"/>
          <w:szCs w:val="20"/>
          <w:color w:val="auto"/>
        </w:rPr>
      </w:pPr>
      <w:r>
        <w:rPr>
          <w:rFonts w:ascii="Calibri" w:cs="Calibri" w:eastAsia="Calibri" w:hAnsi="Calibri"/>
          <w:sz w:val="22"/>
          <w:szCs w:val="22"/>
          <w:color w:val="auto"/>
        </w:rPr>
        <w:t>By: Fields-Realty, LLC</w:t>
      </w:r>
    </w:p>
    <w:p>
      <w:pPr>
        <w:spacing w:after="0" w:line="193" w:lineRule="auto"/>
        <w:rPr>
          <w:sz w:val="20"/>
          <w:szCs w:val="20"/>
          <w:color w:val="auto"/>
        </w:rPr>
      </w:pPr>
      <w:r>
        <w:rPr>
          <w:rFonts w:ascii="Calibri" w:cs="Calibri" w:eastAsia="Calibri" w:hAnsi="Calibri"/>
          <w:sz w:val="22"/>
          <w:szCs w:val="22"/>
          <w:color w:val="auto"/>
        </w:rPr>
        <w:t>Its: Manager</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color w:val="auto"/>
        </w:rPr>
        <w:t>By: /s/ Kim B.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-25400</wp:posOffset>
            </wp:positionV>
            <wp:extent cx="12636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93" w:lineRule="auto"/>
        <w:tabs>
          <w:tab w:leader="none" w:pos="820" w:val="left"/>
        </w:tabs>
        <w:rPr>
          <w:sz w:val="20"/>
          <w:szCs w:val="20"/>
          <w:color w:val="auto"/>
        </w:rPr>
      </w:pPr>
      <w:r>
        <w:rPr>
          <w:rFonts w:ascii="Calibri" w:cs="Calibri" w:eastAsia="Calibri" w:hAnsi="Calibri"/>
          <w:sz w:val="22"/>
          <w:szCs w:val="22"/>
          <w:color w:val="auto"/>
        </w:rPr>
        <w:t>Name:</w:t>
        <w:tab/>
        <w:t>Kim B.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-24765</wp:posOffset>
            </wp:positionV>
            <wp:extent cx="13233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191" w:lineRule="auto"/>
        <w:tabs>
          <w:tab w:leader="none" w:pos="500" w:val="left"/>
        </w:tabs>
        <w:rPr>
          <w:sz w:val="20"/>
          <w:szCs w:val="20"/>
          <w:color w:val="auto"/>
        </w:rPr>
      </w:pPr>
      <w:r>
        <w:rPr>
          <w:rFonts w:ascii="Calibri" w:cs="Calibri" w:eastAsia="Calibri" w:hAnsi="Calibri"/>
          <w:sz w:val="22"/>
          <w:szCs w:val="22"/>
          <w:color w:val="auto"/>
        </w:rPr>
        <w:t>Its:</w:t>
        <w:tab/>
        <w:t>Authorized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-23495</wp:posOffset>
            </wp:positionV>
            <wp:extent cx="17468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Calibri" w:cs="Calibri" w:eastAsia="Calibri" w:hAnsi="Calibri"/>
          <w:sz w:val="20"/>
          <w:szCs w:val="20"/>
          <w:color w:val="auto"/>
        </w:rPr>
        <w:t>Enclosure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40"/>
        <w:spacing w:after="0"/>
        <w:rPr>
          <w:sz w:val="20"/>
          <w:szCs w:val="20"/>
          <w:color w:val="auto"/>
        </w:rPr>
      </w:pPr>
      <w:r>
        <w:rPr>
          <w:rFonts w:ascii="Arial" w:cs="Arial" w:eastAsia="Arial" w:hAnsi="Arial"/>
          <w:sz w:val="16"/>
          <w:szCs w:val="16"/>
          <w:b w:val="1"/>
          <w:bCs w:val="1"/>
          <w:i w:val="1"/>
          <w:iCs w:val="1"/>
          <w:color w:val="1E60AD"/>
        </w:rPr>
        <w:t>Innovations In Regenerative Biomaterials</w:t>
      </w:r>
    </w:p>
    <w:p>
      <w:pPr>
        <w:spacing w:after="0" w:line="204" w:lineRule="exact"/>
        <w:rPr>
          <w:sz w:val="20"/>
          <w:szCs w:val="20"/>
          <w:color w:val="auto"/>
        </w:rPr>
      </w:pPr>
    </w:p>
    <w:p>
      <w:pPr>
        <w:jc w:val="right"/>
        <w:ind w:right="639"/>
        <w:spacing w:after="0"/>
        <w:rPr>
          <w:sz w:val="20"/>
          <w:szCs w:val="20"/>
          <w:color w:val="auto"/>
        </w:rPr>
      </w:pPr>
      <w:r>
        <w:rPr>
          <w:rFonts w:ascii="Calibri" w:cs="Calibri" w:eastAsia="Calibri" w:hAnsi="Calibri"/>
          <w:sz w:val="14"/>
          <w:szCs w:val="14"/>
          <w:color w:val="5A5A5A"/>
        </w:rPr>
        <w:t xml:space="preserve">MiMedx Group, Inc. </w:t>
      </w:r>
      <w:r>
        <w:rPr>
          <w:rFonts w:ascii="Calibri" w:cs="Calibri" w:eastAsia="Calibri" w:hAnsi="Calibri"/>
          <w:sz w:val="14"/>
          <w:szCs w:val="14"/>
          <w:color w:val="005A9B"/>
        </w:rPr>
        <w:t>|</w:t>
      </w:r>
      <w:r>
        <w:rPr>
          <w:rFonts w:ascii="Calibri" w:cs="Calibri" w:eastAsia="Calibri" w:hAnsi="Calibri"/>
          <w:sz w:val="14"/>
          <w:szCs w:val="14"/>
          <w:color w:val="5A5A5A"/>
        </w:rPr>
        <w:t xml:space="preserve"> 1775 West Oak Commons Ct NE </w:t>
      </w:r>
      <w:r>
        <w:rPr>
          <w:rFonts w:ascii="Calibri" w:cs="Calibri" w:eastAsia="Calibri" w:hAnsi="Calibri"/>
          <w:sz w:val="14"/>
          <w:szCs w:val="14"/>
          <w:color w:val="005A9B"/>
        </w:rPr>
        <w:t>|</w:t>
      </w:r>
      <w:r>
        <w:rPr>
          <w:rFonts w:ascii="Calibri" w:cs="Calibri" w:eastAsia="Calibri" w:hAnsi="Calibri"/>
          <w:sz w:val="14"/>
          <w:szCs w:val="14"/>
          <w:color w:val="5A5A5A"/>
        </w:rPr>
        <w:t xml:space="preserve"> Marieta, GA 30062 </w:t>
      </w:r>
      <w:r>
        <w:rPr>
          <w:rFonts w:ascii="Calibri" w:cs="Calibri" w:eastAsia="Calibri" w:hAnsi="Calibri"/>
          <w:sz w:val="14"/>
          <w:szCs w:val="14"/>
          <w:color w:val="005A9B"/>
        </w:rPr>
        <w:t>|</w:t>
      </w:r>
      <w:r>
        <w:rPr>
          <w:rFonts w:ascii="Calibri" w:cs="Calibri" w:eastAsia="Calibri" w:hAnsi="Calibri"/>
          <w:sz w:val="14"/>
          <w:szCs w:val="14"/>
          <w:color w:val="5A5A5A"/>
        </w:rPr>
        <w:t xml:space="preserve"> 770.651.9100 </w:t>
      </w:r>
      <w:r>
        <w:rPr>
          <w:rFonts w:ascii="Calibri" w:cs="Calibri" w:eastAsia="Calibri" w:hAnsi="Calibri"/>
          <w:sz w:val="14"/>
          <w:szCs w:val="14"/>
          <w:color w:val="005A9B"/>
        </w:rPr>
        <w:t>|</w:t>
      </w:r>
      <w:r>
        <w:rPr>
          <w:rFonts w:ascii="Calibri" w:cs="Calibri" w:eastAsia="Calibri" w:hAnsi="Calibri"/>
          <w:sz w:val="14"/>
          <w:szCs w:val="14"/>
          <w:color w:val="5A5A5A"/>
        </w:rPr>
        <w:t xml:space="preserve"> Fax 770.590.3550 </w:t>
      </w:r>
      <w:r>
        <w:rPr>
          <w:rFonts w:ascii="Calibri" w:cs="Calibri" w:eastAsia="Calibri" w:hAnsi="Calibri"/>
          <w:sz w:val="14"/>
          <w:szCs w:val="14"/>
          <w:color w:val="005A9B"/>
        </w:rPr>
        <w:t>|</w:t>
      </w:r>
      <w:r>
        <w:rPr>
          <w:rFonts w:ascii="Calibri" w:cs="Calibri" w:eastAsia="Calibri" w:hAnsi="Calibri"/>
          <w:sz w:val="14"/>
          <w:szCs w:val="14"/>
          <w:color w:val="5A5A5A"/>
        </w:rPr>
        <w:t xml:space="preserve"> www.mimedx.com</w:t>
      </w:r>
    </w:p>
    <w:p>
      <w:pPr>
        <w:sectPr>
          <w:pgSz w:w="11900" w:h="16838" w:orient="portrait"/>
          <w:cols w:equalWidth="0" w:num="1">
            <w:col w:w="10139"/>
          </w:cols>
          <w:pgMar w:left="320" w:top="1440"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FOURTH AMENDMENT TO LEASE AGREEMENT</w:t>
      </w: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THIS FOURTH AMENDMENT TO LEASE AGREEMENT </w:t>
      </w:r>
      <w:r>
        <w:rPr>
          <w:rFonts w:ascii="Times New Roman" w:cs="Times New Roman" w:eastAsia="Times New Roman" w:hAnsi="Times New Roman"/>
          <w:sz w:val="18"/>
          <w:szCs w:val="18"/>
          <w:color w:val="auto"/>
        </w:rPr>
        <w:t>(the “Fourth Amendment”) is made as of</w:t>
      </w:r>
      <w:r>
        <w:rPr>
          <w:rFonts w:ascii="Times New Roman" w:cs="Times New Roman" w:eastAsia="Times New Roman" w:hAnsi="Times New Roman"/>
          <w:sz w:val="18"/>
          <w:szCs w:val="18"/>
          <w:b w:val="1"/>
          <w:bCs w:val="1"/>
          <w:color w:val="auto"/>
        </w:rPr>
        <w:t xml:space="preserve"> January 26, 2024 </w:t>
      </w:r>
      <w:r>
        <w:rPr>
          <w:rFonts w:ascii="Times New Roman" w:cs="Times New Roman" w:eastAsia="Times New Roman" w:hAnsi="Times New Roman"/>
          <w:sz w:val="18"/>
          <w:szCs w:val="18"/>
          <w:color w:val="auto"/>
        </w:rPr>
        <w:t>(the “Effective Date”) by</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and between </w:t>
      </w:r>
      <w:r>
        <w:rPr>
          <w:rFonts w:ascii="Times New Roman" w:cs="Times New Roman" w:eastAsia="Times New Roman" w:hAnsi="Times New Roman"/>
          <w:sz w:val="18"/>
          <w:szCs w:val="18"/>
          <w:b w:val="1"/>
          <w:bCs w:val="1"/>
          <w:color w:val="auto"/>
        </w:rPr>
        <w:t>GEORGIA RE FIELDS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xml:space="preserve"> a Georgia limited liability company (the “Landlord”), and </w:t>
      </w:r>
      <w:r>
        <w:rPr>
          <w:rFonts w:ascii="Times New Roman" w:cs="Times New Roman" w:eastAsia="Times New Roman" w:hAnsi="Times New Roman"/>
          <w:sz w:val="18"/>
          <w:szCs w:val="18"/>
          <w:b w:val="1"/>
          <w:bCs w:val="1"/>
          <w:color w:val="auto"/>
        </w:rPr>
        <w:t>MIMEDX GROUP, INC.</w:t>
      </w:r>
      <w:r>
        <w:rPr>
          <w:rFonts w:ascii="Times New Roman" w:cs="Times New Roman" w:eastAsia="Times New Roman" w:hAnsi="Times New Roman"/>
          <w:sz w:val="18"/>
          <w:szCs w:val="18"/>
          <w:color w:val="auto"/>
        </w:rPr>
        <w:t>, a Florida corporation (the “Tenant”), with reference to the following recitals: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HUB Properties, GA, LLC, a Delaware limited liability company (the “Original Landlord”) and Tenant entered into that certain</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Lease dated as of January 25, 2013 (the “Original Lease”) related to the real property and improvements located at 1775 W. Oak Commons, Marietta, Georgia (the “West Oak Property”), said improvements consisting of 79,854 square feet, including parking and other facilities located on the West Oak Property: and</w:t>
      </w:r>
    </w:p>
    <w:p>
      <w:pPr>
        <w:spacing w:after="0" w:line="195"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CPVF II West Oak, LLC, successor in interest to the Original Landlord, and Tenant entered into that certain First Amendment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Lease/Service Modification dated March 7, 2017 amending the Original Lease (the “First Amendment”); and</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Georgia RE Fields, LLC, successor in interest to CPVF II West Oak, LLC, and Tenant entered into that certain Second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Lease letter agreement dated August 29, 2018 further amending the Original Lease (the “Second Amendment”); and</w:t>
      </w:r>
    </w:p>
    <w:p>
      <w:pPr>
        <w:spacing w:after="0" w:line="16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Georgia RE Fields, LLC and Tenant entered into that certain Third Amendment to Lease Agreement dated November 30,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amending the Original Lease (the “Third Amendment”); and</w:t>
      </w:r>
    </w:p>
    <w:p>
      <w:pPr>
        <w:spacing w:after="0" w:line="19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Landlord and Tenant desire to further modify the Original Lease, as amended, to extend the term of the Original Lease,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eighteen (18) months and to make certain other adjustments to Landlord’s and Tenant’s respective rights and obligations therein, as more particularly set forth herein.</w:t>
      </w:r>
    </w:p>
    <w:p>
      <w:pPr>
        <w:spacing w:after="0" w:line="3" w:lineRule="exact"/>
        <w:rPr>
          <w:sz w:val="20"/>
          <w:szCs w:val="20"/>
          <w:color w:val="auto"/>
        </w:rPr>
      </w:pPr>
    </w:p>
    <w:p>
      <w:pPr>
        <w:jc w:val="both"/>
        <w:ind w:right="20" w:firstLine="193"/>
        <w:spacing w:after="0" w:line="22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is hereby acknowledged, Landlord and Tenant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and agree as follows:</w:t>
      </w:r>
    </w:p>
    <w:p>
      <w:pPr>
        <w:spacing w:after="0" w:line="184" w:lineRule="exact"/>
        <w:rPr>
          <w:sz w:val="20"/>
          <w:szCs w:val="20"/>
          <w:color w:val="auto"/>
        </w:rPr>
      </w:pPr>
    </w:p>
    <w:p>
      <w:pPr>
        <w:jc w:val="both"/>
        <w:ind w:left="1300" w:hanging="644"/>
        <w:spacing w:after="0" w:line="223"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Lease</w:t>
      </w:r>
      <w:r>
        <w:rPr>
          <w:rFonts w:ascii="Times New Roman" w:cs="Times New Roman" w:eastAsia="Times New Roman" w:hAnsi="Times New Roman"/>
          <w:sz w:val="18"/>
          <w:szCs w:val="18"/>
          <w:color w:val="auto"/>
        </w:rPr>
        <w:t>. The Original Lease, as amended by the First Amendment, the Second Amendment, and the Third Amendment shall collectively be referred to herein as the “Lease.” All capitalized terms not otherwise defined herein shall have the same meanings ascribed to such terms in the Lease. In the event of any inconsistency between the terms and provisions of the Lease and those of this Fourth Amendment, the terms and provisions of this Fourth Amendment shall control. This Fourth Amendment shall be binding upon the successors and assigns of the parties hereto.</w:t>
      </w:r>
    </w:p>
    <w:p>
      <w:pPr>
        <w:spacing w:after="0" w:line="185" w:lineRule="exact"/>
        <w:rPr>
          <w:rFonts w:ascii="Times New Roman" w:cs="Times New Roman" w:eastAsia="Times New Roman" w:hAnsi="Times New Roman"/>
          <w:sz w:val="18"/>
          <w:szCs w:val="18"/>
          <w:color w:val="auto"/>
        </w:rPr>
      </w:pPr>
    </w:p>
    <w:p>
      <w:pPr>
        <w:jc w:val="both"/>
        <w:ind w:left="1300" w:hanging="644"/>
        <w:spacing w:after="0" w:line="224"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Term</w:t>
      </w:r>
      <w:r>
        <w:rPr>
          <w:rFonts w:ascii="Times New Roman" w:cs="Times New Roman" w:eastAsia="Times New Roman" w:hAnsi="Times New Roman"/>
          <w:sz w:val="18"/>
          <w:szCs w:val="18"/>
          <w:color w:val="auto"/>
        </w:rPr>
        <w:t>. The term of the Lease is hereby extended for an additional eighteen (18) months, commencing February 1, 2025 and expiring July 31, 2026 (the “Additional Extended Term”). All the terms, covenants, and provisions of the Lease applicable immediately prior to the expiration of the current Extended Term shall apply to the Additional Extended Term except that (i) the Annual Fixed Rent shall be as set forth in Paragraph 3 below.</w:t>
      </w:r>
    </w:p>
    <w:p>
      <w:pPr>
        <w:spacing w:after="0" w:line="17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Fixed Rent. Commencing February 1, 2025, Tenant shall pay Annual Fixed Rent as follows:</w:t>
      </w:r>
    </w:p>
    <w:p>
      <w:pPr>
        <w:spacing w:after="0" w:line="20" w:lineRule="exact"/>
        <w:rPr>
          <w:sz w:val="20"/>
          <w:szCs w:val="20"/>
          <w:color w:val="auto"/>
        </w:rPr>
      </w:pPr>
    </w:p>
    <w:tbl>
      <w:tblPr>
        <w:tblLayout w:type="fixed"/>
        <w:tblInd w:w="360" w:type="dxa"/>
        <w:tblCellMar>
          <w:top w:w="0" w:type="dxa"/>
          <w:left w:w="0" w:type="dxa"/>
          <w:bottom w:w="0" w:type="dxa"/>
          <w:right w:w="0" w:type="dxa"/>
        </w:tblCellMar>
      </w:tblPr>
      <w:tr>
        <w:trPr>
          <w:trHeight w:val="20"/>
        </w:trPr>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Period</w:t>
            </w:r>
          </w:p>
        </w:tc>
        <w:tc>
          <w:tcPr>
            <w:tcW w:w="1460" w:type="dxa"/>
            <w:vAlign w:val="bottom"/>
            <w:gridSpan w:val="3"/>
          </w:tcPr>
          <w:p>
            <w:pPr>
              <w:ind w:left="240"/>
              <w:spacing w:after="0" w:line="136" w:lineRule="exact"/>
              <w:rPr>
                <w:sz w:val="20"/>
                <w:szCs w:val="20"/>
                <w:color w:val="auto"/>
              </w:rPr>
            </w:pPr>
            <w:r>
              <w:rPr>
                <w:rFonts w:ascii="Times New Roman" w:cs="Times New Roman" w:eastAsia="Times New Roman" w:hAnsi="Times New Roman"/>
                <w:sz w:val="15"/>
                <w:szCs w:val="15"/>
                <w:color w:val="auto"/>
              </w:rPr>
              <w:t>Annual Rate</w:t>
            </w:r>
          </w:p>
        </w:tc>
        <w:tc>
          <w:tcPr>
            <w:tcW w:w="780" w:type="dxa"/>
            <w:vAlign w:val="bottom"/>
            <w:gridSpan w:val="2"/>
          </w:tcPr>
          <w:p>
            <w:pPr>
              <w:jc w:val="right"/>
              <w:ind w:right="133"/>
              <w:spacing w:after="0" w:line="136" w:lineRule="exact"/>
              <w:rPr>
                <w:sz w:val="20"/>
                <w:szCs w:val="20"/>
                <w:color w:val="auto"/>
              </w:rPr>
            </w:pPr>
            <w:r>
              <w:rPr>
                <w:rFonts w:ascii="Times New Roman" w:cs="Times New Roman" w:eastAsia="Times New Roman" w:hAnsi="Times New Roman"/>
                <w:sz w:val="15"/>
                <w:szCs w:val="15"/>
                <w:color w:val="auto"/>
              </w:rPr>
              <w:t>Annual</w:t>
            </w:r>
          </w:p>
        </w:tc>
        <w:tc>
          <w:tcPr>
            <w:tcW w:w="1020" w:type="dxa"/>
            <w:vAlign w:val="bottom"/>
          </w:tcPr>
          <w:p>
            <w:pPr>
              <w:jc w:val="right"/>
              <w:ind w:right="178"/>
              <w:spacing w:after="0" w:line="136" w:lineRule="exact"/>
              <w:rPr>
                <w:sz w:val="20"/>
                <w:szCs w:val="20"/>
                <w:color w:val="auto"/>
              </w:rPr>
            </w:pPr>
            <w:r>
              <w:rPr>
                <w:rFonts w:ascii="Times New Roman" w:cs="Times New Roman" w:eastAsia="Times New Roman" w:hAnsi="Times New Roman"/>
                <w:sz w:val="15"/>
                <w:szCs w:val="15"/>
                <w:color w:val="auto"/>
              </w:rPr>
              <w:t>Monthly</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6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Per Square Foot</w:t>
            </w:r>
          </w:p>
        </w:tc>
        <w:tc>
          <w:tcPr>
            <w:tcW w:w="180" w:type="dxa"/>
            <w:vAlign w:val="bottom"/>
          </w:tcPr>
          <w:p>
            <w:pPr>
              <w:spacing w:after="0"/>
              <w:rPr>
                <w:sz w:val="16"/>
                <w:szCs w:val="16"/>
                <w:color w:val="auto"/>
              </w:rPr>
            </w:pPr>
          </w:p>
        </w:tc>
        <w:tc>
          <w:tcPr>
            <w:tcW w:w="2540" w:type="dxa"/>
            <w:vAlign w:val="bottom"/>
            <w:gridSpan w:val="4"/>
          </w:tcPr>
          <w:p>
            <w:pPr>
              <w:jc w:val="right"/>
              <w:ind w:right="556"/>
              <w:spacing w:after="0" w:line="189" w:lineRule="exact"/>
              <w:rPr>
                <w:sz w:val="20"/>
                <w:szCs w:val="20"/>
                <w:color w:val="auto"/>
              </w:rPr>
            </w:pPr>
            <w:r>
              <w:rPr>
                <w:rFonts w:ascii="Times New Roman" w:cs="Times New Roman" w:eastAsia="Times New Roman" w:hAnsi="Times New Roman"/>
                <w:sz w:val="18"/>
                <w:szCs w:val="18"/>
                <w:color w:val="auto"/>
              </w:rPr>
              <w:t>Fixed Rent  Fixed Rent</w:t>
            </w:r>
          </w:p>
        </w:tc>
        <w:tc>
          <w:tcPr>
            <w:tcW w:w="0" w:type="dxa"/>
            <w:vAlign w:val="bottom"/>
          </w:tcPr>
          <w:p>
            <w:pPr>
              <w:spacing w:after="0"/>
              <w:rPr>
                <w:sz w:val="1"/>
                <w:szCs w:val="1"/>
                <w:color w:val="auto"/>
              </w:rPr>
            </w:pPr>
          </w:p>
        </w:tc>
      </w:tr>
      <w:tr>
        <w:trPr>
          <w:trHeight w:val="151"/>
        </w:trPr>
        <w:tc>
          <w:tcPr>
            <w:tcW w:w="940" w:type="dxa"/>
            <w:vAlign w:val="bottom"/>
          </w:tcPr>
          <w:p>
            <w:pPr>
              <w:spacing w:after="0"/>
              <w:rPr>
                <w:sz w:val="13"/>
                <w:szCs w:val="13"/>
                <w:color w:val="auto"/>
              </w:rPr>
            </w:pPr>
          </w:p>
        </w:tc>
        <w:tc>
          <w:tcPr>
            <w:tcW w:w="1700" w:type="dxa"/>
            <w:vAlign w:val="bottom"/>
            <w:tcBorders>
              <w:top w:val="single" w:sz="8" w:color="auto"/>
            </w:tcBorders>
            <w:gridSpan w:val="3"/>
          </w:tcPr>
          <w:p>
            <w:pPr>
              <w:spacing w:after="0" w:line="150" w:lineRule="exact"/>
              <w:rPr>
                <w:sz w:val="20"/>
                <w:szCs w:val="20"/>
                <w:color w:val="auto"/>
              </w:rPr>
            </w:pPr>
            <w:r>
              <w:rPr>
                <w:rFonts w:ascii="Times New Roman" w:cs="Times New Roman" w:eastAsia="Times New Roman" w:hAnsi="Times New Roman"/>
                <w:sz w:val="17"/>
                <w:szCs w:val="17"/>
                <w:color w:val="auto"/>
              </w:rPr>
              <w:t>2/1/2025 to 1/31/2026</w:t>
            </w:r>
          </w:p>
        </w:tc>
        <w:tc>
          <w:tcPr>
            <w:tcW w:w="700" w:type="dxa"/>
            <w:vAlign w:val="bottom"/>
            <w:tcBorders>
              <w:top w:val="single" w:sz="8" w:color="auto"/>
            </w:tcBorders>
            <w:gridSpan w:val="2"/>
          </w:tcPr>
          <w:p>
            <w:pPr>
              <w:jc w:val="right"/>
              <w:ind w:right="47"/>
              <w:spacing w:after="0" w:line="150" w:lineRule="exact"/>
              <w:rPr>
                <w:sz w:val="20"/>
                <w:szCs w:val="20"/>
                <w:color w:val="auto"/>
              </w:rPr>
            </w:pPr>
            <w:r>
              <w:rPr>
                <w:rFonts w:ascii="Times New Roman" w:cs="Times New Roman" w:eastAsia="Times New Roman" w:hAnsi="Times New Roman"/>
                <w:sz w:val="17"/>
                <w:szCs w:val="17"/>
                <w:color w:val="auto"/>
              </w:rPr>
              <w:t>$15.91</w:t>
            </w:r>
          </w:p>
        </w:tc>
        <w:tc>
          <w:tcPr>
            <w:tcW w:w="1620" w:type="dxa"/>
            <w:vAlign w:val="bottom"/>
            <w:tcBorders>
              <w:top w:val="single" w:sz="8" w:color="auto"/>
            </w:tcBorders>
            <w:gridSpan w:val="2"/>
          </w:tcPr>
          <w:p>
            <w:pPr>
              <w:jc w:val="right"/>
              <w:ind w:right="78"/>
              <w:spacing w:after="0" w:line="150" w:lineRule="exact"/>
              <w:rPr>
                <w:sz w:val="20"/>
                <w:szCs w:val="20"/>
                <w:color w:val="auto"/>
              </w:rPr>
            </w:pPr>
            <w:r>
              <w:rPr>
                <w:rFonts w:ascii="Times New Roman" w:cs="Times New Roman" w:eastAsia="Times New Roman" w:hAnsi="Times New Roman"/>
                <w:sz w:val="17"/>
                <w:szCs w:val="17"/>
                <w:color w:val="auto"/>
              </w:rPr>
              <w:t>$1,270,477.14</w:t>
            </w:r>
          </w:p>
        </w:tc>
        <w:tc>
          <w:tcPr>
            <w:tcW w:w="280" w:type="dxa"/>
            <w:vAlign w:val="bottom"/>
            <w:tcBorders>
              <w:top w:val="single" w:sz="8" w:color="auto"/>
            </w:tcBorders>
          </w:tcPr>
          <w:p>
            <w:pPr>
              <w:jc w:val="right"/>
              <w:ind w:right="96"/>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w w:val="80"/>
              </w:rPr>
              <w:t>105,873.09</w:t>
            </w:r>
          </w:p>
        </w:tc>
        <w:tc>
          <w:tcPr>
            <w:tcW w:w="0" w:type="dxa"/>
            <w:vAlign w:val="bottom"/>
          </w:tcPr>
          <w:p>
            <w:pPr>
              <w:spacing w:after="0"/>
              <w:rPr>
                <w:sz w:val="1"/>
                <w:szCs w:val="1"/>
                <w:color w:val="auto"/>
              </w:rPr>
            </w:pPr>
          </w:p>
        </w:tc>
      </w:t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2/1/2026 to 7/31/2027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3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$1,308,807.06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$109,067.25</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1300" w:hanging="644"/>
        <w:spacing w:after="0" w:line="220"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Tenant represents and warrants that Tenant is represented by Newmark (“Broker”) with regard to this Fourth Amendment, and to Tenant’s and Landlord’s knowledge, no other broker(s) has participated in any negotiations related to this Fourth Amendment or is entitled to any commission in connection herewith. Tenant hereby indemnifies and holds harmless Landlord from and against any and all claims of any other broker(s) claiming under Tenant in connection with this Fourth Amendment. Landlord has contracted separately to pay Newmark a commission for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391" w:right="339" w:bottom="1440" w:gutter="0" w:footer="0" w:header="0"/>
        </w:sectPr>
      </w:pPr>
    </w:p>
    <w:bookmarkStart w:id="94" w:name="page95"/>
    <w:bookmarkEnd w:id="94"/>
    <w:p>
      <w:pPr>
        <w:ind w:left="644" w:hanging="644"/>
        <w:spacing w:after="0" w:line="237"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Deletion of Option to Renew</w:t>
      </w:r>
      <w:r>
        <w:rPr>
          <w:rFonts w:ascii="Times New Roman" w:cs="Times New Roman" w:eastAsia="Times New Roman" w:hAnsi="Times New Roman"/>
          <w:sz w:val="18"/>
          <w:szCs w:val="18"/>
          <w:color w:val="auto"/>
        </w:rPr>
        <w:t>. Landlord and Tenant hereby acknowledge and agree that Tenant’s right to extend the Lease for the Option Period, as provided in the Third Amendment, is hereby deleted in its entirety.</w:t>
      </w:r>
    </w:p>
    <w:p>
      <w:pPr>
        <w:spacing w:after="0" w:line="198" w:lineRule="exact"/>
        <w:rPr>
          <w:rFonts w:ascii="Times New Roman" w:cs="Times New Roman" w:eastAsia="Times New Roman" w:hAnsi="Times New Roman"/>
          <w:sz w:val="18"/>
          <w:szCs w:val="18"/>
          <w:color w:val="auto"/>
        </w:rPr>
      </w:pPr>
    </w:p>
    <w:p>
      <w:pPr>
        <w:jc w:val="both"/>
        <w:ind w:left="644" w:hanging="644"/>
        <w:spacing w:after="0" w:line="212"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Except as expressly altered or amended in this Fourth Amendment, all the terms, covenants and conditions of the Lease are, and shall continue to be, in full force and effect. This Fourth Amendment shall be governed by the laws of the State of Georgia without regard to its principles of conflicts of laws. This Fourth Amendment constitutes the entire agreement among the parties with respect to the subject matter hereof and supersedes all prior agreements and understandings. This Fourth Amendment may be modified, amended, changed, or terminated only by an agreement in writing signed by all parties hereto. No waiver shall be deemed to have been made by any party of any of its rights under the Lease unless the same is in writing and is signed on its behalf by an authorized signatory. Any such waiver shall constitute a waiver only with respect to the specific matter described in such writing and shall in no way impair the rights of the party granting such waiver in any other respect or at any other time. This Fourth Amendment may be executed in one or more counterparts, each of which shall constitute an original, but all of which taken together shall constitute one and the same instrument. Delivery of an executed counterpart of this Fourth Amendment in electronic (e.g., “pdf” or “tif”) format by email shall be as effective as delivery of a manually executed counterpart of this Fourth Amendment. In the event one or more of the provisions of this Fourth Amendment should, for any reason, be held to be invalid, illegal, or unenforceable in any respect, such invalidity, illegality, or unenforceability shall not affect any other provisions of this Fourth Amendment, and such provision (or part thereof) shall be ineffective to the extent of such invalidity, illegality, or unenforceability.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84"/>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200" w:lineRule="exact"/>
        <w:rPr>
          <w:sz w:val="20"/>
          <w:szCs w:val="20"/>
          <w:color w:val="auto"/>
        </w:rPr>
      </w:pPr>
    </w:p>
    <w:p>
      <w:pPr>
        <w:spacing w:after="0" w:line="268" w:lineRule="exact"/>
        <w:rPr>
          <w:sz w:val="20"/>
          <w:szCs w:val="20"/>
          <w:color w:val="auto"/>
        </w:rPr>
      </w:pPr>
    </w:p>
    <w:p>
      <w:pPr>
        <w:ind w:left="3624"/>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0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Fourth Amendment as of the Effective Date above written.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LANDLORD:</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2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TENANT:</w:t>
            </w:r>
          </w:p>
        </w:tc>
      </w:tr>
      <w:tr>
        <w:trPr>
          <w:trHeight w:val="20"/>
        </w:trPr>
        <w:tc>
          <w:tcPr>
            <w:tcW w:w="5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98"/>
        </w:trPr>
        <w:tc>
          <w:tcPr>
            <w:tcW w:w="23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w w:val="99"/>
              </w:rPr>
              <w:t>GEORGIA RE FIELDS, LLC</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MIMEDX GROUP, INC.</w:t>
            </w:r>
          </w:p>
        </w:tc>
      </w:tr>
      <w:tr>
        <w:trPr>
          <w:trHeight w:val="176"/>
        </w:trPr>
        <w:tc>
          <w:tcPr>
            <w:tcW w:w="23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BY:  Fields-Realty, LLC</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ITS:</w:t>
            </w: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Manager</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 Kim B. Fields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By:  /s/ Joseph H. Capper</w:t>
            </w:r>
          </w:p>
        </w:tc>
      </w:tr>
      <w:tr>
        <w:trPr>
          <w:trHeight w:val="183"/>
        </w:trPr>
        <w:tc>
          <w:tcPr>
            <w:tcW w:w="5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Name:</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Kim B. Fields</w:t>
            </w:r>
          </w:p>
        </w:tc>
        <w:tc>
          <w:tcPr>
            <w:tcW w:w="40" w:type="dxa"/>
            <w:vAlign w:val="bottom"/>
            <w:tcBorders>
              <w:bottom w:val="single" w:sz="8" w:color="auto"/>
            </w:tcBorders>
          </w:tcPr>
          <w:p>
            <w:pPr>
              <w:spacing w:after="0"/>
              <w:rPr>
                <w:sz w:val="15"/>
                <w:szCs w:val="15"/>
                <w:color w:val="auto"/>
              </w:rPr>
            </w:pPr>
          </w:p>
        </w:tc>
        <w:tc>
          <w:tcPr>
            <w:tcW w:w="44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w w:val="94"/>
              </w:rPr>
              <w:t>____</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Name:   Joseph H.</w:t>
            </w:r>
          </w:p>
        </w:tc>
        <w:tc>
          <w:tcPr>
            <w:tcW w:w="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Capper</w:t>
            </w:r>
          </w:p>
        </w:tc>
      </w:tr>
      <w:tr>
        <w:trPr>
          <w:trHeight w:val="155"/>
        </w:trPr>
        <w:tc>
          <w:tcPr>
            <w:tcW w:w="4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Title: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spacing w:after="0" w:line="156" w:lineRule="exact"/>
              <w:rPr>
                <w:sz w:val="20"/>
                <w:szCs w:val="20"/>
                <w:color w:val="auto"/>
              </w:rPr>
            </w:pPr>
            <w:r>
              <w:rPr>
                <w:rFonts w:ascii="Times New Roman" w:cs="Times New Roman" w:eastAsia="Times New Roman" w:hAnsi="Times New Roman"/>
                <w:sz w:val="18"/>
                <w:szCs w:val="18"/>
                <w:color w:val="auto"/>
              </w:rPr>
              <w:t>Authorized Member_</w:t>
            </w:r>
          </w:p>
        </w:tc>
        <w:tc>
          <w:tcPr>
            <w:tcW w:w="40" w:type="dxa"/>
            <w:vAlign w:val="bottom"/>
          </w:tcPr>
          <w:p>
            <w:pPr>
              <w:spacing w:after="0"/>
              <w:rPr>
                <w:sz w:val="13"/>
                <w:szCs w:val="13"/>
                <w:color w:val="auto"/>
              </w:rPr>
            </w:pPr>
          </w:p>
        </w:tc>
        <w:tc>
          <w:tcPr>
            <w:tcW w:w="2640" w:type="dxa"/>
            <w:vAlign w:val="bottom"/>
            <w:gridSpan w:val="4"/>
          </w:tcPr>
          <w:p>
            <w:pPr>
              <w:ind w:left="320"/>
              <w:spacing w:after="0" w:line="156" w:lineRule="exact"/>
              <w:rPr>
                <w:sz w:val="20"/>
                <w:szCs w:val="20"/>
                <w:color w:val="auto"/>
              </w:rPr>
            </w:pPr>
            <w:r>
              <w:rPr>
                <w:rFonts w:ascii="Times New Roman" w:cs="Times New Roman" w:eastAsia="Times New Roman" w:hAnsi="Times New Roman"/>
                <w:sz w:val="18"/>
                <w:szCs w:val="18"/>
                <w:color w:val="auto"/>
              </w:rPr>
              <w:t>Title: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340"/>
          </w:cols>
          <w:pgMar w:left="320" w:top="1400" w:right="1239" w:bottom="1440" w:gutter="0" w:footer="0" w:header="0"/>
        </w:sectPr>
      </w:pPr>
    </w:p>
    <w:bookmarkStart w:id="96" w:name="page97"/>
    <w:bookmarkEnd w:id="9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88900</wp:posOffset>
            </wp:positionV>
            <wp:extent cx="2108835" cy="8140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2108835" cy="814070"/>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25"/>
          <w:szCs w:val="25"/>
          <w:b w:val="1"/>
          <w:bCs w:val="1"/>
          <w:color w:val="auto"/>
        </w:rPr>
        <w:t>Management Incentve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4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Purpose</w:t>
      </w:r>
    </w:p>
    <w:p>
      <w:pPr>
        <w:jc w:val="both"/>
        <w:ind w:left="660"/>
        <w:spacing w:after="0" w:line="195" w:lineRule="auto"/>
        <w:rPr>
          <w:rFonts w:ascii="Calibri" w:cs="Calibri" w:eastAsia="Calibri" w:hAnsi="Calibri"/>
          <w:sz w:val="20"/>
          <w:szCs w:val="20"/>
          <w:b w:val="1"/>
          <w:bCs w:val="1"/>
          <w:color w:val="auto"/>
        </w:rPr>
      </w:pPr>
      <w:r>
        <w:rPr>
          <w:rFonts w:ascii="Calibri" w:cs="Calibri" w:eastAsia="Calibri" w:hAnsi="Calibri"/>
          <w:sz w:val="20"/>
          <w:szCs w:val="20"/>
          <w:color w:val="auto"/>
        </w:rPr>
        <w:t>The Management Incentve Plan (“MIP”) is designed to provide an incentve for key members of the MiMedx Group, Inc. (“MiMedx” or “Company”) management team to exceed the annual corporate objectves and reward those team members with deserving performance. The MiMedx Board of Directors (the “Board of Directors”) has complete authority to interpret the MIP, to prescribe, amend and rescind rules and regulatons relatng to it, and to make all other determinatons necessary or advisable for the administraton of the MIP.</w:t>
      </w:r>
    </w:p>
    <w:p>
      <w:pPr>
        <w:spacing w:after="0" w:line="189" w:lineRule="exact"/>
        <w:rPr>
          <w:rFonts w:ascii="Calibri" w:cs="Calibri" w:eastAsia="Calibri" w:hAnsi="Calibri"/>
          <w:sz w:val="20"/>
          <w:szCs w:val="20"/>
          <w:b w:val="1"/>
          <w:bCs w:val="1"/>
          <w:color w:val="auto"/>
        </w:rPr>
      </w:pPr>
    </w:p>
    <w:p>
      <w:pPr>
        <w:ind w:left="660"/>
        <w:spacing w:after="0"/>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The goals of the MIP are:</w:t>
      </w:r>
    </w:p>
    <w:p>
      <w:pPr>
        <w:ind w:left="980" w:hanging="324"/>
        <w:spacing w:after="0" w:line="199" w:lineRule="auto"/>
        <w:tabs>
          <w:tab w:leader="none" w:pos="980" w:val="left"/>
        </w:tabs>
        <w:numPr>
          <w:ilvl w:val="1"/>
          <w:numId w:val="44"/>
        </w:numPr>
        <w:rPr>
          <w:rFonts w:ascii="Calibri" w:cs="Calibri" w:eastAsia="Calibri" w:hAnsi="Calibri"/>
          <w:sz w:val="20"/>
          <w:szCs w:val="20"/>
          <w:color w:val="auto"/>
        </w:rPr>
      </w:pPr>
      <w:r>
        <w:rPr>
          <w:rFonts w:ascii="Calibri" w:cs="Calibri" w:eastAsia="Calibri" w:hAnsi="Calibri"/>
          <w:sz w:val="20"/>
          <w:szCs w:val="20"/>
          <w:color w:val="auto"/>
        </w:rPr>
        <w:t>To increase shareholder value.</w:t>
      </w:r>
    </w:p>
    <w:p>
      <w:pPr>
        <w:ind w:left="980" w:hanging="324"/>
        <w:spacing w:after="0" w:line="191" w:lineRule="auto"/>
        <w:tabs>
          <w:tab w:leader="none" w:pos="980" w:val="left"/>
        </w:tabs>
        <w:numPr>
          <w:ilvl w:val="1"/>
          <w:numId w:val="44"/>
        </w:numPr>
        <w:rPr>
          <w:rFonts w:ascii="Calibri" w:cs="Calibri" w:eastAsia="Calibri" w:hAnsi="Calibri"/>
          <w:sz w:val="20"/>
          <w:szCs w:val="20"/>
          <w:color w:val="auto"/>
        </w:rPr>
      </w:pPr>
      <w:r>
        <w:rPr>
          <w:rFonts w:ascii="Calibri" w:cs="Calibri" w:eastAsia="Calibri" w:hAnsi="Calibri"/>
          <w:sz w:val="20"/>
          <w:szCs w:val="20"/>
          <w:color w:val="auto"/>
        </w:rPr>
        <w:t>To achieve and exceed the MiMedx annual company objectves.</w:t>
      </w:r>
    </w:p>
    <w:p>
      <w:pPr>
        <w:ind w:left="980" w:hanging="324"/>
        <w:spacing w:after="0" w:line="193" w:lineRule="auto"/>
        <w:tabs>
          <w:tab w:leader="none" w:pos="980" w:val="left"/>
        </w:tabs>
        <w:numPr>
          <w:ilvl w:val="1"/>
          <w:numId w:val="44"/>
        </w:numPr>
        <w:rPr>
          <w:rFonts w:ascii="Calibri" w:cs="Calibri" w:eastAsia="Calibri" w:hAnsi="Calibri"/>
          <w:sz w:val="20"/>
          <w:szCs w:val="20"/>
          <w:color w:val="auto"/>
        </w:rPr>
      </w:pPr>
      <w:r>
        <w:rPr>
          <w:rFonts w:ascii="Calibri" w:cs="Calibri" w:eastAsia="Calibri" w:hAnsi="Calibri"/>
          <w:sz w:val="20"/>
          <w:szCs w:val="20"/>
          <w:color w:val="auto"/>
        </w:rPr>
        <w:t>To reward key individuals for demonstrated performance that is sustained throughout the year.</w:t>
      </w:r>
    </w:p>
    <w:p>
      <w:pPr>
        <w:ind w:left="980" w:right="660" w:hanging="324"/>
        <w:spacing w:after="0" w:line="199" w:lineRule="auto"/>
        <w:tabs>
          <w:tab w:leader="none" w:pos="972" w:val="left"/>
        </w:tabs>
        <w:numPr>
          <w:ilvl w:val="1"/>
          <w:numId w:val="44"/>
        </w:numPr>
        <w:rPr>
          <w:rFonts w:ascii="Calibri" w:cs="Calibri" w:eastAsia="Calibri" w:hAnsi="Calibri"/>
          <w:sz w:val="20"/>
          <w:szCs w:val="20"/>
          <w:color w:val="auto"/>
        </w:rPr>
      </w:pPr>
      <w:r>
        <w:rPr>
          <w:rFonts w:ascii="Calibri" w:cs="Calibri" w:eastAsia="Calibri" w:hAnsi="Calibri"/>
          <w:sz w:val="20"/>
          <w:szCs w:val="20"/>
          <w:color w:val="auto"/>
        </w:rPr>
        <w:t>To enhance the Company’s ability to be compettve in the marketplace for executve talent, and to atract, retain and motvate a high-performing and high-potental management team.</w:t>
      </w:r>
    </w:p>
    <w:p>
      <w:pPr>
        <w:spacing w:after="0" w:line="188" w:lineRule="exact"/>
        <w:rPr>
          <w:sz w:val="20"/>
          <w:szCs w:val="20"/>
          <w:color w:val="auto"/>
        </w:rPr>
      </w:pPr>
    </w:p>
    <w:p>
      <w:pPr>
        <w:ind w:left="660" w:hanging="652"/>
        <w:spacing w:after="0"/>
        <w:tabs>
          <w:tab w:leader="none" w:pos="660" w:val="left"/>
        </w:tabs>
        <w:numPr>
          <w:ilvl w:val="0"/>
          <w:numId w:val="4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Duraton, Terminaton and Amendment</w:t>
      </w:r>
    </w:p>
    <w:p>
      <w:pPr>
        <w:jc w:val="both"/>
        <w:ind w:left="660"/>
        <w:spacing w:after="0" w:line="199" w:lineRule="auto"/>
        <w:rPr>
          <w:rFonts w:ascii="Calibri" w:cs="Calibri" w:eastAsia="Calibri" w:hAnsi="Calibri"/>
          <w:sz w:val="20"/>
          <w:szCs w:val="20"/>
          <w:b w:val="1"/>
          <w:bCs w:val="1"/>
          <w:color w:val="auto"/>
        </w:rPr>
      </w:pPr>
      <w:r>
        <w:rPr>
          <w:rFonts w:ascii="Calibri" w:cs="Calibri" w:eastAsia="Calibri" w:hAnsi="Calibri"/>
          <w:sz w:val="20"/>
          <w:szCs w:val="20"/>
          <w:color w:val="auto"/>
        </w:rPr>
        <w:t>The MIP is efectve on the date of Board approval thereof for calendar year 2023. The MIP will remain in efect from year to year (each calendar year shall be referred to herein as a “Performance Period”) untl terminated or suspended by the Board of Directors. The MIP is subject to adjustment by the Company at any tme during or afer the Performance Period, provided that no adjustment may materially adversely afect any incentve amounts already earned and payable under the MIP. In the event of an adjustment, an addendum will be published to inform eligible partcipants.</w:t>
      </w:r>
    </w:p>
    <w:p>
      <w:pPr>
        <w:spacing w:after="0" w:line="197" w:lineRule="exact"/>
        <w:rPr>
          <w:rFonts w:ascii="Calibri" w:cs="Calibri" w:eastAsia="Calibri" w:hAnsi="Calibri"/>
          <w:sz w:val="20"/>
          <w:szCs w:val="20"/>
          <w:b w:val="1"/>
          <w:bCs w:val="1"/>
          <w:color w:val="auto"/>
        </w:rPr>
      </w:pPr>
    </w:p>
    <w:p>
      <w:pPr>
        <w:jc w:val="both"/>
        <w:ind w:left="660"/>
        <w:spacing w:after="0" w:line="202" w:lineRule="auto"/>
        <w:rPr>
          <w:rFonts w:ascii="Calibri" w:cs="Calibri" w:eastAsia="Calibri" w:hAnsi="Calibri"/>
          <w:sz w:val="20"/>
          <w:szCs w:val="20"/>
          <w:b w:val="1"/>
          <w:bCs w:val="1"/>
          <w:color w:val="auto"/>
        </w:rPr>
      </w:pPr>
      <w:r>
        <w:rPr>
          <w:rFonts w:ascii="Calibri" w:cs="Calibri" w:eastAsia="Calibri" w:hAnsi="Calibri"/>
          <w:sz w:val="20"/>
          <w:szCs w:val="20"/>
          <w:color w:val="auto"/>
        </w:rPr>
        <w:t>The Board shall have the right to amend or terminate the MIP at any tme, provided that any terminaton shall automatcally end all of the outstanding Performance Periods and calculatons shall be made with respect to achievement of the performance goals for such Performance Periods for the purpose of determining whether any pro-rata amounts may be payable under the MIP; provided, further, that in the event any pro-rata amounts are payable, such amounts shall be paid as provided in Secton IX of the MIP.</w:t>
      </w:r>
    </w:p>
    <w:p>
      <w:pPr>
        <w:spacing w:after="0" w:line="197" w:lineRule="exact"/>
        <w:rPr>
          <w:sz w:val="20"/>
          <w:szCs w:val="20"/>
          <w:color w:val="auto"/>
        </w:rPr>
      </w:pPr>
    </w:p>
    <w:p>
      <w:pPr>
        <w:ind w:left="660" w:hanging="652"/>
        <w:spacing w:after="0"/>
        <w:tabs>
          <w:tab w:leader="none" w:pos="660" w:val="left"/>
        </w:tabs>
        <w:numPr>
          <w:ilvl w:val="0"/>
          <w:numId w:val="4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MIP Partcipaton, Eligibility and Employment Requirement</w:t>
      </w:r>
    </w:p>
    <w:p>
      <w:pPr>
        <w:jc w:val="both"/>
        <w:ind w:left="660"/>
        <w:spacing w:after="0" w:line="194" w:lineRule="auto"/>
        <w:rPr>
          <w:rFonts w:ascii="Calibri" w:cs="Calibri" w:eastAsia="Calibri" w:hAnsi="Calibri"/>
          <w:sz w:val="20"/>
          <w:szCs w:val="20"/>
          <w:b w:val="1"/>
          <w:bCs w:val="1"/>
          <w:color w:val="auto"/>
        </w:rPr>
      </w:pPr>
      <w:r>
        <w:rPr>
          <w:rFonts w:ascii="Calibri" w:cs="Calibri" w:eastAsia="Calibri" w:hAnsi="Calibri"/>
          <w:sz w:val="20"/>
          <w:szCs w:val="20"/>
          <w:color w:val="auto"/>
        </w:rPr>
        <w:t>Partcipaton and eligibility of (i) executve ofcers is determined by the Board of Directors or its delegate, and (ii) management level employees who are not executve ofcers is determined by Human Resources. No individual is automatcally included in the MIP. Partcipants are notfed in writng of their partcipaton, and verbal comments or promises to any employee or past practces are not binding on MiMedx or any of its divisions or subsidiaries in any manner.</w:t>
      </w:r>
    </w:p>
    <w:p>
      <w:pPr>
        <w:spacing w:after="0" w:line="212" w:lineRule="exact"/>
        <w:rPr>
          <w:rFonts w:ascii="Calibri" w:cs="Calibri" w:eastAsia="Calibri" w:hAnsi="Calibri"/>
          <w:sz w:val="20"/>
          <w:szCs w:val="20"/>
          <w:b w:val="1"/>
          <w:bCs w:val="1"/>
          <w:color w:val="auto"/>
        </w:rPr>
      </w:pPr>
    </w:p>
    <w:p>
      <w:pPr>
        <w:jc w:val="both"/>
        <w:ind w:left="660"/>
        <w:spacing w:after="0" w:line="202" w:lineRule="auto"/>
        <w:rPr>
          <w:rFonts w:ascii="Calibri" w:cs="Calibri" w:eastAsia="Calibri" w:hAnsi="Calibri"/>
          <w:sz w:val="20"/>
          <w:szCs w:val="20"/>
          <w:b w:val="1"/>
          <w:bCs w:val="1"/>
          <w:color w:val="auto"/>
        </w:rPr>
      </w:pPr>
      <w:r>
        <w:rPr>
          <w:rFonts w:ascii="Calibri" w:cs="Calibri" w:eastAsia="Calibri" w:hAnsi="Calibri"/>
          <w:sz w:val="20"/>
          <w:szCs w:val="20"/>
          <w:b w:val="1"/>
          <w:bCs w:val="1"/>
          <w:i w:val="1"/>
          <w:iCs w:val="1"/>
          <w:u w:val="single" w:color="auto"/>
          <w:color w:val="auto"/>
        </w:rPr>
        <w:t>Terminated Employees</w:t>
      </w: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u w:val="single" w:color="auto"/>
          <w:color w:val="auto"/>
        </w:rPr>
        <w:t>Incentves are only earned by employees who are in good standing, not on notce, and employed on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u w:val="single" w:color="auto"/>
          <w:color w:val="auto"/>
        </w:rPr>
        <w:t>date payment is made</w:t>
      </w:r>
      <w:r>
        <w:rPr>
          <w:rFonts w:ascii="Calibri" w:cs="Calibri" w:eastAsia="Calibri" w:hAnsi="Calibri"/>
          <w:sz w:val="20"/>
          <w:szCs w:val="20"/>
          <w:color w:val="auto"/>
        </w:rPr>
        <w:t>. Partcipants terminatng employment prior to the date of payment are not eligible for any incentve payment regardless of the reason for terminaton of employment, unless otherwise determined by the Board of Directors or its delegate, in its sole discreton, in the case of executve ofcers or by Human Resources with approval of the Chief Executve Ofcer, in the case of other management employees.</w:t>
      </w:r>
    </w:p>
    <w:p>
      <w:pPr>
        <w:sectPr>
          <w:pgSz w:w="11900" w:h="16838" w:orient="portrait"/>
          <w:cols w:equalWidth="0" w:num="1">
            <w:col w:w="11240"/>
          </w:cols>
          <w:pgMar w:left="320" w:top="1440" w:right="339" w:bottom="1440" w:gutter="0" w:footer="0" w:header="0"/>
        </w:sectPr>
      </w:pPr>
    </w:p>
    <w:bookmarkStart w:id="97" w:name="page98"/>
    <w:bookmarkEnd w:id="97"/>
    <w:p>
      <w:pPr>
        <w:jc w:val="center"/>
        <w:spacing w:after="0"/>
        <w:rPr>
          <w:sz w:val="20"/>
          <w:szCs w:val="20"/>
          <w:color w:val="auto"/>
        </w:rPr>
      </w:pPr>
      <w:r>
        <w:rPr>
          <w:rFonts w:ascii="Calibri" w:cs="Calibri" w:eastAsia="Calibri" w:hAnsi="Calibri"/>
          <w:sz w:val="22"/>
          <w:szCs w:val="22"/>
          <w:b w:val="1"/>
          <w:bCs w:val="1"/>
          <w:color w:val="auto"/>
        </w:rPr>
        <w:t>MiMedx MIP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60"/>
        <w:spacing w:after="0" w:line="203" w:lineRule="auto"/>
        <w:rPr>
          <w:sz w:val="20"/>
          <w:szCs w:val="20"/>
          <w:color w:val="auto"/>
        </w:rPr>
      </w:pPr>
      <w:r>
        <w:rPr>
          <w:rFonts w:ascii="Calibri" w:cs="Calibri" w:eastAsia="Calibri" w:hAnsi="Calibri"/>
          <w:sz w:val="20"/>
          <w:szCs w:val="20"/>
          <w:b w:val="1"/>
          <w:bCs w:val="1"/>
          <w:i w:val="1"/>
          <w:iCs w:val="1"/>
          <w:u w:val="single" w:color="auto"/>
          <w:color w:val="auto"/>
        </w:rPr>
        <w:t>First Time Partcipants</w:t>
      </w:r>
      <w:r>
        <w:rPr>
          <w:rFonts w:ascii="Calibri" w:cs="Calibri" w:eastAsia="Calibri" w:hAnsi="Calibri"/>
          <w:sz w:val="20"/>
          <w:szCs w:val="20"/>
          <w:color w:val="auto"/>
        </w:rPr>
        <w:t>: New employees hired or promoted into an eligible positon on or before September 30 of a Performance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 xml:space="preserve">Period will be able to begin partcipatng in the MIP on the frst day of the frst full month in the eligible positon. The bonus will be calculated using base salary earnings in the eligible positon and tme of service during the Performance Period. </w:t>
      </w:r>
      <w:r>
        <w:rPr>
          <w:rFonts w:ascii="Calibri" w:cs="Calibri" w:eastAsia="Calibri" w:hAnsi="Calibri"/>
          <w:sz w:val="20"/>
          <w:szCs w:val="20"/>
          <w:u w:val="single" w:color="auto"/>
          <w:color w:val="auto"/>
        </w:rPr>
        <w:t>No incentves</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will be earned or paid for new hires beginning employment afer September 30 of any Performance Period.</w:t>
      </w:r>
    </w:p>
    <w:p>
      <w:pPr>
        <w:spacing w:after="0" w:line="200" w:lineRule="exact"/>
        <w:rPr>
          <w:sz w:val="20"/>
          <w:szCs w:val="20"/>
          <w:color w:val="auto"/>
        </w:rPr>
      </w:pPr>
    </w:p>
    <w:p>
      <w:pPr>
        <w:jc w:val="both"/>
        <w:ind w:left="660"/>
        <w:spacing w:after="0" w:line="203" w:lineRule="auto"/>
        <w:rPr>
          <w:sz w:val="20"/>
          <w:szCs w:val="20"/>
          <w:color w:val="auto"/>
        </w:rPr>
      </w:pPr>
      <w:r>
        <w:rPr>
          <w:rFonts w:ascii="Calibri" w:cs="Calibri" w:eastAsia="Calibri" w:hAnsi="Calibri"/>
          <w:sz w:val="20"/>
          <w:szCs w:val="20"/>
          <w:b w:val="1"/>
          <w:bCs w:val="1"/>
          <w:i w:val="1"/>
          <w:iCs w:val="1"/>
          <w:u w:val="single" w:color="auto"/>
          <w:color w:val="auto"/>
        </w:rPr>
        <w:t>Existng Partcipants</w:t>
      </w:r>
      <w:r>
        <w:rPr>
          <w:rFonts w:ascii="Calibri" w:cs="Calibri" w:eastAsia="Calibri" w:hAnsi="Calibri"/>
          <w:sz w:val="20"/>
          <w:szCs w:val="20"/>
          <w:color w:val="auto"/>
        </w:rPr>
        <w:t>: Partcipants who transfer during a performance period from one MIP eligible positon to another MIP</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eligible positon, having either a higher or lower Bonus Opportunity Amount, as herein defned, will begin partcipatng at the new MIP level on the frst day of the frst full month in the new positon. The partcipant’s Bonus Opportunity Amount will be based on the longest positon held and based upon earnings during the eligible tme of service during the Performance Period.</w:t>
      </w:r>
    </w:p>
    <w:p>
      <w:pPr>
        <w:spacing w:after="0" w:line="214" w:lineRule="exact"/>
        <w:rPr>
          <w:sz w:val="20"/>
          <w:szCs w:val="20"/>
          <w:color w:val="auto"/>
        </w:rPr>
      </w:pPr>
    </w:p>
    <w:p>
      <w:pPr>
        <w:jc w:val="both"/>
        <w:ind w:left="660"/>
        <w:spacing w:after="0" w:line="203" w:lineRule="auto"/>
        <w:rPr>
          <w:sz w:val="20"/>
          <w:szCs w:val="20"/>
          <w:color w:val="auto"/>
        </w:rPr>
      </w:pPr>
      <w:r>
        <w:rPr>
          <w:rFonts w:ascii="Calibri" w:cs="Calibri" w:eastAsia="Calibri" w:hAnsi="Calibri"/>
          <w:sz w:val="20"/>
          <w:szCs w:val="20"/>
          <w:b w:val="1"/>
          <w:bCs w:val="1"/>
          <w:i w:val="1"/>
          <w:iCs w:val="1"/>
          <w:u w:val="single" w:color="auto"/>
          <w:color w:val="auto"/>
        </w:rPr>
        <w:t>Leave of Absence</w:t>
      </w:r>
      <w:r>
        <w:rPr>
          <w:rFonts w:ascii="Calibri" w:cs="Calibri" w:eastAsia="Calibri" w:hAnsi="Calibri"/>
          <w:sz w:val="20"/>
          <w:szCs w:val="20"/>
          <w:color w:val="auto"/>
        </w:rPr>
        <w:t>: Partcipants who have been on an approved leave of absence for medical or other reasons for greater than 60</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cumulatve days, but 120 or lesser cumulatve days, during the year will receive a prorated porton of their earned amount. Partcipants who have been on an approved leave of absence for medical or other reasons for greater than 120 cumulatve days during the year will not be eligible to earn any amount of MIP for the year.</w:t>
      </w:r>
    </w:p>
    <w:p>
      <w:pPr>
        <w:spacing w:after="0" w:line="190" w:lineRule="exact"/>
        <w:rPr>
          <w:sz w:val="20"/>
          <w:szCs w:val="20"/>
          <w:color w:val="auto"/>
        </w:rPr>
      </w:pPr>
    </w:p>
    <w:p>
      <w:pPr>
        <w:spacing w:after="0"/>
        <w:tabs>
          <w:tab w:leader="none" w:pos="540" w:val="left"/>
        </w:tabs>
        <w:rPr>
          <w:sz w:val="20"/>
          <w:szCs w:val="20"/>
          <w:color w:val="auto"/>
        </w:rPr>
      </w:pPr>
      <w:r>
        <w:rPr>
          <w:rFonts w:ascii="Calibri" w:cs="Calibri" w:eastAsia="Calibri" w:hAnsi="Calibri"/>
          <w:sz w:val="20"/>
          <w:szCs w:val="20"/>
          <w:b w:val="1"/>
          <w:bCs w:val="1"/>
          <w:color w:val="auto"/>
        </w:rPr>
        <w:t>IV.</w:t>
      </w:r>
      <w:r>
        <w:rPr>
          <w:sz w:val="20"/>
          <w:szCs w:val="20"/>
          <w:color w:val="auto"/>
        </w:rPr>
        <w:tab/>
      </w:r>
      <w:r>
        <w:rPr>
          <w:rFonts w:ascii="Calibri" w:cs="Calibri" w:eastAsia="Calibri" w:hAnsi="Calibri"/>
          <w:sz w:val="20"/>
          <w:szCs w:val="20"/>
          <w:b w:val="1"/>
          <w:bCs w:val="1"/>
          <w:color w:val="auto"/>
        </w:rPr>
        <w:t>MIP Administraton -</w:t>
      </w:r>
    </w:p>
    <w:p>
      <w:pPr>
        <w:jc w:val="both"/>
        <w:ind w:left="580"/>
        <w:spacing w:after="0" w:line="214" w:lineRule="auto"/>
        <w:rPr>
          <w:sz w:val="20"/>
          <w:szCs w:val="20"/>
          <w:color w:val="auto"/>
        </w:rPr>
      </w:pPr>
      <w:r>
        <w:rPr>
          <w:rFonts w:ascii="Calibri" w:cs="Calibri" w:eastAsia="Calibri" w:hAnsi="Calibri"/>
          <w:sz w:val="20"/>
          <w:szCs w:val="20"/>
          <w:b w:val="1"/>
          <w:bCs w:val="1"/>
          <w:i w:val="1"/>
          <w:iCs w:val="1"/>
          <w:u w:val="single" w:color="auto"/>
          <w:color w:val="auto"/>
        </w:rPr>
        <w:t>Executve Ofcers</w:t>
      </w:r>
      <w:r>
        <w:rPr>
          <w:rFonts w:ascii="Calibri" w:cs="Calibri" w:eastAsia="Calibri" w:hAnsi="Calibri"/>
          <w:sz w:val="20"/>
          <w:szCs w:val="20"/>
          <w:color w:val="auto"/>
        </w:rPr>
        <w:t>. The Board of Directors has the discreton, subject to the provisions of the MIP, to make or to select the manner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of making all determinatons with respect to the MIP for executve ofcers. The Board of Directors has delegated the administraton of the MIP to the Compensaton Commitee of the Board of Directors (the “Compensaton Commitee”), who in turn, will approve and subsequently make recommendatons to the Board of Directors of all determinatons with respect to the MIP for executve ofcers. As delegated by the Board of Directors, the Compensaton Commitee shall have full authority to formulate adjustments and make interpretatons under the MIP as it deems appropriate. As delegated, the Compensaton Commitee shall also be empowered to make any and all of the determinatons not herein specifcally authorized which may be necessary or desirable for the efectve administraton of the MIP for executve ofcers. As delegated, the amounts calculated under the MIP shall be paid only to executve ofcers upon the Compensaton Commitee’s determinaton, in its sole discreton, that the partcipant is enttled to them. All maters of delegaton of the MIP will be approved by the Compensaton Commitee prior to its recommendaton to the Board of Directors.</w:t>
      </w:r>
    </w:p>
    <w:p>
      <w:pPr>
        <w:spacing w:after="0" w:line="208" w:lineRule="exact"/>
        <w:rPr>
          <w:sz w:val="20"/>
          <w:szCs w:val="20"/>
          <w:color w:val="auto"/>
        </w:rPr>
      </w:pPr>
    </w:p>
    <w:p>
      <w:pPr>
        <w:jc w:val="both"/>
        <w:ind w:left="580"/>
        <w:spacing w:after="0" w:line="202" w:lineRule="auto"/>
        <w:rPr>
          <w:sz w:val="20"/>
          <w:szCs w:val="20"/>
          <w:color w:val="auto"/>
        </w:rPr>
      </w:pPr>
      <w:r>
        <w:rPr>
          <w:rFonts w:ascii="Calibri" w:cs="Calibri" w:eastAsia="Calibri" w:hAnsi="Calibri"/>
          <w:sz w:val="20"/>
          <w:szCs w:val="20"/>
          <w:b w:val="1"/>
          <w:bCs w:val="1"/>
          <w:i w:val="1"/>
          <w:iCs w:val="1"/>
          <w:u w:val="single" w:color="auto"/>
          <w:color w:val="auto"/>
        </w:rPr>
        <w:t>Other Management Employees</w:t>
      </w:r>
      <w:r>
        <w:rPr>
          <w:rFonts w:ascii="Calibri" w:cs="Calibri" w:eastAsia="Calibri" w:hAnsi="Calibri"/>
          <w:sz w:val="20"/>
          <w:szCs w:val="20"/>
          <w:color w:val="auto"/>
        </w:rPr>
        <w:t>. Human Resources, subject to approval of the Chief Executve Ofcer, has the discreton, subject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to the provisions of the MIP, to make or to select the manner of making all determinatons with respect to the MIP for management employees who are not executve ofcers, to formulate adjustments and make interpretatons under the MIP as it deems appropriate, and make any and all of the determinatons not herein specifcally authorized which may be necessary or desirable for the efectve administraton of the MIP. As delegated, the amounts calculated under the MIP shall be paid only to other management employees upon the determinaton that the partcipant is enttled to them.</w:t>
      </w:r>
    </w:p>
    <w:p>
      <w:pPr>
        <w:spacing w:after="0" w:line="200" w:lineRule="exact"/>
        <w:rPr>
          <w:sz w:val="20"/>
          <w:szCs w:val="20"/>
          <w:color w:val="auto"/>
        </w:rPr>
      </w:pPr>
    </w:p>
    <w:p>
      <w:pPr>
        <w:spacing w:after="0" w:line="241" w:lineRule="exact"/>
        <w:rPr>
          <w:sz w:val="20"/>
          <w:szCs w:val="20"/>
          <w:color w:val="auto"/>
        </w:rPr>
      </w:pPr>
    </w:p>
    <w:p>
      <w:pPr>
        <w:jc w:val="both"/>
        <w:ind w:left="580" w:right="20"/>
        <w:spacing w:after="0" w:line="209" w:lineRule="auto"/>
        <w:rPr>
          <w:sz w:val="20"/>
          <w:szCs w:val="20"/>
          <w:color w:val="auto"/>
        </w:rPr>
      </w:pPr>
      <w:r>
        <w:rPr>
          <w:rFonts w:ascii="Calibri" w:cs="Calibri" w:eastAsia="Calibri" w:hAnsi="Calibri"/>
          <w:sz w:val="20"/>
          <w:szCs w:val="20"/>
          <w:b w:val="1"/>
          <w:bCs w:val="1"/>
          <w:i w:val="1"/>
          <w:iCs w:val="1"/>
          <w:u w:val="single" w:color="auto"/>
          <w:color w:val="auto"/>
        </w:rPr>
        <w:t>General.</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All decisions made on behalf of the Company by the Board of Directors or the Compensaton Commitee relatve to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plan with respect to executve ofcers are fnal and binding, and decisions made by Human Resources, subject to the requirements set forth above, relatve to management employees who are not executve ofcers are fnal and binding.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 xml:space="preserve">Page </w:t>
      </w:r>
      <w:r>
        <w:rPr>
          <w:rFonts w:ascii="Calibri" w:cs="Calibri" w:eastAsia="Calibri" w:hAnsi="Calibri"/>
          <w:sz w:val="18"/>
          <w:szCs w:val="18"/>
          <w:b w:val="1"/>
          <w:bCs w:val="1"/>
          <w:color w:val="auto"/>
        </w:rPr>
        <w:t>2</w:t>
      </w:r>
      <w:r>
        <w:rPr>
          <w:rFonts w:ascii="Calibri" w:cs="Calibri" w:eastAsia="Calibri" w:hAnsi="Calibri"/>
          <w:sz w:val="18"/>
          <w:szCs w:val="18"/>
          <w:color w:val="auto"/>
        </w:rPr>
        <w:t xml:space="preserve"> of </w:t>
      </w:r>
      <w:r>
        <w:rPr>
          <w:rFonts w:ascii="Calibri" w:cs="Calibri" w:eastAsia="Calibri" w:hAnsi="Calibri"/>
          <w:sz w:val="18"/>
          <w:szCs w:val="18"/>
          <w:b w:val="1"/>
          <w:bCs w:val="1"/>
          <w:color w:val="auto"/>
        </w:rPr>
        <w:t>#NUM_PAGES#</w:t>
      </w:r>
    </w:p>
    <w:p>
      <w:pPr>
        <w:sectPr>
          <w:pgSz w:w="11900" w:h="16838" w:orient="portrait"/>
          <w:cols w:equalWidth="0" w:num="1">
            <w:col w:w="11240"/>
          </w:cols>
          <w:pgMar w:left="320" w:top="330" w:right="339" w:bottom="1440" w:gutter="0" w:footer="0" w:header="0"/>
        </w:sectPr>
      </w:pPr>
    </w:p>
    <w:bookmarkStart w:id="98" w:name="page99"/>
    <w:bookmarkEnd w:id="98"/>
    <w:p>
      <w:pPr>
        <w:jc w:val="center"/>
        <w:ind w:right="-79"/>
        <w:spacing w:after="0"/>
        <w:rPr>
          <w:sz w:val="20"/>
          <w:szCs w:val="20"/>
          <w:color w:val="auto"/>
        </w:rPr>
      </w:pPr>
      <w:r>
        <w:rPr>
          <w:rFonts w:ascii="Calibri" w:cs="Calibri" w:eastAsia="Calibri" w:hAnsi="Calibri"/>
          <w:sz w:val="22"/>
          <w:szCs w:val="22"/>
          <w:b w:val="1"/>
          <w:bCs w:val="1"/>
          <w:color w:val="auto"/>
        </w:rPr>
        <w:t>MiMedx MIP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right="20"/>
        <w:spacing w:after="0" w:line="208" w:lineRule="auto"/>
        <w:rPr>
          <w:sz w:val="20"/>
          <w:szCs w:val="20"/>
          <w:color w:val="auto"/>
        </w:rPr>
      </w:pPr>
      <w:r>
        <w:rPr>
          <w:rFonts w:ascii="Calibri" w:cs="Calibri" w:eastAsia="Calibri" w:hAnsi="Calibri"/>
          <w:sz w:val="20"/>
          <w:szCs w:val="20"/>
          <w:color w:val="auto"/>
        </w:rPr>
        <w:t>determinaton of compliance with the individual objectves established under the MIP for an employee shall be made by the Board of Directors in its sole discreton afer approval by the Compensaton Commitee.</w:t>
      </w:r>
    </w:p>
    <w:p>
      <w:pPr>
        <w:spacing w:after="0" w:line="202" w:lineRule="exact"/>
        <w:rPr>
          <w:sz w:val="20"/>
          <w:szCs w:val="20"/>
          <w:color w:val="auto"/>
        </w:rPr>
      </w:pPr>
    </w:p>
    <w:p>
      <w:pPr>
        <w:ind w:left="640" w:hanging="633"/>
        <w:spacing w:after="0"/>
        <w:tabs>
          <w:tab w:leader="none" w:pos="64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MIP Bonus Opportunity Determinaton</w:t>
      </w:r>
    </w:p>
    <w:p>
      <w:pPr>
        <w:jc w:val="both"/>
        <w:ind w:left="660"/>
        <w:spacing w:after="0" w:line="233" w:lineRule="auto"/>
        <w:rPr>
          <w:sz w:val="20"/>
          <w:szCs w:val="20"/>
          <w:color w:val="auto"/>
        </w:rPr>
      </w:pPr>
      <w:r>
        <w:rPr>
          <w:rFonts w:ascii="Calibri" w:cs="Calibri" w:eastAsia="Calibri" w:hAnsi="Calibri"/>
          <w:sz w:val="20"/>
          <w:szCs w:val="20"/>
          <w:color w:val="auto"/>
        </w:rPr>
        <w:t>The MIP provides for the determinaton of a bonus opportunity expressed as a percentage of the partcipant’s base salary earnings during the Performance Period (the “Bonus Opportunity Amount”), contngent upon satsfacton of established performance goals and contnued employment through the payment date of any bonus. Partcipants approved for MIP partcipaton as of January 1 of a Performance Period are eligible for a full year’s partcipaton, not subject to proraton if employed for the entre year, in accordance with the provisions hereof. All incentves earned under the MIP will be measured and paid annually.</w:t>
      </w:r>
    </w:p>
    <w:p>
      <w:pPr>
        <w:spacing w:after="0" w:line="191" w:lineRule="exact"/>
        <w:rPr>
          <w:sz w:val="20"/>
          <w:szCs w:val="20"/>
          <w:color w:val="auto"/>
        </w:rPr>
      </w:pPr>
    </w:p>
    <w:p>
      <w:pPr>
        <w:ind w:left="80"/>
        <w:spacing w:after="0"/>
        <w:tabs>
          <w:tab w:leader="none" w:pos="640" w:val="left"/>
        </w:tabs>
        <w:rPr>
          <w:sz w:val="20"/>
          <w:szCs w:val="20"/>
          <w:color w:val="auto"/>
        </w:rPr>
      </w:pPr>
      <w:r>
        <w:rPr>
          <w:rFonts w:ascii="Calibri" w:cs="Calibri" w:eastAsia="Calibri" w:hAnsi="Calibri"/>
          <w:sz w:val="20"/>
          <w:szCs w:val="20"/>
          <w:b w:val="1"/>
          <w:bCs w:val="1"/>
          <w:color w:val="auto"/>
        </w:rPr>
        <w:t>VI.</w:t>
      </w:r>
      <w:r>
        <w:rPr>
          <w:sz w:val="20"/>
          <w:szCs w:val="20"/>
          <w:color w:val="auto"/>
        </w:rPr>
        <w:tab/>
      </w:r>
      <w:r>
        <w:rPr>
          <w:rFonts w:ascii="Calibri" w:cs="Calibri" w:eastAsia="Calibri" w:hAnsi="Calibri"/>
          <w:sz w:val="20"/>
          <w:szCs w:val="20"/>
          <w:b w:val="1"/>
          <w:bCs w:val="1"/>
          <w:color w:val="auto"/>
        </w:rPr>
        <w:t>MIP Partcipants</w:t>
      </w:r>
    </w:p>
    <w:p>
      <w:pPr>
        <w:jc w:val="both"/>
        <w:ind w:left="660"/>
        <w:spacing w:after="0" w:line="199" w:lineRule="auto"/>
        <w:rPr>
          <w:sz w:val="20"/>
          <w:szCs w:val="20"/>
          <w:color w:val="auto"/>
        </w:rPr>
      </w:pPr>
      <w:r>
        <w:rPr>
          <w:rFonts w:ascii="Calibri" w:cs="Calibri" w:eastAsia="Calibri" w:hAnsi="Calibri"/>
          <w:sz w:val="20"/>
          <w:szCs w:val="20"/>
          <w:color w:val="auto"/>
        </w:rPr>
        <w:t>The MIP partcipants include the Company’s Executve Leadership Team, including the Chief Executve Ofcer (the “CEO”), other Named Executve Ofcers, plus such other manager and above level persons who are designated for partcipaton.</w:t>
      </w:r>
    </w:p>
    <w:p>
      <w:pPr>
        <w:spacing w:after="0" w:line="188" w:lineRule="exact"/>
        <w:rPr>
          <w:sz w:val="20"/>
          <w:szCs w:val="20"/>
          <w:color w:val="auto"/>
        </w:rPr>
      </w:pPr>
    </w:p>
    <w:p>
      <w:pPr>
        <w:ind w:left="80"/>
        <w:spacing w:after="0"/>
        <w:tabs>
          <w:tab w:leader="none" w:pos="720" w:val="left"/>
        </w:tabs>
        <w:rPr>
          <w:sz w:val="20"/>
          <w:szCs w:val="20"/>
          <w:color w:val="auto"/>
        </w:rPr>
      </w:pPr>
      <w:r>
        <w:rPr>
          <w:rFonts w:ascii="Calibri" w:cs="Calibri" w:eastAsia="Calibri" w:hAnsi="Calibri"/>
          <w:sz w:val="20"/>
          <w:szCs w:val="20"/>
          <w:b w:val="1"/>
          <w:bCs w:val="1"/>
          <w:color w:val="auto"/>
        </w:rPr>
        <w:t>VII.</w:t>
      </w:r>
      <w:r>
        <w:rPr>
          <w:sz w:val="20"/>
          <w:szCs w:val="20"/>
          <w:color w:val="auto"/>
        </w:rPr>
        <w:tab/>
      </w:r>
      <w:r>
        <w:rPr>
          <w:rFonts w:ascii="Calibri" w:cs="Calibri" w:eastAsia="Calibri" w:hAnsi="Calibri"/>
          <w:sz w:val="20"/>
          <w:szCs w:val="20"/>
          <w:b w:val="1"/>
          <w:bCs w:val="1"/>
          <w:color w:val="auto"/>
        </w:rPr>
        <w:t>MIP Method of Calculaton</w:t>
      </w:r>
    </w:p>
    <w:p>
      <w:pPr>
        <w:jc w:val="both"/>
        <w:ind w:left="740"/>
        <w:spacing w:after="0" w:line="194" w:lineRule="auto"/>
        <w:rPr>
          <w:sz w:val="20"/>
          <w:szCs w:val="20"/>
          <w:color w:val="auto"/>
        </w:rPr>
      </w:pPr>
      <w:r>
        <w:rPr>
          <w:rFonts w:ascii="Calibri" w:cs="Calibri" w:eastAsia="Calibri" w:hAnsi="Calibri"/>
          <w:sz w:val="20"/>
          <w:szCs w:val="20"/>
          <w:color w:val="auto"/>
        </w:rPr>
        <w:t>Each partcipant’s incentve will be calculated based on the achievement of Company and individual performance goals established for the Performance Period, to be determined by resoluton of the Board or its delegate. Executve ofcer calculatons will be determined by the Compensaton Commitee. All other partcipants’ calculatons will be determined by Human Resources, subject to approval of the Chief Executve Ofcer, using Company and individual performance objectves established for the Performance Period.</w:t>
      </w:r>
    </w:p>
    <w:p>
      <w:pPr>
        <w:spacing w:after="0" w:line="5" w:lineRule="exact"/>
        <w:rPr>
          <w:sz w:val="20"/>
          <w:szCs w:val="20"/>
          <w:color w:val="auto"/>
        </w:rPr>
      </w:pPr>
    </w:p>
    <w:p>
      <w:pPr>
        <w:jc w:val="both"/>
        <w:ind w:left="740"/>
        <w:spacing w:after="0" w:line="195" w:lineRule="auto"/>
        <w:rPr>
          <w:sz w:val="20"/>
          <w:szCs w:val="20"/>
          <w:color w:val="auto"/>
        </w:rPr>
      </w:pPr>
      <w:r>
        <w:rPr>
          <w:rFonts w:ascii="Calibri" w:cs="Calibri" w:eastAsia="Calibri" w:hAnsi="Calibri"/>
          <w:sz w:val="20"/>
          <w:szCs w:val="20"/>
          <w:color w:val="auto"/>
        </w:rPr>
        <w:t>Following the end of the Performance Period, management will provide documentaton to the Compensaton Commitee confrming the degree of achievement of all performance metrics and goals, including individual performance goals, pertaining to the Performance Period. The Compensaton Commitee will review the documentaton from management, and following its review, the Compensaton Commitee will determine the achievement of such performance measures and goals prior to the approval of the Compensaton Commitee and its subsequent recommendaton to the Board of Directors and payment in</w:t>
      </w:r>
    </w:p>
    <w:p>
      <w:pPr>
        <w:spacing w:after="0" w:line="1" w:lineRule="exact"/>
        <w:rPr>
          <w:sz w:val="20"/>
          <w:szCs w:val="20"/>
          <w:color w:val="auto"/>
        </w:rPr>
      </w:pPr>
    </w:p>
    <w:p>
      <w:pPr>
        <w:jc w:val="both"/>
        <w:ind w:left="740" w:right="20"/>
        <w:spacing w:after="0" w:line="199" w:lineRule="auto"/>
        <w:rPr>
          <w:sz w:val="20"/>
          <w:szCs w:val="20"/>
          <w:color w:val="auto"/>
        </w:rPr>
      </w:pPr>
      <w:r>
        <w:rPr>
          <w:rFonts w:ascii="Calibri" w:cs="Calibri" w:eastAsia="Calibri" w:hAnsi="Calibri"/>
          <w:sz w:val="20"/>
          <w:szCs w:val="20"/>
          <w:color w:val="auto"/>
        </w:rPr>
        <w:t>accordance with such achievement. The Compensaton Commitee may in its sole discreton reduce or eliminate an incentve amount otherwise calculated and/or Bonus Opportunity Amount for executve ofcer partcipants.</w:t>
      </w:r>
    </w:p>
    <w:p>
      <w:pPr>
        <w:spacing w:after="0" w:line="202" w:lineRule="exact"/>
        <w:rPr>
          <w:sz w:val="20"/>
          <w:szCs w:val="20"/>
          <w:color w:val="auto"/>
        </w:rPr>
      </w:pPr>
    </w:p>
    <w:p>
      <w:pPr>
        <w:ind w:left="80"/>
        <w:spacing w:after="0"/>
        <w:tabs>
          <w:tab w:leader="none" w:pos="720" w:val="left"/>
        </w:tabs>
        <w:rPr>
          <w:sz w:val="20"/>
          <w:szCs w:val="20"/>
          <w:color w:val="auto"/>
        </w:rPr>
      </w:pPr>
      <w:r>
        <w:rPr>
          <w:rFonts w:ascii="Calibri" w:cs="Calibri" w:eastAsia="Calibri" w:hAnsi="Calibri"/>
          <w:sz w:val="20"/>
          <w:szCs w:val="20"/>
          <w:b w:val="1"/>
          <w:bCs w:val="1"/>
          <w:color w:val="auto"/>
        </w:rPr>
        <w:t>VIII.</w:t>
      </w:r>
      <w:r>
        <w:rPr>
          <w:sz w:val="20"/>
          <w:szCs w:val="20"/>
          <w:color w:val="auto"/>
        </w:rPr>
        <w:tab/>
      </w:r>
      <w:r>
        <w:rPr>
          <w:rFonts w:ascii="Calibri" w:cs="Calibri" w:eastAsia="Calibri" w:hAnsi="Calibri"/>
          <w:sz w:val="20"/>
          <w:szCs w:val="20"/>
          <w:b w:val="1"/>
          <w:bCs w:val="1"/>
          <w:color w:val="auto"/>
        </w:rPr>
        <w:t>Maximum MIP Payment Amounts</w:t>
      </w:r>
    </w:p>
    <w:p>
      <w:pPr>
        <w:jc w:val="both"/>
        <w:ind w:left="740"/>
        <w:spacing w:after="0" w:line="192" w:lineRule="auto"/>
        <w:rPr>
          <w:sz w:val="20"/>
          <w:szCs w:val="20"/>
          <w:color w:val="auto"/>
        </w:rPr>
      </w:pPr>
      <w:r>
        <w:rPr>
          <w:rFonts w:ascii="Calibri" w:cs="Calibri" w:eastAsia="Calibri" w:hAnsi="Calibri"/>
          <w:sz w:val="20"/>
          <w:szCs w:val="20"/>
          <w:color w:val="auto"/>
        </w:rPr>
        <w:t>The maximum potental amount to be earned by a partcipant is two (2) tmes the partcipant’s annual base salary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 xml:space="preserve">Page </w:t>
      </w:r>
      <w:r>
        <w:rPr>
          <w:rFonts w:ascii="Calibri" w:cs="Calibri" w:eastAsia="Calibri" w:hAnsi="Calibri"/>
          <w:sz w:val="18"/>
          <w:szCs w:val="18"/>
          <w:b w:val="1"/>
          <w:bCs w:val="1"/>
          <w:color w:val="auto"/>
        </w:rPr>
        <w:t>3</w:t>
      </w:r>
      <w:r>
        <w:rPr>
          <w:rFonts w:ascii="Calibri" w:cs="Calibri" w:eastAsia="Calibri" w:hAnsi="Calibri"/>
          <w:sz w:val="18"/>
          <w:szCs w:val="18"/>
          <w:color w:val="auto"/>
        </w:rPr>
        <w:t xml:space="preserve"> of </w:t>
      </w:r>
      <w:r>
        <w:rPr>
          <w:rFonts w:ascii="Calibri" w:cs="Calibri" w:eastAsia="Calibri" w:hAnsi="Calibri"/>
          <w:sz w:val="18"/>
          <w:szCs w:val="18"/>
          <w:b w:val="1"/>
          <w:bCs w:val="1"/>
          <w:color w:val="auto"/>
        </w:rPr>
        <w:t>#NUM_PAGES#</w:t>
      </w:r>
    </w:p>
    <w:p>
      <w:pPr>
        <w:sectPr>
          <w:pgSz w:w="11900" w:h="16838" w:orient="portrait"/>
          <w:cols w:equalWidth="0" w:num="1">
            <w:col w:w="11320"/>
          </w:cols>
          <w:pgMar w:left="240" w:top="330" w:right="339" w:bottom="1440" w:gutter="0" w:footer="0" w:header="0"/>
        </w:sectPr>
      </w:pPr>
    </w:p>
    <w:bookmarkStart w:id="99" w:name="page100"/>
    <w:bookmarkEnd w:id="99"/>
    <w:p>
      <w:pPr>
        <w:jc w:val="center"/>
        <w:spacing w:after="0"/>
        <w:rPr>
          <w:sz w:val="20"/>
          <w:szCs w:val="20"/>
          <w:color w:val="auto"/>
        </w:rPr>
      </w:pPr>
      <w:r>
        <w:rPr>
          <w:rFonts w:ascii="Calibri" w:cs="Calibri" w:eastAsia="Calibri" w:hAnsi="Calibri"/>
          <w:sz w:val="21"/>
          <w:szCs w:val="21"/>
          <w:b w:val="1"/>
          <w:bCs w:val="1"/>
          <w:color w:val="auto"/>
        </w:rPr>
        <w:t>MiMedx MIP</w:t>
      </w:r>
    </w:p>
    <w:p>
      <w:pPr>
        <w:sectPr>
          <w:pgSz w:w="11900" w:h="16838" w:orient="portrait"/>
          <w:cols w:equalWidth="0" w:num="1">
            <w:col w:w="11240"/>
          </w:cols>
          <w:pgMar w:left="320" w:top="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4"/>
        <w:spacing w:after="0" w:line="208" w:lineRule="auto"/>
        <w:rPr>
          <w:sz w:val="20"/>
          <w:szCs w:val="20"/>
          <w:color w:val="auto"/>
        </w:rPr>
      </w:pPr>
      <w:r>
        <w:rPr>
          <w:rFonts w:ascii="Calibri" w:cs="Calibri" w:eastAsia="Calibri" w:hAnsi="Calibri"/>
          <w:sz w:val="20"/>
          <w:szCs w:val="20"/>
          <w:b w:val="1"/>
          <w:bCs w:val="1"/>
          <w:color w:val="auto"/>
        </w:rPr>
        <w:t xml:space="preserve">Payment of Earned MIP Amounts </w:t>
      </w:r>
      <w:r>
        <w:rPr>
          <w:rFonts w:ascii="Calibri" w:cs="Calibri" w:eastAsia="Calibri" w:hAnsi="Calibri"/>
          <w:sz w:val="20"/>
          <w:szCs w:val="20"/>
          <w:color w:val="auto"/>
        </w:rPr>
        <w:t>Amounts earned by partcipants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alibri" w:cs="Calibri" w:eastAsia="Calibri" w:hAnsi="Calibri"/>
          <w:sz w:val="20"/>
          <w:szCs w:val="20"/>
          <w:color w:val="auto"/>
        </w:rPr>
        <w:t>upon satsfacton of the performance goals for a performance period and employment</w:t>
      </w:r>
    </w:p>
    <w:p>
      <w:pPr>
        <w:spacing w:after="0" w:line="1" w:lineRule="exact"/>
        <w:rPr>
          <w:sz w:val="20"/>
          <w:szCs w:val="20"/>
          <w:color w:val="auto"/>
        </w:rPr>
      </w:pPr>
    </w:p>
    <w:p>
      <w:pPr>
        <w:sectPr>
          <w:pgSz w:w="11900" w:h="16838" w:orient="portrait"/>
          <w:cols w:equalWidth="0" w:num="3">
            <w:col w:w="220" w:space="440"/>
            <w:col w:w="2800" w:space="100"/>
            <w:col w:w="7680"/>
          </w:cols>
          <w:pgMar w:left="320" w:top="340" w:right="339" w:bottom="1440" w:gutter="0" w:footer="0" w:header="0"/>
          <w:type w:val="continuous"/>
        </w:sectPr>
      </w:pPr>
    </w:p>
    <w:p>
      <w:pPr>
        <w:ind w:left="660" w:right="20"/>
        <w:spacing w:after="0" w:line="199" w:lineRule="auto"/>
        <w:rPr>
          <w:sz w:val="20"/>
          <w:szCs w:val="20"/>
          <w:color w:val="auto"/>
        </w:rPr>
      </w:pPr>
      <w:r>
        <w:rPr>
          <w:rFonts w:ascii="Calibri" w:cs="Calibri" w:eastAsia="Calibri" w:hAnsi="Calibri"/>
          <w:sz w:val="20"/>
          <w:szCs w:val="20"/>
          <w:color w:val="auto"/>
        </w:rPr>
        <w:t>requirement, as approved pursuant to the terms herein, will be paid on or before March 15</w:t>
      </w:r>
      <w:r>
        <w:rPr>
          <w:rFonts w:ascii="Calibri" w:cs="Calibri" w:eastAsia="Calibri" w:hAnsi="Calibri"/>
          <w:sz w:val="12"/>
          <w:szCs w:val="12"/>
          <w:color w:val="auto"/>
        </w:rPr>
        <w:t>th</w:t>
      </w:r>
      <w:r>
        <w:rPr>
          <w:rFonts w:ascii="Calibri" w:cs="Calibri" w:eastAsia="Calibri" w:hAnsi="Calibri"/>
          <w:sz w:val="20"/>
          <w:szCs w:val="20"/>
          <w:color w:val="auto"/>
        </w:rPr>
        <w:t xml:space="preserve"> of the year following the end of such Performance Period.</w:t>
      </w:r>
    </w:p>
    <w:p>
      <w:pPr>
        <w:sectPr>
          <w:pgSz w:w="11900" w:h="16838" w:orient="portrait"/>
          <w:cols w:equalWidth="0" w:num="1">
            <w:col w:w="11240"/>
          </w:cols>
          <w:pgMar w:left="320" w:top="340" w:right="339" w:bottom="1440" w:gutter="0" w:footer="0" w:header="0"/>
          <w:type w:val="continuous"/>
        </w:sectPr>
      </w:pPr>
    </w:p>
    <w:p>
      <w:pPr>
        <w:spacing w:after="0" w:line="188" w:lineRule="exact"/>
        <w:rPr>
          <w:sz w:val="20"/>
          <w:szCs w:val="20"/>
          <w:color w:val="auto"/>
        </w:rPr>
      </w:pPr>
    </w:p>
    <w:p>
      <w:pPr>
        <w:ind w:left="660" w:hanging="652"/>
        <w:spacing w:after="0"/>
        <w:tabs>
          <w:tab w:leader="none" w:pos="660" w:val="left"/>
        </w:tabs>
        <w:numPr>
          <w:ilvl w:val="0"/>
          <w:numId w:val="4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Exempton from 409A</w:t>
      </w:r>
    </w:p>
    <w:p>
      <w:pPr>
        <w:jc w:val="both"/>
        <w:ind w:left="660"/>
        <w:spacing w:after="0" w:line="195" w:lineRule="auto"/>
        <w:rPr>
          <w:rFonts w:ascii="Calibri" w:cs="Calibri" w:eastAsia="Calibri" w:hAnsi="Calibri"/>
          <w:sz w:val="20"/>
          <w:szCs w:val="20"/>
          <w:b w:val="1"/>
          <w:bCs w:val="1"/>
          <w:color w:val="auto"/>
        </w:rPr>
      </w:pPr>
      <w:r>
        <w:rPr>
          <w:rFonts w:ascii="Calibri" w:cs="Calibri" w:eastAsia="Calibri" w:hAnsi="Calibri"/>
          <w:sz w:val="20"/>
          <w:szCs w:val="20"/>
          <w:color w:val="auto"/>
        </w:rPr>
        <w:t>This Plan is intended to be exempt from the applicable requirements of Secton 409A of the Code and shall be construed and interpreted in accordance therewith. The Commitee may at any tme amend, suspend or terminate this Plan, or any payments to be made hereunder, as necessary to be exempt from Secton 409A of the Code. Notwithstanding the preceding, MiMedx shall not be liable to any partcipant or any other person if the Internal Revenue Service or any court or other authority having jurisdicton over such mater determines for any reason that any amount to be paid under this Plan is subject to taxes, penaltes or interest as a result of failing to be exempt from, or comply with, Secton 409A of the Code. The incentve amounts under the MIP are intended to satsfy the exempton from Secton 409A of the Code for “short-term deferrals.”</w:t>
      </w:r>
    </w:p>
    <w:p>
      <w:pPr>
        <w:spacing w:after="0" w:line="190"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XI.</w:t>
      </w:r>
      <w:r>
        <w:rPr>
          <w:sz w:val="20"/>
          <w:szCs w:val="20"/>
          <w:color w:val="auto"/>
        </w:rPr>
        <w:tab/>
      </w:r>
      <w:r>
        <w:rPr>
          <w:rFonts w:ascii="Calibri" w:cs="Calibri" w:eastAsia="Calibri" w:hAnsi="Calibri"/>
          <w:sz w:val="20"/>
          <w:szCs w:val="20"/>
          <w:b w:val="1"/>
          <w:bCs w:val="1"/>
          <w:color w:val="auto"/>
        </w:rPr>
        <w:t>Miscellaneous</w:t>
      </w:r>
    </w:p>
    <w:p>
      <w:pPr>
        <w:jc w:val="both"/>
        <w:ind w:left="660"/>
        <w:spacing w:after="0" w:line="195" w:lineRule="auto"/>
        <w:rPr>
          <w:sz w:val="20"/>
          <w:szCs w:val="20"/>
          <w:color w:val="auto"/>
        </w:rPr>
      </w:pPr>
      <w:r>
        <w:rPr>
          <w:rFonts w:ascii="Calibri" w:cs="Calibri" w:eastAsia="Calibri" w:hAnsi="Calibri"/>
          <w:sz w:val="20"/>
          <w:szCs w:val="20"/>
          <w:color w:val="auto"/>
        </w:rPr>
        <w:t>Nothing in the MIP shall be deemed to consttute a contract for the contnuance of employment of the partcipants or bring about a change of status of employment. Neither the acton of the Company in establishing this MIP, nor any provisions hereof, nor any acton taken by the Company shall be construed as giving any employee the right to be retained in the employ of the Company for any period of tme, or to be employed in any partcular positon, or at any partcular rate of remuneraton.</w:t>
      </w:r>
    </w:p>
    <w:p>
      <w:pPr>
        <w:spacing w:after="0" w:line="214" w:lineRule="exact"/>
        <w:rPr>
          <w:sz w:val="20"/>
          <w:szCs w:val="20"/>
          <w:color w:val="auto"/>
        </w:rPr>
      </w:pPr>
    </w:p>
    <w:p>
      <w:pPr>
        <w:jc w:val="both"/>
        <w:ind w:left="660"/>
        <w:spacing w:after="0" w:line="203" w:lineRule="auto"/>
        <w:rPr>
          <w:sz w:val="20"/>
          <w:szCs w:val="20"/>
          <w:color w:val="auto"/>
        </w:rPr>
      </w:pPr>
      <w:r>
        <w:rPr>
          <w:rFonts w:ascii="Calibri" w:cs="Calibri" w:eastAsia="Calibri" w:hAnsi="Calibri"/>
          <w:sz w:val="20"/>
          <w:szCs w:val="20"/>
          <w:color w:val="auto"/>
        </w:rPr>
        <w:t>Further, nothing contained herein shall in any manner inhibit the day-to- day conduct of the business of the Company and its subsidiaries, which shall remain within the sole discreton of management of the Company; nor shall any requirements imposed by management or resultng from the conduct of the business of the Company consttute an excuse for, or waiver from, compliance with any goal established under the MIP.</w:t>
      </w:r>
    </w:p>
    <w:p>
      <w:pPr>
        <w:spacing w:after="0" w:line="200" w:lineRule="exact"/>
        <w:rPr>
          <w:sz w:val="20"/>
          <w:szCs w:val="20"/>
          <w:color w:val="auto"/>
        </w:rPr>
      </w:pPr>
    </w:p>
    <w:p>
      <w:pPr>
        <w:jc w:val="both"/>
        <w:ind w:left="660"/>
        <w:spacing w:after="0" w:line="209" w:lineRule="auto"/>
        <w:rPr>
          <w:sz w:val="20"/>
          <w:szCs w:val="20"/>
          <w:color w:val="auto"/>
        </w:rPr>
      </w:pPr>
      <w:r>
        <w:rPr>
          <w:rFonts w:ascii="Calibri" w:cs="Calibri" w:eastAsia="Calibri" w:hAnsi="Calibri"/>
          <w:sz w:val="20"/>
          <w:szCs w:val="20"/>
          <w:color w:val="auto"/>
        </w:rPr>
        <w:t>No persons shall have any right, vested or contngent, or any claim whatsoever, to be granted any award or receive any payment hereunder, except payments of awards determined and payable in accordance with the specifc provisions hereof or pursuant to a specifc and properly approved agreement regarding the grantng or payment of an award to a designated individual.</w:t>
      </w:r>
    </w:p>
    <w:p>
      <w:pPr>
        <w:spacing w:after="0" w:line="199" w:lineRule="exact"/>
        <w:rPr>
          <w:sz w:val="20"/>
          <w:szCs w:val="20"/>
          <w:color w:val="auto"/>
        </w:rPr>
      </w:pPr>
    </w:p>
    <w:p>
      <w:pPr>
        <w:jc w:val="both"/>
        <w:ind w:left="660"/>
        <w:spacing w:after="0" w:line="209" w:lineRule="auto"/>
        <w:rPr>
          <w:sz w:val="20"/>
          <w:szCs w:val="20"/>
          <w:color w:val="auto"/>
        </w:rPr>
      </w:pPr>
      <w:r>
        <w:rPr>
          <w:rFonts w:ascii="Calibri" w:cs="Calibri" w:eastAsia="Calibri" w:hAnsi="Calibri"/>
          <w:sz w:val="20"/>
          <w:szCs w:val="20"/>
          <w:color w:val="auto"/>
        </w:rPr>
        <w:t>Neither the MIP, nor any payments pursuant to the MIP, shall afect, or have any applicaton to, any of the Company’s life insurance, disability insurance, PTO, medical or other related beneft plans, whether contributory or non-contributory on the part of the employee except as may be specifcally provided by the terms of the applicable beneft plan.</w:t>
      </w:r>
    </w:p>
    <w:p>
      <w:pPr>
        <w:spacing w:after="0" w:line="199" w:lineRule="exact"/>
        <w:rPr>
          <w:sz w:val="20"/>
          <w:szCs w:val="20"/>
          <w:color w:val="auto"/>
        </w:rPr>
      </w:pPr>
    </w:p>
    <w:p>
      <w:pPr>
        <w:jc w:val="both"/>
        <w:ind w:left="660"/>
        <w:spacing w:after="0" w:line="203" w:lineRule="auto"/>
        <w:rPr>
          <w:sz w:val="20"/>
          <w:szCs w:val="20"/>
          <w:color w:val="auto"/>
        </w:rPr>
      </w:pPr>
      <w:r>
        <w:rPr>
          <w:rFonts w:ascii="Calibri" w:cs="Calibri" w:eastAsia="Calibri" w:hAnsi="Calibri"/>
          <w:sz w:val="20"/>
          <w:szCs w:val="20"/>
          <w:color w:val="auto"/>
        </w:rPr>
        <w:t>All payments pursuant to the MIP are subject to applicable withholdings. To the extent required by law, the Company shall withhold from all payments made hereunder any amount required to be withheld by Federal and state or local government or other applicable laws. Each partcipant shall be responsible for satsfying in cash or cash equivalent acceptable to the Commitee any income and employment tax withholdings applicable to any payment under the MIP or partcipaton in the MIP.</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MiMedx reserves the right to apply a partcipant’s incentve payment against any outstanding obligatons owed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 xml:space="preserve">Page </w:t>
      </w:r>
      <w:r>
        <w:rPr>
          <w:rFonts w:ascii="Calibri" w:cs="Calibri" w:eastAsia="Calibri" w:hAnsi="Calibri"/>
          <w:sz w:val="18"/>
          <w:szCs w:val="18"/>
          <w:b w:val="1"/>
          <w:bCs w:val="1"/>
          <w:color w:val="auto"/>
        </w:rPr>
        <w:t>4</w:t>
      </w:r>
      <w:r>
        <w:rPr>
          <w:rFonts w:ascii="Calibri" w:cs="Calibri" w:eastAsia="Calibri" w:hAnsi="Calibri"/>
          <w:sz w:val="18"/>
          <w:szCs w:val="18"/>
          <w:color w:val="auto"/>
        </w:rPr>
        <w:t xml:space="preserve"> of </w:t>
      </w:r>
      <w:r>
        <w:rPr>
          <w:rFonts w:ascii="Calibri" w:cs="Calibri" w:eastAsia="Calibri" w:hAnsi="Calibri"/>
          <w:sz w:val="18"/>
          <w:szCs w:val="18"/>
          <w:b w:val="1"/>
          <w:bCs w:val="1"/>
          <w:color w:val="auto"/>
        </w:rPr>
        <w:t>#NUM_PAGES#</w:t>
      </w:r>
    </w:p>
    <w:p>
      <w:pPr>
        <w:sectPr>
          <w:pgSz w:w="11900" w:h="16838" w:orient="portrait"/>
          <w:cols w:equalWidth="0" w:num="1">
            <w:col w:w="11240"/>
          </w:cols>
          <w:pgMar w:left="320" w:top="340" w:right="339" w:bottom="1440" w:gutter="0" w:footer="0" w:header="0"/>
          <w:type w:val="continuous"/>
        </w:sectPr>
      </w:pPr>
    </w:p>
    <w:bookmarkStart w:id="100" w:name="page101"/>
    <w:bookmarkEnd w:id="100"/>
    <w:p>
      <w:pPr>
        <w:jc w:val="center"/>
        <w:spacing w:after="0"/>
        <w:rPr>
          <w:sz w:val="20"/>
          <w:szCs w:val="20"/>
          <w:color w:val="auto"/>
        </w:rPr>
      </w:pPr>
      <w:r>
        <w:rPr>
          <w:rFonts w:ascii="Calibri" w:cs="Calibri" w:eastAsia="Calibri" w:hAnsi="Calibri"/>
          <w:sz w:val="22"/>
          <w:szCs w:val="22"/>
          <w:b w:val="1"/>
          <w:bCs w:val="1"/>
          <w:color w:val="auto"/>
        </w:rPr>
        <w:t>MiMedx MIP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XII. Recoupment</w:t>
      </w:r>
    </w:p>
    <w:p>
      <w:pPr>
        <w:spacing w:after="0" w:line="198" w:lineRule="exact"/>
        <w:rPr>
          <w:sz w:val="20"/>
          <w:szCs w:val="20"/>
          <w:color w:val="auto"/>
        </w:rPr>
      </w:pPr>
    </w:p>
    <w:p>
      <w:pPr>
        <w:jc w:val="both"/>
        <w:ind w:left="660"/>
        <w:spacing w:after="0" w:line="198" w:lineRule="auto"/>
        <w:rPr>
          <w:sz w:val="20"/>
          <w:szCs w:val="20"/>
          <w:color w:val="auto"/>
        </w:rPr>
      </w:pPr>
      <w:r>
        <w:rPr>
          <w:rFonts w:ascii="Calibri" w:cs="Calibri" w:eastAsia="Calibri" w:hAnsi="Calibri"/>
          <w:sz w:val="20"/>
          <w:szCs w:val="20"/>
          <w:color w:val="auto"/>
        </w:rPr>
        <w:t>Notwithstanding any other provision of this MIP to the contrary, any Bonus Opportunity Amount or incentve payment received by the partcipant and/or other cash paid hereunder, shall be subject to potental cancellaton, recoupment, rescission, payback or other acton in accordance with the terms of the Company’s Compensaton Recoupment Policy or similar policies, as it or they may be established or amended from tme to tme. By partcipaton in this MIP and acceptance of any incentve payment amount, the partcipant agrees and consents to the Company’s applicaton, implementaton and enforcement of (a) any Compensaton Recoupment Policy or similar policy established by the Company or any afliate that may apply to the partcipant and (b) any provision of applicable law relatng to cancellaton, rescission, payback or recoupment of compensaton, and expressly agrees that the Company may take such actons as are necessary to efectuate any such Compensaton Recoupment Policy, similar policy (as applicable to the partcipant) or applicable law without further consent or acton being required by the partcipant. To the extent that the terms of this MIP and any Compensaton Recoupment Policy or similar policy or law confict, then the terms of such policy or law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 xml:space="preserve">Page </w:t>
      </w:r>
      <w:r>
        <w:rPr>
          <w:rFonts w:ascii="Calibri" w:cs="Calibri" w:eastAsia="Calibri" w:hAnsi="Calibri"/>
          <w:sz w:val="18"/>
          <w:szCs w:val="18"/>
          <w:b w:val="1"/>
          <w:bCs w:val="1"/>
          <w:color w:val="auto"/>
        </w:rPr>
        <w:t>5</w:t>
      </w:r>
      <w:r>
        <w:rPr>
          <w:rFonts w:ascii="Calibri" w:cs="Calibri" w:eastAsia="Calibri" w:hAnsi="Calibri"/>
          <w:sz w:val="18"/>
          <w:szCs w:val="18"/>
          <w:color w:val="auto"/>
        </w:rPr>
        <w:t xml:space="preserve"> of </w:t>
      </w:r>
      <w:r>
        <w:rPr>
          <w:rFonts w:ascii="Calibri" w:cs="Calibri" w:eastAsia="Calibri" w:hAnsi="Calibri"/>
          <w:sz w:val="18"/>
          <w:szCs w:val="18"/>
          <w:b w:val="1"/>
          <w:bCs w:val="1"/>
          <w:color w:val="auto"/>
        </w:rPr>
        <w:t>#NUM_PAGES#</w:t>
      </w:r>
    </w:p>
    <w:p>
      <w:pPr>
        <w:sectPr>
          <w:pgSz w:w="11900" w:h="16838" w:orient="portrait"/>
          <w:cols w:equalWidth="0" w:num="1">
            <w:col w:w="11240"/>
          </w:cols>
          <w:pgMar w:left="320" w:top="330" w:right="339" w:bottom="1440" w:gutter="0" w:footer="0" w:header="0"/>
        </w:sectPr>
      </w:pPr>
    </w:p>
    <w:bookmarkStart w:id="101" w:name="page102"/>
    <w:bookmarkEnd w:id="101"/>
    <w:p>
      <w:pPr>
        <w:ind w:left="4380"/>
        <w:spacing w:after="0"/>
        <w:rPr>
          <w:sz w:val="20"/>
          <w:szCs w:val="20"/>
          <w:color w:val="auto"/>
        </w:rPr>
      </w:pPr>
      <w:r>
        <w:rPr>
          <w:rFonts w:ascii="Calibri" w:cs="Calibri" w:eastAsia="Calibri" w:hAnsi="Calibri"/>
          <w:sz w:val="22"/>
          <w:szCs w:val="22"/>
          <w:b w:val="1"/>
          <w:bCs w:val="1"/>
          <w:color w:val="auto"/>
        </w:rPr>
        <w:t>MiMedx MIP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0"/>
        <w:spacing w:after="0"/>
        <w:rPr>
          <w:sz w:val="20"/>
          <w:szCs w:val="20"/>
          <w:color w:val="auto"/>
        </w:rPr>
      </w:pPr>
      <w:r>
        <w:rPr>
          <w:rFonts w:ascii="Calibri" w:cs="Calibri" w:eastAsia="Calibri" w:hAnsi="Calibri"/>
          <w:sz w:val="20"/>
          <w:szCs w:val="20"/>
          <w:b w:val="1"/>
          <w:bCs w:val="1"/>
          <w:u w:val="single" w:color="auto"/>
          <w:color w:val="auto"/>
        </w:rPr>
        <w:t>Exhibit A</w:t>
      </w:r>
    </w:p>
    <w:p>
      <w:pPr>
        <w:spacing w:after="0" w:line="193" w:lineRule="auto"/>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 xml:space="preserve">Page </w:t>
      </w:r>
      <w:r>
        <w:rPr>
          <w:rFonts w:ascii="Calibri" w:cs="Calibri" w:eastAsia="Calibri" w:hAnsi="Calibri"/>
          <w:sz w:val="18"/>
          <w:szCs w:val="18"/>
          <w:b w:val="1"/>
          <w:bCs w:val="1"/>
          <w:color w:val="auto"/>
        </w:rPr>
        <w:t>6</w:t>
      </w:r>
      <w:r>
        <w:rPr>
          <w:rFonts w:ascii="Calibri" w:cs="Calibri" w:eastAsia="Calibri" w:hAnsi="Calibri"/>
          <w:sz w:val="18"/>
          <w:szCs w:val="18"/>
          <w:color w:val="auto"/>
        </w:rPr>
        <w:t xml:space="preserve"> of </w:t>
      </w:r>
      <w:r>
        <w:rPr>
          <w:rFonts w:ascii="Calibri" w:cs="Calibri" w:eastAsia="Calibri" w:hAnsi="Calibri"/>
          <w:sz w:val="18"/>
          <w:szCs w:val="18"/>
          <w:b w:val="1"/>
          <w:bCs w:val="1"/>
          <w:color w:val="auto"/>
        </w:rPr>
        <w:t>#NUM_PAGES#</w:t>
      </w:r>
    </w:p>
    <w:p>
      <w:pPr>
        <w:sectPr>
          <w:pgSz w:w="11900" w:h="16838" w:orient="portrait"/>
          <w:cols w:equalWidth="0" w:num="1">
            <w:col w:w="10580"/>
          </w:cols>
          <w:pgMar w:left="980" w:top="33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21.1</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6560" w:type="dxa"/>
            <w:vAlign w:val="bottom"/>
            <w:gridSpan w:val="2"/>
          </w:tcPr>
          <w:p>
            <w:pPr>
              <w:jc w:val="center"/>
              <w:ind w:right="2690"/>
              <w:spacing w:after="0"/>
              <w:rPr>
                <w:sz w:val="20"/>
                <w:szCs w:val="20"/>
                <w:color w:val="auto"/>
              </w:rPr>
            </w:pPr>
            <w:r>
              <w:rPr>
                <w:rFonts w:ascii="Times New Roman" w:cs="Times New Roman" w:eastAsia="Times New Roman" w:hAnsi="Times New Roman"/>
                <w:sz w:val="18"/>
                <w:szCs w:val="18"/>
                <w:color w:val="auto"/>
                <w:w w:val="99"/>
              </w:rPr>
              <w:t>MiMedx Group, Inc.</w:t>
            </w:r>
          </w:p>
        </w:tc>
      </w:tr>
      <w:tr>
        <w:trPr>
          <w:trHeight w:val="297"/>
        </w:trPr>
        <w:tc>
          <w:tcPr>
            <w:tcW w:w="3720" w:type="dxa"/>
            <w:vAlign w:val="bottom"/>
          </w:tcPr>
          <w:p>
            <w:pPr>
              <w:spacing w:after="0"/>
              <w:rPr>
                <w:sz w:val="24"/>
                <w:szCs w:val="24"/>
                <w:color w:val="auto"/>
              </w:rPr>
            </w:pPr>
          </w:p>
        </w:tc>
        <w:tc>
          <w:tcPr>
            <w:tcW w:w="6560" w:type="dxa"/>
            <w:vAlign w:val="bottom"/>
            <w:gridSpan w:val="2"/>
          </w:tcPr>
          <w:p>
            <w:pPr>
              <w:jc w:val="center"/>
              <w:ind w:right="2670"/>
              <w:spacing w:after="0"/>
              <w:rPr>
                <w:sz w:val="20"/>
                <w:szCs w:val="20"/>
                <w:color w:val="auto"/>
              </w:rPr>
            </w:pPr>
            <w:r>
              <w:rPr>
                <w:rFonts w:ascii="Times New Roman" w:cs="Times New Roman" w:eastAsia="Times New Roman" w:hAnsi="Times New Roman"/>
                <w:sz w:val="18"/>
                <w:szCs w:val="18"/>
                <w:color w:val="auto"/>
                <w:w w:val="99"/>
              </w:rPr>
              <w:t>List of Subsidiaries</w:t>
            </w:r>
          </w:p>
        </w:tc>
      </w:tr>
      <w:tr>
        <w:trPr>
          <w:trHeight w:val="229"/>
        </w:trPr>
        <w:tc>
          <w:tcPr>
            <w:tcW w:w="3720" w:type="dxa"/>
            <w:vAlign w:val="bottom"/>
            <w:tcBorders>
              <w:bottom w:val="single" w:sz="8" w:color="00000A"/>
            </w:tcBorders>
          </w:tcPr>
          <w:p>
            <w:pPr>
              <w:spacing w:after="0"/>
              <w:rPr>
                <w:sz w:val="19"/>
                <w:szCs w:val="19"/>
                <w:color w:val="auto"/>
              </w:rPr>
            </w:pPr>
          </w:p>
        </w:tc>
        <w:tc>
          <w:tcPr>
            <w:tcW w:w="1420" w:type="dxa"/>
            <w:vAlign w:val="bottom"/>
            <w:tcBorders>
              <w:bottom w:val="single" w:sz="8" w:color="00000A"/>
            </w:tcBorders>
          </w:tcPr>
          <w:p>
            <w:pPr>
              <w:spacing w:after="0"/>
              <w:rPr>
                <w:sz w:val="19"/>
                <w:szCs w:val="19"/>
                <w:color w:val="auto"/>
              </w:rPr>
            </w:pPr>
          </w:p>
        </w:tc>
        <w:tc>
          <w:tcPr>
            <w:tcW w:w="5140" w:type="dxa"/>
            <w:vAlign w:val="bottom"/>
            <w:tcBorders>
              <w:bottom w:val="single" w:sz="8" w:color="00000A"/>
            </w:tcBorders>
          </w:tcPr>
          <w:p>
            <w:pPr>
              <w:spacing w:after="0"/>
              <w:rPr>
                <w:sz w:val="19"/>
                <w:szCs w:val="19"/>
                <w:color w:val="auto"/>
              </w:rPr>
            </w:pPr>
          </w:p>
        </w:tc>
      </w:tr>
      <w:tr>
        <w:trPr>
          <w:trHeight w:val="223"/>
        </w:trPr>
        <w:tc>
          <w:tcPr>
            <w:tcW w:w="372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420" w:type="dxa"/>
            <w:vAlign w:val="bottom"/>
            <w:tcBorders>
              <w:bottom w:val="single" w:sz="8" w:color="00000A"/>
              <w:right w:val="single" w:sz="8" w:color="00000A"/>
            </w:tcBorders>
          </w:tcPr>
          <w:p>
            <w:pPr>
              <w:spacing w:after="0"/>
              <w:rPr>
                <w:sz w:val="19"/>
                <w:szCs w:val="19"/>
                <w:color w:val="auto"/>
              </w:rPr>
            </w:pPr>
          </w:p>
        </w:tc>
        <w:tc>
          <w:tcPr>
            <w:tcW w:w="514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23"/>
        </w:trPr>
        <w:tc>
          <w:tcPr>
            <w:tcW w:w="372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MiMedx Tissue Services, LLC</w:t>
            </w:r>
          </w:p>
        </w:tc>
        <w:tc>
          <w:tcPr>
            <w:tcW w:w="1420" w:type="dxa"/>
            <w:vAlign w:val="bottom"/>
            <w:tcBorders>
              <w:bottom w:val="single" w:sz="8" w:color="00000A"/>
              <w:right w:val="single" w:sz="8" w:color="00000A"/>
            </w:tcBorders>
          </w:tcPr>
          <w:p>
            <w:pPr>
              <w:spacing w:after="0"/>
              <w:rPr>
                <w:sz w:val="19"/>
                <w:szCs w:val="19"/>
                <w:color w:val="auto"/>
              </w:rPr>
            </w:pPr>
          </w:p>
        </w:tc>
        <w:tc>
          <w:tcPr>
            <w:tcW w:w="514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Georgia</w:t>
            </w:r>
          </w:p>
        </w:tc>
      </w:tr>
      <w:tr>
        <w:trPr>
          <w:trHeight w:val="223"/>
        </w:trPr>
        <w:tc>
          <w:tcPr>
            <w:tcW w:w="3720" w:type="dxa"/>
            <w:vAlign w:val="bottom"/>
            <w:tcBorders>
              <w:left w:val="single" w:sz="8" w:color="00000A"/>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MiMedx Processing Services, LLC</w:t>
            </w:r>
          </w:p>
        </w:tc>
        <w:tc>
          <w:tcPr>
            <w:tcW w:w="1420" w:type="dxa"/>
            <w:vAlign w:val="bottom"/>
            <w:tcBorders>
              <w:bottom w:val="single" w:sz="8" w:color="auto"/>
              <w:right w:val="single" w:sz="8" w:color="00000A"/>
            </w:tcBorders>
          </w:tcPr>
          <w:p>
            <w:pPr>
              <w:spacing w:after="0"/>
              <w:rPr>
                <w:sz w:val="19"/>
                <w:szCs w:val="19"/>
                <w:color w:val="auto"/>
              </w:rPr>
            </w:pPr>
          </w:p>
        </w:tc>
        <w:tc>
          <w:tcPr>
            <w:tcW w:w="5140" w:type="dxa"/>
            <w:vAlign w:val="bottom"/>
            <w:tcBorders>
              <w:bottom w:val="single" w:sz="8" w:color="auto"/>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23"/>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MiMedx Supply, LLC</w:t>
            </w:r>
          </w:p>
        </w:tc>
        <w:tc>
          <w:tcPr>
            <w:tcW w:w="142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7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MiMedx Japan, Godo Kaisha</w:t>
            </w:r>
          </w:p>
        </w:tc>
        <w:tc>
          <w:tcPr>
            <w:tcW w:w="142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r>
    </w:tbl>
    <w:p>
      <w:pPr>
        <w:sectPr>
          <w:pgSz w:w="11900" w:h="16838" w:orient="portrait"/>
          <w:cols w:equalWidth="0" w:num="1">
            <w:col w:w="10260"/>
          </w:cols>
          <w:pgMar w:left="320" w:top="927" w:right="131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4665980</wp:posOffset>
            </wp:positionH>
            <wp:positionV relativeFrom="page">
              <wp:posOffset>697230</wp:posOffset>
            </wp:positionV>
            <wp:extent cx="1276985" cy="11144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276985" cy="111442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1871980</wp:posOffset>
            </wp:positionV>
            <wp:extent cx="1680210" cy="325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6802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44" w:lineRule="exact"/>
        <w:rPr>
          <w:sz w:val="20"/>
          <w:szCs w:val="20"/>
          <w:color w:val="auto"/>
        </w:rPr>
      </w:pPr>
    </w:p>
    <w:p>
      <w:pPr>
        <w:ind w:left="100"/>
        <w:spacing w:after="0" w:line="271" w:lineRule="auto"/>
        <w:rPr>
          <w:sz w:val="20"/>
          <w:szCs w:val="20"/>
          <w:color w:val="auto"/>
        </w:rPr>
      </w:pPr>
      <w:r>
        <w:rPr>
          <w:rFonts w:ascii="Arial" w:cs="Arial" w:eastAsia="Arial" w:hAnsi="Arial"/>
          <w:sz w:val="18"/>
          <w:szCs w:val="18"/>
          <w:color w:val="auto"/>
        </w:rPr>
        <w:t>We consent to the incorporation by reference in Registration Statement No. 333-259103 on Form S-3 and Registration Statement Nos. 333-251434, 333-211900, 333-199841, 333-189784, 333-183991, 333-153255, 333-273412, 333-273413 and 333-270394 on Form S-8 of our reports dated February 28, 2024, relating to the financial statements of MiMedx Group, Inc. and the effectiveness of MiMedx Group, Inc.’s internal control over financial reporting appearing in this Annual Report on Form 10-K for the year ended December 31, 2023.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Atlanta, Georgia February 28, 2024</w:t>
      </w:r>
    </w:p>
    <w:p>
      <w:pPr>
        <w:sectPr>
          <w:pgSz w:w="11900" w:h="16838" w:orient="portrait"/>
          <w:cols w:equalWidth="0" w:num="1">
            <w:col w:w="10880"/>
          </w:cols>
          <w:pgMar w:left="320" w:top="1440" w:right="69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5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H. Capper, certify that:</w:t>
      </w:r>
    </w:p>
    <w:p>
      <w:pPr>
        <w:spacing w:after="0" w:line="293" w:lineRule="exact"/>
        <w:rPr>
          <w:sz w:val="20"/>
          <w:szCs w:val="20"/>
          <w:color w:val="auto"/>
        </w:rPr>
      </w:pPr>
    </w:p>
    <w:p>
      <w:pPr>
        <w:ind w:left="680" w:hanging="186"/>
        <w:spacing w:after="0"/>
        <w:tabs>
          <w:tab w:leader="none" w:pos="6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MiMedx Group, Inc. (the “Report”);</w:t>
      </w:r>
    </w:p>
    <w:p>
      <w:pPr>
        <w:spacing w:after="0" w:line="144" w:lineRule="exact"/>
        <w:rPr>
          <w:rFonts w:ascii="Times New Roman" w:cs="Times New Roman" w:eastAsia="Times New Roman" w:hAnsi="Times New Roman"/>
          <w:sz w:val="18"/>
          <w:szCs w:val="18"/>
          <w:color w:val="auto"/>
        </w:rPr>
      </w:pPr>
    </w:p>
    <w:p>
      <w:pPr>
        <w:ind w:right="20" w:firstLine="494"/>
        <w:spacing w:after="0" w:line="313" w:lineRule="auto"/>
        <w:tabs>
          <w:tab w:leader="none" w:pos="66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firstLine="494"/>
        <w:spacing w:after="0" w:line="329" w:lineRule="auto"/>
        <w:tabs>
          <w:tab w:leader="none" w:pos="66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49" w:lineRule="exact"/>
        <w:rPr>
          <w:rFonts w:ascii="Times New Roman" w:cs="Times New Roman" w:eastAsia="Times New Roman" w:hAnsi="Times New Roman"/>
          <w:sz w:val="18"/>
          <w:szCs w:val="18"/>
          <w:color w:val="auto"/>
        </w:rPr>
      </w:pPr>
    </w:p>
    <w:p>
      <w:pPr>
        <w:ind w:left="9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980"/>
        <w:spacing w:after="0" w:line="313" w:lineRule="auto"/>
        <w:tabs>
          <w:tab w:leader="none" w:pos="124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right="20"/>
        <w:spacing w:after="0" w:line="313" w:lineRule="auto"/>
        <w:tabs>
          <w:tab w:leader="none" w:pos="123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spacing w:after="0" w:line="313" w:lineRule="auto"/>
        <w:tabs>
          <w:tab w:leader="none" w:pos="1246"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firstLine="453"/>
        <w:spacing w:after="0" w:line="313" w:lineRule="auto"/>
        <w:tabs>
          <w:tab w:leader="none" w:pos="62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spacing w:after="0" w:line="329" w:lineRule="auto"/>
        <w:tabs>
          <w:tab w:leader="none" w:pos="1252"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spacing w:after="0" w:line="329" w:lineRule="auto"/>
        <w:tabs>
          <w:tab w:leader="none" w:pos="1244"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28, 2024</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H. Capper</w:t>
            </w:r>
          </w:p>
        </w:tc>
      </w:tr>
      <w:tr>
        <w:trPr>
          <w:trHeight w:val="218"/>
        </w:trPr>
        <w:tc>
          <w:tcPr>
            <w:tcW w:w="6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Capper</w:t>
            </w:r>
          </w:p>
        </w:tc>
      </w:tr>
      <w:tr>
        <w:trPr>
          <w:trHeight w:val="234"/>
        </w:trPr>
        <w:tc>
          <w:tcPr>
            <w:tcW w:w="6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0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5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21"/>
          <w:szCs w:val="21"/>
          <w:color w:val="auto"/>
        </w:rPr>
        <w:t>Doug Rice</w:t>
      </w:r>
      <w:r>
        <w:rPr>
          <w:rFonts w:ascii="Times New Roman" w:cs="Times New Roman" w:eastAsia="Times New Roman" w:hAnsi="Times New Roman"/>
          <w:sz w:val="18"/>
          <w:szCs w:val="18"/>
          <w:color w:val="auto"/>
        </w:rPr>
        <w:t>, certify that:</w:t>
      </w:r>
    </w:p>
    <w:p>
      <w:pPr>
        <w:spacing w:after="0" w:line="308" w:lineRule="exact"/>
        <w:rPr>
          <w:sz w:val="20"/>
          <w:szCs w:val="20"/>
          <w:color w:val="auto"/>
        </w:rPr>
      </w:pPr>
    </w:p>
    <w:p>
      <w:pPr>
        <w:ind w:left="600" w:hanging="187"/>
        <w:spacing w:after="0"/>
        <w:tabs>
          <w:tab w:leader="none" w:pos="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MiMedx Group, Inc. (the “Report”);</w:t>
      </w:r>
    </w:p>
    <w:p>
      <w:pPr>
        <w:spacing w:after="0" w:line="130" w:lineRule="exact"/>
        <w:rPr>
          <w:rFonts w:ascii="Times New Roman" w:cs="Times New Roman" w:eastAsia="Times New Roman" w:hAnsi="Times New Roman"/>
          <w:sz w:val="18"/>
          <w:szCs w:val="18"/>
          <w:color w:val="auto"/>
        </w:rPr>
      </w:pPr>
    </w:p>
    <w:p>
      <w:pPr>
        <w:ind w:right="20" w:firstLine="413"/>
        <w:spacing w:after="0" w:line="313" w:lineRule="auto"/>
        <w:tabs>
          <w:tab w:leader="none" w:pos="5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firstLine="413"/>
        <w:spacing w:after="0" w:line="329" w:lineRule="auto"/>
        <w:tabs>
          <w:tab w:leader="none" w:pos="5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20" w:hanging="207"/>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49" w:lineRule="exact"/>
        <w:rPr>
          <w:rFonts w:ascii="Times New Roman" w:cs="Times New Roman" w:eastAsia="Times New Roman" w:hAnsi="Times New Roman"/>
          <w:sz w:val="18"/>
          <w:szCs w:val="18"/>
          <w:color w:val="auto"/>
        </w:rPr>
      </w:pPr>
    </w:p>
    <w:p>
      <w:pPr>
        <w:ind w:left="9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spacing w:after="0" w:line="305" w:lineRule="auto"/>
        <w:tabs>
          <w:tab w:leader="none" w:pos="124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980" w:right="20"/>
        <w:spacing w:after="0" w:line="313" w:lineRule="auto"/>
        <w:tabs>
          <w:tab w:leader="none" w:pos="1237"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980"/>
        <w:spacing w:after="0" w:line="305" w:lineRule="auto"/>
        <w:tabs>
          <w:tab w:leader="none" w:pos="1246"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firstLine="453"/>
        <w:spacing w:after="0" w:line="313" w:lineRule="auto"/>
        <w:tabs>
          <w:tab w:leader="none" w:pos="62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980"/>
        <w:spacing w:after="0" w:line="313" w:lineRule="auto"/>
        <w:tabs>
          <w:tab w:leader="none" w:pos="125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spacing w:after="0" w:line="329" w:lineRule="auto"/>
        <w:tabs>
          <w:tab w:leader="none" w:pos="124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28, 2024</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 Rice</w:t>
            </w:r>
          </w:p>
        </w:tc>
      </w:tr>
      <w:tr>
        <w:trPr>
          <w:trHeight w:val="218"/>
        </w:trPr>
        <w:tc>
          <w:tcPr>
            <w:tcW w:w="6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 Rice</w:t>
            </w:r>
          </w:p>
        </w:tc>
      </w:tr>
      <w:tr>
        <w:trPr>
          <w:trHeight w:val="234"/>
        </w:trPr>
        <w:tc>
          <w:tcPr>
            <w:tcW w:w="60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0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97" w:lineRule="exact"/>
        <w:rPr>
          <w:sz w:val="20"/>
          <w:szCs w:val="20"/>
          <w:color w:val="auto"/>
        </w:rPr>
      </w:pPr>
    </w:p>
    <w:p>
      <w:pPr>
        <w:jc w:val="both"/>
        <w:ind w:firstLine="206"/>
        <w:spacing w:after="0" w:line="302" w:lineRule="auto"/>
        <w:rPr>
          <w:sz w:val="20"/>
          <w:szCs w:val="20"/>
          <w:color w:val="auto"/>
        </w:rPr>
      </w:pPr>
      <w:r>
        <w:rPr>
          <w:rFonts w:ascii="Times New Roman" w:cs="Times New Roman" w:eastAsia="Times New Roman" w:hAnsi="Times New Roman"/>
          <w:sz w:val="18"/>
          <w:szCs w:val="18"/>
          <w:color w:val="auto"/>
        </w:rPr>
        <w:t>The undersigned Joseph H. Capper, the Chief Executive Officer of MiMedx Group, Inc. (the “Company”), has executed this certification in connection with the filing with the Securities and Exchange Commission of the Company’s Annual Report on Form 10-K for the period ending December 31, 2023 (the “Report”). Pursuant to 18 U.S.C. Section 1350, as adopted pursuant to Section 906 of the Sarbanes-Oxley Act of 2002, the undersigned hereby certifies, to his knowledge, that:</w:t>
      </w:r>
    </w:p>
    <w:p>
      <w:pPr>
        <w:spacing w:after="0" w:line="254"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28, 2024</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H. Capper</w:t>
            </w:r>
          </w:p>
        </w:tc>
      </w:tr>
      <w:tr>
        <w:trPr>
          <w:trHeight w:val="218"/>
        </w:trPr>
        <w:tc>
          <w:tcPr>
            <w:tcW w:w="56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Capper</w:t>
            </w:r>
          </w:p>
        </w:tc>
      </w:tr>
      <w:tr>
        <w:trPr>
          <w:trHeight w:val="234"/>
        </w:trPr>
        <w:tc>
          <w:tcPr>
            <w:tcW w:w="56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0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01" w:lineRule="exact"/>
        <w:rPr>
          <w:sz w:val="20"/>
          <w:szCs w:val="20"/>
          <w:color w:val="auto"/>
        </w:rPr>
      </w:pPr>
    </w:p>
    <w:p>
      <w:pPr>
        <w:jc w:val="both"/>
        <w:ind w:firstLine="195"/>
        <w:spacing w:after="0" w:line="305" w:lineRule="auto"/>
        <w:rPr>
          <w:sz w:val="20"/>
          <w:szCs w:val="20"/>
          <w:color w:val="auto"/>
        </w:rPr>
      </w:pPr>
      <w:r>
        <w:rPr>
          <w:rFonts w:ascii="Times New Roman" w:cs="Times New Roman" w:eastAsia="Times New Roman" w:hAnsi="Times New Roman"/>
          <w:sz w:val="18"/>
          <w:szCs w:val="18"/>
          <w:color w:val="auto"/>
        </w:rPr>
        <w:t xml:space="preserve">The undersigned, </w:t>
      </w:r>
      <w:r>
        <w:rPr>
          <w:rFonts w:ascii="Times New Roman" w:cs="Times New Roman" w:eastAsia="Times New Roman" w:hAnsi="Times New Roman"/>
          <w:sz w:val="21"/>
          <w:szCs w:val="21"/>
          <w:color w:val="auto"/>
        </w:rPr>
        <w:t>Doug Rice</w:t>
      </w:r>
      <w:r>
        <w:rPr>
          <w:rFonts w:ascii="Times New Roman" w:cs="Times New Roman" w:eastAsia="Times New Roman" w:hAnsi="Times New Roman"/>
          <w:sz w:val="18"/>
          <w:szCs w:val="18"/>
          <w:color w:val="auto"/>
        </w:rPr>
        <w:t>, the Chief Financial Officer of MiMedx Group, Inc. (the “Company”), has executed this certification in connection with the filing with the Securities and Exchange Commission of the Company’s Annual Report on Form 10-K for the period ending December 31, 2023 (the “Report”). Pursuant to 18 U.S.C. Section 1350, as adopted pursuant to Section 906 of the Sarbanes-Oxley Act of 2002, the undersigned hereby certifies, to his knowledge, that:</w:t>
      </w:r>
    </w:p>
    <w:p>
      <w:pPr>
        <w:spacing w:after="0" w:line="250" w:lineRule="exact"/>
        <w:rPr>
          <w:sz w:val="20"/>
          <w:szCs w:val="20"/>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February 28, 2024</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 Rice</w:t>
            </w:r>
          </w:p>
        </w:tc>
      </w:tr>
      <w:tr>
        <w:trPr>
          <w:trHeight w:val="218"/>
        </w:trPr>
        <w:tc>
          <w:tcPr>
            <w:tcW w:w="6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 Rice</w:t>
            </w:r>
          </w:p>
        </w:tc>
      </w:tr>
      <w:tr>
        <w:trPr>
          <w:trHeight w:val="234"/>
        </w:trPr>
        <w:tc>
          <w:tcPr>
            <w:tcW w:w="6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00" w:right="33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2582545</wp:posOffset>
            </wp:positionH>
            <wp:positionV relativeFrom="page">
              <wp:posOffset>1203325</wp:posOffset>
            </wp:positionV>
            <wp:extent cx="2383155" cy="1028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238315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Compensaton Recoupment Policy</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Amended and Restated November 29, 2023</w:t>
      </w:r>
    </w:p>
    <w:p>
      <w:pPr>
        <w:spacing w:after="0" w:line="346" w:lineRule="exact"/>
        <w:rPr>
          <w:sz w:val="20"/>
          <w:szCs w:val="20"/>
          <w:color w:val="auto"/>
        </w:rPr>
      </w:pPr>
    </w:p>
    <w:p>
      <w:pPr>
        <w:jc w:val="both"/>
        <w:ind w:left="660" w:hanging="161"/>
        <w:spacing w:after="0" w:line="450" w:lineRule="auto"/>
        <w:rPr>
          <w:sz w:val="20"/>
          <w:szCs w:val="20"/>
          <w:color w:val="auto"/>
        </w:rPr>
      </w:pPr>
      <w:r>
        <w:rPr>
          <w:rFonts w:ascii="Calibri" w:cs="Calibri" w:eastAsia="Calibri" w:hAnsi="Calibri"/>
          <w:sz w:val="20"/>
          <w:szCs w:val="20"/>
          <w:u w:val="single" w:color="auto"/>
          <w:color w:val="auto"/>
        </w:rPr>
        <w:t>Purpose</w:t>
      </w:r>
      <w:r>
        <w:rPr>
          <w:rFonts w:ascii="Calibri" w:cs="Calibri" w:eastAsia="Calibri" w:hAnsi="Calibri"/>
          <w:sz w:val="20"/>
          <w:szCs w:val="20"/>
          <w:color w:val="auto"/>
        </w:rPr>
        <w:t>: The Board of Directors (the “Board”) of MiMedx Group, Inc. (“MiMedx”) has adopted this amended and restated Compensaton Recoupment Policy (“Policy”) to refect sound corporate governance and to maintain a culture that emphasizes integrity and accountability. The Board has therefore adopted this Policy, which provides for the recoupment of certain executve compensaton (i) upon an accountng restatement resultng from material noncompliance with fnancial reportng requirements under the federal securites laws or (ii) in the event the Board has determined, based on an investgaton and its review of the results of the investgaton, that an executve ofcer has engaged in misconduct. The Policy shall enable MiMedx to “claw-back” compensaton as described herein regardless of any lesser “claw-back” obligatons enacted by the Securites and Exchange Commission pursuant to Secton 954 of the Dodd-Frank Wall Street Reform and Consumer Protecton Act of 2010. This Policy is further designed to comply with Secton 10D of the Securites Exchange Act of 1934 (the “Exchange Act”), Rule 10D-1 promulgated under the Exchange Act (“Rule 10D-1”), and Nasdaq Listng Rule 5608 (the “Listng Standards”).</w:t>
      </w:r>
    </w:p>
    <w:p>
      <w:pPr>
        <w:spacing w:after="0" w:line="12" w:lineRule="exact"/>
        <w:rPr>
          <w:sz w:val="20"/>
          <w:szCs w:val="20"/>
          <w:color w:val="auto"/>
        </w:rPr>
      </w:pPr>
    </w:p>
    <w:p>
      <w:pPr>
        <w:jc w:val="both"/>
        <w:ind w:left="660" w:hanging="161"/>
        <w:spacing w:after="0" w:line="448" w:lineRule="auto"/>
        <w:rPr>
          <w:sz w:val="20"/>
          <w:szCs w:val="20"/>
          <w:color w:val="auto"/>
        </w:rPr>
      </w:pPr>
      <w:r>
        <w:rPr>
          <w:rFonts w:ascii="Calibri" w:cs="Calibri" w:eastAsia="Calibri" w:hAnsi="Calibri"/>
          <w:sz w:val="20"/>
          <w:szCs w:val="20"/>
          <w:u w:val="single" w:color="auto"/>
          <w:color w:val="auto"/>
        </w:rPr>
        <w:t>Administraton</w:t>
      </w:r>
      <w:r>
        <w:rPr>
          <w:rFonts w:ascii="Calibri" w:cs="Calibri" w:eastAsia="Calibri" w:hAnsi="Calibri"/>
          <w:sz w:val="20"/>
          <w:szCs w:val="20"/>
          <w:color w:val="auto"/>
        </w:rPr>
        <w:t>: This Policy shall be administered by the Board or the Compensaton Commitee. Any references herein to the Board shall be deemed references to the Compensaton Commitee, if applicable. The Board is authorized to interpret and construe this Policy and to make all determinatons necessary, appropriate or advisable for the administraton of this Policy. Any determinatons made by the Board shall be fnal and binding on all afected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1 </w:t>
      </w:r>
      <w:r>
        <w:rPr>
          <w:rFonts w:ascii="Calibri" w:cs="Calibri" w:eastAsia="Calibri" w:hAnsi="Calibri"/>
          <w:sz w:val="16"/>
          <w:szCs w:val="16"/>
          <w:color w:val="auto"/>
        </w:rPr>
        <w:t>COMPANY CONFIDENTIAL</w:t>
      </w:r>
    </w:p>
    <w:p>
      <w:pPr>
        <w:spacing w:after="0" w:line="200" w:lineRule="exact"/>
        <w:rPr>
          <w:sz w:val="20"/>
          <w:szCs w:val="20"/>
          <w:color w:val="auto"/>
        </w:rPr>
      </w:pPr>
    </w:p>
    <w:p>
      <w:pPr>
        <w:spacing w:after="0" w:line="256" w:lineRule="exact"/>
        <w:rPr>
          <w:sz w:val="20"/>
          <w:szCs w:val="20"/>
          <w:color w:val="auto"/>
        </w:rPr>
      </w:pPr>
    </w:p>
    <w:p>
      <w:pPr>
        <w:ind w:left="8260"/>
        <w:spacing w:after="0"/>
        <w:rPr>
          <w:sz w:val="20"/>
          <w:szCs w:val="20"/>
          <w:color w:val="auto"/>
        </w:rPr>
      </w:pPr>
      <w:r>
        <w:rPr>
          <w:rFonts w:ascii="Arial" w:cs="Arial" w:eastAsia="Arial" w:hAnsi="Arial"/>
          <w:sz w:val="11"/>
          <w:szCs w:val="11"/>
          <w:color w:val="auto"/>
        </w:rPr>
        <w:t>US_ACTIVE-173151614.4-JGAROMAT 11/29/2023 2:47 PM</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80" w:lineRule="exact"/>
        <w:rPr>
          <w:sz w:val="20"/>
          <w:szCs w:val="20"/>
          <w:color w:val="auto"/>
        </w:rPr>
      </w:pPr>
    </w:p>
    <w:p>
      <w:pPr>
        <w:jc w:val="both"/>
        <w:ind w:left="660"/>
        <w:spacing w:after="0" w:line="455" w:lineRule="auto"/>
        <w:rPr>
          <w:sz w:val="20"/>
          <w:szCs w:val="20"/>
          <w:color w:val="auto"/>
        </w:rPr>
      </w:pPr>
      <w:r>
        <w:rPr>
          <w:rFonts w:ascii="Calibri" w:cs="Calibri" w:eastAsia="Calibri" w:hAnsi="Calibri"/>
          <w:sz w:val="20"/>
          <w:szCs w:val="20"/>
          <w:color w:val="auto"/>
        </w:rPr>
        <w:t>individuals. The Board may amend this Policy from tme to tme in its discreton and shall amend this Policy as it deems necessary to refect fnal regulatons adopted by the Securites and Exchange Commission under Secton 10D of the Exchange Act, to comply with any rules or standards adopted by The Nasdaq Stock Market (“Nasdaq”), and to comply with (or maintain an exempton from the applicaton of) Secton 409A of the Internal Revenue Code of 1986, as amended (the “Code”). The Board may terminate this Policy at any tme. It is intended that this Policy be interpreted in a manner that is consistent with the requirements of Secton 10D of the Exchange Act and any applicable rules or standards adopted by the Securites and Exchange Commission or Nasdaq.</w:t>
      </w:r>
    </w:p>
    <w:p>
      <w:pPr>
        <w:spacing w:after="0" w:line="200" w:lineRule="exact"/>
        <w:rPr>
          <w:sz w:val="20"/>
          <w:szCs w:val="20"/>
          <w:color w:val="auto"/>
        </w:rPr>
      </w:pPr>
    </w:p>
    <w:p>
      <w:pPr>
        <w:spacing w:after="0" w:line="236" w:lineRule="exact"/>
        <w:rPr>
          <w:sz w:val="20"/>
          <w:szCs w:val="20"/>
          <w:color w:val="auto"/>
        </w:rPr>
      </w:pPr>
    </w:p>
    <w:p>
      <w:pPr>
        <w:jc w:val="both"/>
        <w:ind w:left="660" w:hanging="161"/>
        <w:spacing w:after="0" w:line="474" w:lineRule="auto"/>
        <w:rPr>
          <w:sz w:val="20"/>
          <w:szCs w:val="20"/>
          <w:color w:val="auto"/>
        </w:rPr>
      </w:pPr>
      <w:r>
        <w:rPr>
          <w:rFonts w:ascii="Calibri" w:cs="Calibri" w:eastAsia="Calibri" w:hAnsi="Calibri"/>
          <w:sz w:val="20"/>
          <w:szCs w:val="20"/>
          <w:u w:val="single" w:color="auto"/>
          <w:color w:val="auto"/>
        </w:rPr>
        <w:t>Covered Persons</w:t>
      </w:r>
      <w:r>
        <w:rPr>
          <w:rFonts w:ascii="Calibri" w:cs="Calibri" w:eastAsia="Calibri" w:hAnsi="Calibri"/>
          <w:sz w:val="20"/>
          <w:szCs w:val="20"/>
          <w:color w:val="auto"/>
        </w:rPr>
        <w:t>: This Policy applies to MiMedx current and former executve ofcers (the “Executves”), as such term is defned under the Exchange Act, and in accordance with Secton 10D of the Exchange Act, the defniton of executve ofcer set forth in Rule 10D-1 and the Listng Standards (“Covered Executves” or individually “Covered Executve”), and Senior Ofcers, as defned herein.</w:t>
      </w:r>
    </w:p>
    <w:p>
      <w:pPr>
        <w:spacing w:after="0" w:line="380" w:lineRule="exact"/>
        <w:rPr>
          <w:sz w:val="20"/>
          <w:szCs w:val="20"/>
          <w:color w:val="auto"/>
        </w:rPr>
      </w:pPr>
    </w:p>
    <w:p>
      <w:pPr>
        <w:ind w:left="500"/>
        <w:spacing w:after="0"/>
        <w:rPr>
          <w:sz w:val="20"/>
          <w:szCs w:val="20"/>
          <w:color w:val="auto"/>
        </w:rPr>
      </w:pPr>
      <w:r>
        <w:rPr>
          <w:rFonts w:ascii="Calibri" w:cs="Calibri" w:eastAsia="Calibri" w:hAnsi="Calibri"/>
          <w:sz w:val="20"/>
          <w:szCs w:val="20"/>
          <w:u w:val="single" w:color="auto"/>
          <w:color w:val="auto"/>
        </w:rPr>
        <w:t>Recoupment Triggers; Compensaton Subject to Recovery</w:t>
      </w:r>
      <w:r>
        <w:rPr>
          <w:rFonts w:ascii="Calibri" w:cs="Calibri" w:eastAsia="Calibri" w:hAnsi="Calibri"/>
          <w:sz w:val="20"/>
          <w:szCs w:val="20"/>
          <w:color w:val="auto"/>
        </w:rPr>
        <w:t>:</w:t>
      </w:r>
    </w:p>
    <w:p>
      <w:pPr>
        <w:spacing w:after="0" w:line="238" w:lineRule="exact"/>
        <w:rPr>
          <w:sz w:val="20"/>
          <w:szCs w:val="20"/>
          <w:color w:val="auto"/>
        </w:rPr>
      </w:pPr>
    </w:p>
    <w:p>
      <w:pPr>
        <w:jc w:val="both"/>
        <w:ind w:left="1300" w:hanging="320"/>
        <w:spacing w:after="0" w:line="435" w:lineRule="auto"/>
        <w:tabs>
          <w:tab w:leader="none" w:pos="1300" w:val="left"/>
        </w:tabs>
        <w:numPr>
          <w:ilvl w:val="0"/>
          <w:numId w:val="54"/>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Recoupment; Accountng Restatement</w:t>
      </w:r>
      <w:r>
        <w:rPr>
          <w:rFonts w:ascii="Calibri" w:cs="Calibri" w:eastAsia="Calibri" w:hAnsi="Calibri"/>
          <w:sz w:val="20"/>
          <w:szCs w:val="20"/>
          <w:color w:val="auto"/>
        </w:rPr>
        <w:t>. In the event that MiMedx is required to prepare an Accountng Restatement, as defned herein, the Board will promptly require reimbursement or forfeiture of any Excess Incentve Compensaton, as</w:t>
      </w:r>
    </w:p>
    <w:p>
      <w:pPr>
        <w:spacing w:after="0" w:line="21" w:lineRule="exact"/>
        <w:rPr>
          <w:rFonts w:ascii="Courier New" w:cs="Courier New" w:eastAsia="Courier New" w:hAnsi="Courier New"/>
          <w:sz w:val="20"/>
          <w:szCs w:val="20"/>
          <w:color w:val="auto"/>
        </w:rPr>
      </w:pPr>
    </w:p>
    <w:p>
      <w:pPr>
        <w:jc w:val="both"/>
        <w:ind w:left="1300"/>
        <w:spacing w:after="0" w:line="458" w:lineRule="auto"/>
        <w:rPr>
          <w:rFonts w:ascii="Courier New" w:cs="Courier New" w:eastAsia="Courier New" w:hAnsi="Courier New"/>
          <w:sz w:val="20"/>
          <w:szCs w:val="20"/>
          <w:color w:val="auto"/>
        </w:rPr>
      </w:pPr>
      <w:r>
        <w:rPr>
          <w:rFonts w:ascii="Calibri" w:cs="Calibri" w:eastAsia="Calibri" w:hAnsi="Calibri"/>
          <w:sz w:val="20"/>
          <w:szCs w:val="20"/>
          <w:color w:val="auto"/>
        </w:rPr>
        <w:t>defned herein, received by any Covered Executve during the three completed fscal years immediately preceding the date on which MiMedx is required to prepare an Accountng Restatement, as defned herein, and including any transiton period (that results from a change in MiMedx’s fscal year) within or immediately following those three completed fscal years, except that a transiton period comprising a period of at least nine months shall count as a full fscal year. The Policy applies to all Incentve-Based Compensaton, as defned herein, received by a Covered Executve (i) afer beginning service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2 </w:t>
      </w:r>
      <w:r>
        <w:rPr>
          <w:rFonts w:ascii="Calibri" w:cs="Calibri" w:eastAsia="Calibri" w:hAnsi="Calibri"/>
          <w:sz w:val="16"/>
          <w:szCs w:val="16"/>
          <w:color w:val="auto"/>
        </w:rPr>
        <w:t>COMPANY CONFIDENTIAL</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80" w:lineRule="exact"/>
        <w:rPr>
          <w:sz w:val="20"/>
          <w:szCs w:val="20"/>
          <w:color w:val="auto"/>
        </w:rPr>
      </w:pPr>
    </w:p>
    <w:p>
      <w:pPr>
        <w:jc w:val="both"/>
        <w:ind w:left="1300"/>
        <w:spacing w:after="0" w:line="458" w:lineRule="auto"/>
        <w:rPr>
          <w:sz w:val="20"/>
          <w:szCs w:val="20"/>
          <w:color w:val="auto"/>
        </w:rPr>
      </w:pPr>
      <w:r>
        <w:rPr>
          <w:rFonts w:ascii="Calibri" w:cs="Calibri" w:eastAsia="Calibri" w:hAnsi="Calibri"/>
          <w:sz w:val="20"/>
          <w:szCs w:val="20"/>
          <w:color w:val="auto"/>
        </w:rPr>
        <w:t>executve ofcer; (ii) who served as an executve ofcer at any tme during the performance period for that Incentve-Based Compensaton (whether or not such Covered Ofcer is serving at the tme the Erroneously Awarded Compensaton is required to be repaid to MiMedx); and (iii) while MiMedx has a listed class of securites. Recovery of amounts under this Policy with respect to a Covered Executve shall not require the fnding of any misconduct by such Covered Executve or that such Covered Executve is responsible for any error associated with an Accountng Restatement.</w:t>
      </w:r>
    </w:p>
    <w:p>
      <w:pPr>
        <w:spacing w:after="0" w:line="200" w:lineRule="exact"/>
        <w:rPr>
          <w:sz w:val="20"/>
          <w:szCs w:val="20"/>
          <w:color w:val="auto"/>
        </w:rPr>
      </w:pPr>
    </w:p>
    <w:p>
      <w:pPr>
        <w:spacing w:after="0" w:line="225" w:lineRule="exact"/>
        <w:rPr>
          <w:sz w:val="20"/>
          <w:szCs w:val="20"/>
          <w:color w:val="auto"/>
        </w:rPr>
      </w:pPr>
    </w:p>
    <w:p>
      <w:pPr>
        <w:jc w:val="both"/>
        <w:ind w:left="1960" w:hanging="94"/>
        <w:spacing w:after="0" w:line="450" w:lineRule="auto"/>
        <w:rPr>
          <w:sz w:val="20"/>
          <w:szCs w:val="20"/>
          <w:color w:val="auto"/>
        </w:rPr>
      </w:pPr>
      <w:r>
        <w:rPr>
          <w:rFonts w:ascii="Calibri" w:cs="Calibri" w:eastAsia="Calibri" w:hAnsi="Calibri"/>
          <w:sz w:val="20"/>
          <w:szCs w:val="20"/>
          <w:color w:val="auto"/>
        </w:rPr>
        <w:t>For purposes of this Policy, an “Accountng Restatement” means an accountng restatement of MiMedx’s fnancial statements due to MiMedx’s material noncompliance with any fnancial reportng requirement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 Also for purposes of this Policy, the date on which MiMedx is required to prepare an Accountng Restatement is the earlier of (i) the date the Board concludes, or reasonably should have concluded, that MiMedx is required to prepare an Accountng Restatement; or (ii) the date a court, regulator, or other legally authorized body directs MiMedx to prepare an Accountng Restatement, in each case regardless of whether or when the restated fnancial statements are fled with the Securites and Exchange Commission.</w:t>
      </w:r>
    </w:p>
    <w:p>
      <w:pPr>
        <w:spacing w:after="0" w:line="12" w:lineRule="exact"/>
        <w:rPr>
          <w:sz w:val="20"/>
          <w:szCs w:val="20"/>
          <w:color w:val="auto"/>
        </w:rPr>
      </w:pPr>
    </w:p>
    <w:p>
      <w:pPr>
        <w:jc w:val="both"/>
        <w:ind w:left="1960" w:hanging="94"/>
        <w:spacing w:after="0" w:line="446" w:lineRule="auto"/>
        <w:rPr>
          <w:sz w:val="20"/>
          <w:szCs w:val="20"/>
          <w:color w:val="auto"/>
        </w:rPr>
      </w:pPr>
      <w:r>
        <w:rPr>
          <w:rFonts w:ascii="Calibri" w:cs="Calibri" w:eastAsia="Calibri" w:hAnsi="Calibri"/>
          <w:sz w:val="20"/>
          <w:szCs w:val="20"/>
          <w:u w:val="single" w:color="auto"/>
          <w:color w:val="auto"/>
        </w:rPr>
        <w:t>Excess Incentve Compensaton; Amount Subject to Recovery</w:t>
      </w:r>
      <w:r>
        <w:rPr>
          <w:rFonts w:ascii="Calibri" w:cs="Calibri" w:eastAsia="Calibri" w:hAnsi="Calibri"/>
          <w:sz w:val="20"/>
          <w:szCs w:val="20"/>
          <w:color w:val="auto"/>
        </w:rPr>
        <w:t>. The amount subject to recovery (the “Excess Incentve Compensaton”) is the excess of the Incentve-Based Compensaton paid to the Covered Executve or Senior Ofcer, based on the erroneous data over the Incentve-Based Compensaton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3 </w:t>
      </w:r>
      <w:r>
        <w:rPr>
          <w:rFonts w:ascii="Calibri" w:cs="Calibri" w:eastAsia="Calibri" w:hAnsi="Calibri"/>
          <w:sz w:val="16"/>
          <w:szCs w:val="16"/>
          <w:color w:val="auto"/>
        </w:rPr>
        <w:t>COMPANY CONFIDENTIAL</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80" w:lineRule="exact"/>
        <w:rPr>
          <w:sz w:val="20"/>
          <w:szCs w:val="20"/>
          <w:color w:val="auto"/>
        </w:rPr>
      </w:pPr>
    </w:p>
    <w:p>
      <w:pPr>
        <w:jc w:val="both"/>
        <w:ind w:left="1960" w:right="20"/>
        <w:spacing w:after="0" w:line="446" w:lineRule="auto"/>
        <w:rPr>
          <w:sz w:val="20"/>
          <w:szCs w:val="20"/>
          <w:color w:val="auto"/>
        </w:rPr>
      </w:pPr>
      <w:r>
        <w:rPr>
          <w:rFonts w:ascii="Calibri" w:cs="Calibri" w:eastAsia="Calibri" w:hAnsi="Calibri"/>
          <w:sz w:val="20"/>
          <w:szCs w:val="20"/>
          <w:color w:val="auto"/>
        </w:rPr>
        <w:t>would have been paid to the Covered Executve or Senior Ofcer had it been based on the restated results. Excess Incentve Compensaton shall be determined by the Board without regard to any taxes paid by the Covered Executve or Senior Ofcer with respect to the Excess Incentve Compensaton.</w:t>
      </w:r>
    </w:p>
    <w:p>
      <w:pPr>
        <w:spacing w:after="0" w:line="16" w:lineRule="exact"/>
        <w:rPr>
          <w:sz w:val="20"/>
          <w:szCs w:val="20"/>
          <w:color w:val="auto"/>
        </w:rPr>
      </w:pPr>
    </w:p>
    <w:p>
      <w:pPr>
        <w:jc w:val="both"/>
        <w:ind w:left="1960" w:hanging="94"/>
        <w:spacing w:after="0" w:line="449" w:lineRule="auto"/>
        <w:rPr>
          <w:sz w:val="20"/>
          <w:szCs w:val="20"/>
          <w:color w:val="auto"/>
        </w:rPr>
      </w:pPr>
      <w:r>
        <w:rPr>
          <w:rFonts w:ascii="Calibri" w:cs="Calibri" w:eastAsia="Calibri" w:hAnsi="Calibri"/>
          <w:sz w:val="20"/>
          <w:szCs w:val="20"/>
          <w:color w:val="auto"/>
        </w:rPr>
        <w:t>For Incentve-Based Compensaton based on stock price or total shareholder return, or if the Board cannot determine the amount of such excess directly from the informaton in the Accountng Restatement or other occurrence: (i) the Board shall determine the amount of the Excess Incentve Compensaton based on a reasonable estmate of the efect of the Accountng Restatement on the stock price, total shareholder return or other metric upon which the Incentve-Based Compensaton was received; and (ii) MiMedx shall maintain documentaton of the determinaton of that reasonable estmate and provide such documentaton to Nasdaq.</w:t>
      </w:r>
    </w:p>
    <w:p>
      <w:pPr>
        <w:spacing w:after="0" w:line="14" w:lineRule="exact"/>
        <w:rPr>
          <w:sz w:val="20"/>
          <w:szCs w:val="20"/>
          <w:color w:val="auto"/>
        </w:rPr>
      </w:pPr>
    </w:p>
    <w:p>
      <w:pPr>
        <w:jc w:val="both"/>
        <w:ind w:left="1960" w:hanging="94"/>
        <w:spacing w:after="0" w:line="449" w:lineRule="auto"/>
        <w:rPr>
          <w:sz w:val="20"/>
          <w:szCs w:val="20"/>
          <w:color w:val="auto"/>
        </w:rPr>
      </w:pPr>
      <w:r>
        <w:rPr>
          <w:rFonts w:ascii="Calibri" w:cs="Calibri" w:eastAsia="Calibri" w:hAnsi="Calibri"/>
          <w:sz w:val="20"/>
          <w:szCs w:val="20"/>
          <w:color w:val="auto"/>
        </w:rPr>
        <w:t>“Incentve-Based Compensaton” means any compensaton that is granted, earned, or vested based wholly or in part upon the atainment of a Financial Reportng Measure, as defned herein, including any bonus or other incentve-based or equity-based compensaton to the extent ted to fnancial metrics. Incentve-Based Compensaton is received for purposes of this Policy in MiMedx’s fscal period during which the Financial Reportng Measure specifed in the Incentve-Based Compensaton award is atained, even if the payment or grant of the Incentve-Based Compensaton occurs afer the end of that period.</w:t>
      </w:r>
    </w:p>
    <w:p>
      <w:pPr>
        <w:spacing w:after="0" w:line="14" w:lineRule="exact"/>
        <w:rPr>
          <w:sz w:val="20"/>
          <w:szCs w:val="20"/>
          <w:color w:val="auto"/>
        </w:rPr>
      </w:pPr>
    </w:p>
    <w:p>
      <w:pPr>
        <w:jc w:val="both"/>
        <w:ind w:left="1960" w:hanging="94"/>
        <w:spacing w:after="0" w:line="446" w:lineRule="auto"/>
        <w:rPr>
          <w:sz w:val="20"/>
          <w:szCs w:val="20"/>
          <w:color w:val="auto"/>
        </w:rPr>
      </w:pPr>
      <w:r>
        <w:rPr>
          <w:rFonts w:ascii="Calibri" w:cs="Calibri" w:eastAsia="Calibri" w:hAnsi="Calibri"/>
          <w:sz w:val="20"/>
          <w:szCs w:val="20"/>
          <w:color w:val="auto"/>
        </w:rPr>
        <w:t>A “Financial Reportng Measure” means any measure that is determined and presented in accordance with the accountng principles used in preparing MiMedx’s fnancial statements, and any measure that is derived in whole or in part from such measure. For purposes of this Policy, Financial Reportng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4 </w:t>
      </w:r>
      <w:r>
        <w:rPr>
          <w:rFonts w:ascii="Calibri" w:cs="Calibri" w:eastAsia="Calibri" w:hAnsi="Calibri"/>
          <w:sz w:val="16"/>
          <w:szCs w:val="16"/>
          <w:color w:val="auto"/>
        </w:rPr>
        <w:t>COMPANY CONFIDENTIAL</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80" w:lineRule="exact"/>
        <w:rPr>
          <w:sz w:val="20"/>
          <w:szCs w:val="20"/>
          <w:color w:val="auto"/>
        </w:rPr>
      </w:pPr>
    </w:p>
    <w:p>
      <w:pPr>
        <w:jc w:val="both"/>
        <w:ind w:left="1960"/>
        <w:spacing w:after="0" w:line="448" w:lineRule="auto"/>
        <w:rPr>
          <w:sz w:val="20"/>
          <w:szCs w:val="20"/>
          <w:color w:val="auto"/>
        </w:rPr>
      </w:pPr>
      <w:r>
        <w:rPr>
          <w:rFonts w:ascii="Calibri" w:cs="Calibri" w:eastAsia="Calibri" w:hAnsi="Calibri"/>
          <w:sz w:val="20"/>
          <w:szCs w:val="20"/>
          <w:color w:val="auto"/>
        </w:rPr>
        <w:t>Measures include, but are not limited to, the following, and any measures derived from the following: revenues; earnings before interest, taxes, depreciaton and amortzaton; net income; MiMedx’s stock price; and total shareholder return. A Financial Reportng Measure need not be presented within MiMedx’s fnancial statements or included in a fling with the Securites Exchange Commission.</w:t>
      </w:r>
    </w:p>
    <w:p>
      <w:pPr>
        <w:spacing w:after="0" w:line="27" w:lineRule="exact"/>
        <w:rPr>
          <w:sz w:val="20"/>
          <w:szCs w:val="20"/>
          <w:color w:val="auto"/>
        </w:rPr>
      </w:pPr>
    </w:p>
    <w:p>
      <w:pPr>
        <w:ind w:left="1300" w:hanging="320"/>
        <w:spacing w:after="0" w:line="435" w:lineRule="auto"/>
        <w:tabs>
          <w:tab w:leader="none" w:pos="1300" w:val="left"/>
        </w:tabs>
        <w:numPr>
          <w:ilvl w:val="0"/>
          <w:numId w:val="55"/>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Method of Recoupment</w:t>
      </w:r>
      <w:r>
        <w:rPr>
          <w:rFonts w:ascii="Calibri" w:cs="Calibri" w:eastAsia="Calibri" w:hAnsi="Calibri"/>
          <w:sz w:val="20"/>
          <w:szCs w:val="20"/>
          <w:color w:val="auto"/>
        </w:rPr>
        <w:t>. The Board shall determine, in its sole discreton, the tming and method for promptly recouping Excess Incentve Compensaton, which may include without limitaton:</w:t>
      </w:r>
    </w:p>
    <w:p>
      <w:pPr>
        <w:spacing w:after="0" w:line="11" w:lineRule="exact"/>
        <w:rPr>
          <w:rFonts w:ascii="Courier New" w:cs="Courier New" w:eastAsia="Courier New" w:hAnsi="Courier New"/>
          <w:sz w:val="20"/>
          <w:szCs w:val="20"/>
          <w:color w:val="auto"/>
        </w:rPr>
      </w:pPr>
    </w:p>
    <w:p>
      <w:pPr>
        <w:ind w:left="2220" w:hanging="268"/>
        <w:spacing w:after="0"/>
        <w:tabs>
          <w:tab w:leader="none" w:pos="2220" w:val="left"/>
        </w:tabs>
        <w:numPr>
          <w:ilvl w:val="1"/>
          <w:numId w:val="55"/>
        </w:numPr>
        <w:rPr>
          <w:rFonts w:ascii="Calibri" w:cs="Calibri" w:eastAsia="Calibri" w:hAnsi="Calibri"/>
          <w:sz w:val="20"/>
          <w:szCs w:val="20"/>
          <w:color w:val="auto"/>
        </w:rPr>
      </w:pPr>
      <w:r>
        <w:rPr>
          <w:rFonts w:ascii="Calibri" w:cs="Calibri" w:eastAsia="Calibri" w:hAnsi="Calibri"/>
          <w:sz w:val="20"/>
          <w:szCs w:val="20"/>
          <w:color w:val="auto"/>
        </w:rPr>
        <w:t>seeking reimbursement of all or part of any cash or equity Incentve-Based Compensaton previously paid,</w:t>
      </w:r>
    </w:p>
    <w:p>
      <w:pPr>
        <w:spacing w:after="0" w:line="224" w:lineRule="exact"/>
        <w:rPr>
          <w:rFonts w:ascii="Calibri" w:cs="Calibri" w:eastAsia="Calibri" w:hAnsi="Calibri"/>
          <w:sz w:val="20"/>
          <w:szCs w:val="20"/>
          <w:color w:val="auto"/>
        </w:rPr>
      </w:pPr>
    </w:p>
    <w:p>
      <w:pPr>
        <w:ind w:left="1960" w:right="20" w:hanging="8"/>
        <w:spacing w:after="0" w:line="441" w:lineRule="auto"/>
        <w:tabs>
          <w:tab w:leader="none" w:pos="2247" w:val="left"/>
        </w:tabs>
        <w:numPr>
          <w:ilvl w:val="1"/>
          <w:numId w:val="55"/>
        </w:numPr>
        <w:rPr>
          <w:rFonts w:ascii="Calibri" w:cs="Calibri" w:eastAsia="Calibri" w:hAnsi="Calibri"/>
          <w:sz w:val="20"/>
          <w:szCs w:val="20"/>
          <w:color w:val="auto"/>
        </w:rPr>
      </w:pPr>
      <w:r>
        <w:rPr>
          <w:rFonts w:ascii="Calibri" w:cs="Calibri" w:eastAsia="Calibri" w:hAnsi="Calibri"/>
          <w:sz w:val="20"/>
          <w:szCs w:val="20"/>
          <w:color w:val="auto"/>
        </w:rPr>
        <w:t>seeking recovery of any gain realized on the vestng, exercise, setlement, sale, transfer, or other dispositon of any equity-based awards,</w:t>
      </w:r>
    </w:p>
    <w:p>
      <w:pPr>
        <w:spacing w:after="0" w:line="11" w:lineRule="exact"/>
        <w:rPr>
          <w:rFonts w:ascii="Calibri" w:cs="Calibri" w:eastAsia="Calibri" w:hAnsi="Calibri"/>
          <w:sz w:val="20"/>
          <w:szCs w:val="20"/>
          <w:color w:val="auto"/>
        </w:rPr>
      </w:pPr>
    </w:p>
    <w:p>
      <w:pPr>
        <w:ind w:left="2200" w:hanging="248"/>
        <w:spacing w:after="0"/>
        <w:tabs>
          <w:tab w:leader="none" w:pos="2200" w:val="left"/>
        </w:tabs>
        <w:numPr>
          <w:ilvl w:val="1"/>
          <w:numId w:val="55"/>
        </w:numPr>
        <w:rPr>
          <w:rFonts w:ascii="Calibri" w:cs="Calibri" w:eastAsia="Calibri" w:hAnsi="Calibri"/>
          <w:sz w:val="20"/>
          <w:szCs w:val="20"/>
          <w:color w:val="auto"/>
        </w:rPr>
      </w:pPr>
      <w:r>
        <w:rPr>
          <w:rFonts w:ascii="Calibri" w:cs="Calibri" w:eastAsia="Calibri" w:hAnsi="Calibri"/>
          <w:sz w:val="20"/>
          <w:szCs w:val="20"/>
          <w:color w:val="auto"/>
        </w:rPr>
        <w:t>cancelling prior cash or equity-based awards, whether vested or unvested or paid or unpaid,</w:t>
      </w:r>
    </w:p>
    <w:p>
      <w:pPr>
        <w:spacing w:after="0" w:line="214" w:lineRule="exact"/>
        <w:rPr>
          <w:rFonts w:ascii="Calibri" w:cs="Calibri" w:eastAsia="Calibri" w:hAnsi="Calibri"/>
          <w:sz w:val="20"/>
          <w:szCs w:val="20"/>
          <w:color w:val="auto"/>
        </w:rPr>
      </w:pPr>
    </w:p>
    <w:p>
      <w:pPr>
        <w:ind w:left="2220" w:hanging="268"/>
        <w:spacing w:after="0"/>
        <w:tabs>
          <w:tab w:leader="none" w:pos="2220" w:val="left"/>
        </w:tabs>
        <w:numPr>
          <w:ilvl w:val="1"/>
          <w:numId w:val="55"/>
        </w:numPr>
        <w:rPr>
          <w:rFonts w:ascii="Calibri" w:cs="Calibri" w:eastAsia="Calibri" w:hAnsi="Calibri"/>
          <w:sz w:val="20"/>
          <w:szCs w:val="20"/>
          <w:color w:val="auto"/>
        </w:rPr>
      </w:pPr>
      <w:r>
        <w:rPr>
          <w:rFonts w:ascii="Calibri" w:cs="Calibri" w:eastAsia="Calibri" w:hAnsi="Calibri"/>
          <w:sz w:val="20"/>
          <w:szCs w:val="20"/>
          <w:color w:val="auto"/>
        </w:rPr>
        <w:t>cancelling or ofsetng against any planned future cash or equity-based awards,</w:t>
      </w:r>
    </w:p>
    <w:p>
      <w:pPr>
        <w:spacing w:after="0" w:line="224" w:lineRule="exact"/>
        <w:rPr>
          <w:rFonts w:ascii="Calibri" w:cs="Calibri" w:eastAsia="Calibri" w:hAnsi="Calibri"/>
          <w:sz w:val="20"/>
          <w:szCs w:val="20"/>
          <w:color w:val="auto"/>
        </w:rPr>
      </w:pPr>
    </w:p>
    <w:p>
      <w:pPr>
        <w:ind w:left="1960" w:hanging="8"/>
        <w:spacing w:after="0" w:line="441" w:lineRule="auto"/>
        <w:tabs>
          <w:tab w:leader="none" w:pos="2292" w:val="left"/>
        </w:tabs>
        <w:numPr>
          <w:ilvl w:val="1"/>
          <w:numId w:val="55"/>
        </w:numPr>
        <w:rPr>
          <w:rFonts w:ascii="Calibri" w:cs="Calibri" w:eastAsia="Calibri" w:hAnsi="Calibri"/>
          <w:sz w:val="20"/>
          <w:szCs w:val="20"/>
          <w:color w:val="auto"/>
        </w:rPr>
      </w:pPr>
      <w:r>
        <w:rPr>
          <w:rFonts w:ascii="Calibri" w:cs="Calibri" w:eastAsia="Calibri" w:hAnsi="Calibri"/>
          <w:sz w:val="20"/>
          <w:szCs w:val="20"/>
          <w:color w:val="auto"/>
        </w:rPr>
        <w:t>forfeiture of deferred compensaton, subject to compliance with Secton 409A of the Code and the regulatons promulgated thereunder, and</w:t>
      </w:r>
    </w:p>
    <w:p>
      <w:pPr>
        <w:spacing w:after="0" w:line="11" w:lineRule="exact"/>
        <w:rPr>
          <w:rFonts w:ascii="Calibri" w:cs="Calibri" w:eastAsia="Calibri" w:hAnsi="Calibri"/>
          <w:sz w:val="20"/>
          <w:szCs w:val="20"/>
          <w:color w:val="auto"/>
        </w:rPr>
      </w:pPr>
    </w:p>
    <w:p>
      <w:pPr>
        <w:ind w:left="2180" w:hanging="228"/>
        <w:spacing w:after="0"/>
        <w:tabs>
          <w:tab w:leader="none" w:pos="2180" w:val="left"/>
        </w:tabs>
        <w:numPr>
          <w:ilvl w:val="1"/>
          <w:numId w:val="55"/>
        </w:numPr>
        <w:rPr>
          <w:rFonts w:ascii="Calibri" w:cs="Calibri" w:eastAsia="Calibri" w:hAnsi="Calibri"/>
          <w:sz w:val="20"/>
          <w:szCs w:val="20"/>
          <w:color w:val="auto"/>
        </w:rPr>
      </w:pPr>
      <w:r>
        <w:rPr>
          <w:rFonts w:ascii="Calibri" w:cs="Calibri" w:eastAsia="Calibri" w:hAnsi="Calibri"/>
          <w:sz w:val="20"/>
          <w:szCs w:val="20"/>
          <w:color w:val="auto"/>
        </w:rPr>
        <w:t>any other method authorized by applicable law or contract.</w:t>
      </w:r>
    </w:p>
    <w:p>
      <w:pPr>
        <w:spacing w:after="0" w:line="225" w:lineRule="exact"/>
        <w:rPr>
          <w:sz w:val="20"/>
          <w:szCs w:val="20"/>
          <w:color w:val="auto"/>
        </w:rPr>
      </w:pPr>
    </w:p>
    <w:p>
      <w:pPr>
        <w:jc w:val="both"/>
        <w:ind w:left="1300"/>
        <w:spacing w:after="0" w:line="446" w:lineRule="auto"/>
        <w:rPr>
          <w:sz w:val="20"/>
          <w:szCs w:val="20"/>
          <w:color w:val="auto"/>
        </w:rPr>
      </w:pPr>
      <w:r>
        <w:rPr>
          <w:rFonts w:ascii="Calibri" w:cs="Calibri" w:eastAsia="Calibri" w:hAnsi="Calibri"/>
          <w:sz w:val="20"/>
          <w:szCs w:val="20"/>
          <w:color w:val="auto"/>
        </w:rPr>
        <w:t>Subject to compliance with any applicable law, the Board may recover amounts under this Policy from any amount otherwise payable to the Covered Executve. MiMedx is authorized and directed pursuant to this Policy to recoup Excess Incentve Compensaton in compliance with this Policy unless the Compensaton Commitee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5 </w:t>
      </w:r>
      <w:r>
        <w:rPr>
          <w:rFonts w:ascii="Calibri" w:cs="Calibri" w:eastAsia="Calibri" w:hAnsi="Calibri"/>
          <w:sz w:val="16"/>
          <w:szCs w:val="16"/>
          <w:color w:val="auto"/>
        </w:rPr>
        <w:t>COMPANY CONFIDENTIAL</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80" w:lineRule="exact"/>
        <w:rPr>
          <w:sz w:val="20"/>
          <w:szCs w:val="20"/>
          <w:color w:val="auto"/>
        </w:rPr>
      </w:pPr>
    </w:p>
    <w:p>
      <w:pPr>
        <w:ind w:left="1300"/>
        <w:spacing w:after="0" w:line="441" w:lineRule="auto"/>
        <w:rPr>
          <w:sz w:val="20"/>
          <w:szCs w:val="20"/>
          <w:color w:val="auto"/>
        </w:rPr>
      </w:pPr>
      <w:r>
        <w:rPr>
          <w:rFonts w:ascii="Calibri" w:cs="Calibri" w:eastAsia="Calibri" w:hAnsi="Calibri"/>
          <w:sz w:val="20"/>
          <w:szCs w:val="20"/>
          <w:color w:val="auto"/>
        </w:rPr>
        <w:t>Board has determined that recovery would be impractcable solely for the following limited reasons, and subject to the following procedural and disclosure requirements:</w:t>
      </w:r>
    </w:p>
    <w:p>
      <w:pPr>
        <w:spacing w:after="0" w:line="21" w:lineRule="exact"/>
        <w:rPr>
          <w:sz w:val="20"/>
          <w:szCs w:val="20"/>
          <w:color w:val="auto"/>
        </w:rPr>
      </w:pPr>
    </w:p>
    <w:p>
      <w:pPr>
        <w:jc w:val="both"/>
        <w:ind w:left="1960" w:hanging="94"/>
        <w:spacing w:after="0" w:line="448" w:lineRule="auto"/>
        <w:rPr>
          <w:sz w:val="20"/>
          <w:szCs w:val="20"/>
          <w:color w:val="auto"/>
        </w:rPr>
      </w:pPr>
      <w:r>
        <w:rPr>
          <w:rFonts w:ascii="Calibri" w:cs="Calibri" w:eastAsia="Calibri" w:hAnsi="Calibri"/>
          <w:sz w:val="20"/>
          <w:szCs w:val="20"/>
          <w:color w:val="auto"/>
        </w:rPr>
        <w:t>The direct expense paid to a third party to assist in enforcing the Policy would exceed the amount to be recovered; provided that prior to concluding that it would be impractcable to recover any amount of Excess Incentve Compensaton based on expense of enforcement, the Board must make a reasonable atempt to recover such erroneously awarded compensaton, document such reasonable atempt(s) to recover and provide that documentaton to Nasdaq;</w:t>
      </w:r>
    </w:p>
    <w:p>
      <w:pPr>
        <w:spacing w:after="0" w:line="16" w:lineRule="exact"/>
        <w:rPr>
          <w:sz w:val="20"/>
          <w:szCs w:val="20"/>
          <w:color w:val="auto"/>
        </w:rPr>
      </w:pPr>
    </w:p>
    <w:p>
      <w:pPr>
        <w:jc w:val="both"/>
        <w:ind w:left="1960" w:right="20" w:hanging="94"/>
        <w:spacing w:after="0" w:line="446" w:lineRule="auto"/>
        <w:rPr>
          <w:sz w:val="20"/>
          <w:szCs w:val="20"/>
          <w:color w:val="auto"/>
        </w:rPr>
      </w:pPr>
      <w:r>
        <w:rPr>
          <w:rFonts w:ascii="Calibri" w:cs="Calibri" w:eastAsia="Calibri" w:hAnsi="Calibri"/>
          <w:sz w:val="20"/>
          <w:szCs w:val="20"/>
          <w:color w:val="auto"/>
        </w:rPr>
        <w:t>Recovery would likely cause an otherwise tax-qualifed retrement plan, under which benefts are broadly available to employees of MiMedx, to fail to meet the requirements of 26 U.S.C. 401(a)(13) or 26 U.S.C. 411(a) and regulatons thereunder.</w:t>
      </w:r>
    </w:p>
    <w:p>
      <w:pPr>
        <w:spacing w:after="0" w:line="29" w:lineRule="exact"/>
        <w:rPr>
          <w:sz w:val="20"/>
          <w:szCs w:val="20"/>
          <w:color w:val="auto"/>
        </w:rPr>
      </w:pPr>
    </w:p>
    <w:p>
      <w:pPr>
        <w:jc w:val="both"/>
        <w:ind w:left="1300" w:hanging="320"/>
        <w:spacing w:after="0" w:line="435" w:lineRule="auto"/>
        <w:tabs>
          <w:tab w:leader="none" w:pos="1300" w:val="left"/>
        </w:tabs>
        <w:numPr>
          <w:ilvl w:val="0"/>
          <w:numId w:val="56"/>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Misconduct</w:t>
      </w:r>
      <w:r>
        <w:rPr>
          <w:rFonts w:ascii="Calibri" w:cs="Calibri" w:eastAsia="Calibri" w:hAnsi="Calibri"/>
          <w:sz w:val="20"/>
          <w:szCs w:val="20"/>
          <w:color w:val="auto"/>
        </w:rPr>
        <w:t>. If the Board has determined that a Covered Executve or Senior Ofcer has engaged in misconduct, as predefned by the Compensaton Commitee, the Board may seek recoupment of payouts under MiMedx’s incentve</w:t>
      </w:r>
    </w:p>
    <w:p>
      <w:pPr>
        <w:spacing w:after="0" w:line="21" w:lineRule="exact"/>
        <w:rPr>
          <w:rFonts w:ascii="Courier New" w:cs="Courier New" w:eastAsia="Courier New" w:hAnsi="Courier New"/>
          <w:sz w:val="20"/>
          <w:szCs w:val="20"/>
          <w:color w:val="auto"/>
        </w:rPr>
      </w:pPr>
    </w:p>
    <w:p>
      <w:pPr>
        <w:jc w:val="both"/>
        <w:ind w:left="1300"/>
        <w:spacing w:after="0" w:line="448" w:lineRule="auto"/>
        <w:rPr>
          <w:rFonts w:ascii="Courier New" w:cs="Courier New" w:eastAsia="Courier New" w:hAnsi="Courier New"/>
          <w:sz w:val="20"/>
          <w:szCs w:val="20"/>
          <w:color w:val="auto"/>
        </w:rPr>
      </w:pPr>
      <w:r>
        <w:rPr>
          <w:rFonts w:ascii="Calibri" w:cs="Calibri" w:eastAsia="Calibri" w:hAnsi="Calibri"/>
          <w:sz w:val="20"/>
          <w:szCs w:val="20"/>
          <w:color w:val="auto"/>
        </w:rPr>
        <w:t>compensaton programs (including, but not limited to, any of the Management Incentve Plans from 2016 to present). For this purpose, “misconduct” shall include, but is not limited to, any material violaton of a MiMedx policy that causes signifcant harm to MiMedx. The amount that may be recovered will be the amount of the payouts under such incentve compensaton programs to the Executve during the period in which the misconduct commenced or contnued uncured and/or during which the signifcant harm to MiMedx contnued.</w:t>
      </w:r>
    </w:p>
    <w:p>
      <w:pPr>
        <w:spacing w:after="0" w:line="13" w:lineRule="exact"/>
        <w:rPr>
          <w:rFonts w:ascii="Courier New" w:cs="Courier New" w:eastAsia="Courier New" w:hAnsi="Courier New"/>
          <w:sz w:val="20"/>
          <w:szCs w:val="20"/>
          <w:color w:val="auto"/>
        </w:rPr>
      </w:pPr>
    </w:p>
    <w:p>
      <w:pPr>
        <w:ind w:left="1300" w:hanging="320"/>
        <w:spacing w:after="0"/>
        <w:tabs>
          <w:tab w:leader="none" w:pos="1300" w:val="left"/>
        </w:tabs>
        <w:numPr>
          <w:ilvl w:val="0"/>
          <w:numId w:val="56"/>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Other Recoupment and Additonal Rights</w:t>
      </w:r>
      <w:r>
        <w:rPr>
          <w:rFonts w:ascii="Calibri" w:cs="Calibri" w:eastAsia="Calibri" w:hAnsi="Calibri"/>
          <w:sz w:val="20"/>
          <w:szCs w:val="20"/>
          <w:color w:val="auto"/>
        </w:rPr>
        <w:t>.</w:t>
      </w:r>
    </w:p>
    <w:p>
      <w:pPr>
        <w:spacing w:after="0" w:line="225" w:lineRule="exact"/>
        <w:rPr>
          <w:sz w:val="20"/>
          <w:szCs w:val="20"/>
          <w:color w:val="auto"/>
        </w:rPr>
      </w:pPr>
    </w:p>
    <w:p>
      <w:pPr>
        <w:ind w:left="1960" w:right="20" w:hanging="94"/>
        <w:spacing w:after="0" w:line="441" w:lineRule="auto"/>
        <w:rPr>
          <w:sz w:val="20"/>
          <w:szCs w:val="20"/>
          <w:color w:val="auto"/>
        </w:rPr>
      </w:pPr>
      <w:r>
        <w:rPr>
          <w:rFonts w:ascii="Calibri" w:cs="Calibri" w:eastAsia="Calibri" w:hAnsi="Calibri"/>
          <w:sz w:val="20"/>
          <w:szCs w:val="20"/>
          <w:u w:val="single" w:color="auto"/>
          <w:color w:val="auto"/>
        </w:rPr>
        <w:t>Senior Ofcers</w:t>
      </w:r>
      <w:r>
        <w:rPr>
          <w:rFonts w:ascii="Calibri" w:cs="Calibri" w:eastAsia="Calibri" w:hAnsi="Calibri"/>
          <w:sz w:val="20"/>
          <w:szCs w:val="20"/>
          <w:color w:val="auto"/>
        </w:rPr>
        <w:t>. If MiMedx is required to restate its fnancial results due to material noncompliance with fnancial reportng requirements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6 </w:t>
      </w:r>
      <w:r>
        <w:rPr>
          <w:rFonts w:ascii="Calibri" w:cs="Calibri" w:eastAsia="Calibri" w:hAnsi="Calibri"/>
          <w:sz w:val="16"/>
          <w:szCs w:val="16"/>
          <w:color w:val="auto"/>
        </w:rPr>
        <w:t>COMPANY CONFIDENTIAL</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0" w:lineRule="exact"/>
        <w:rPr>
          <w:sz w:val="20"/>
          <w:szCs w:val="20"/>
          <w:color w:val="auto"/>
        </w:rPr>
      </w:pPr>
    </w:p>
    <w:p>
      <w:pPr>
        <w:jc w:val="both"/>
        <w:ind w:left="1960"/>
        <w:spacing w:after="0" w:line="450" w:lineRule="auto"/>
        <w:rPr>
          <w:sz w:val="20"/>
          <w:szCs w:val="20"/>
          <w:color w:val="auto"/>
        </w:rPr>
      </w:pPr>
      <w:r>
        <w:rPr>
          <w:rFonts w:ascii="Calibri" w:cs="Calibri" w:eastAsia="Calibri" w:hAnsi="Calibri"/>
          <w:sz w:val="20"/>
          <w:szCs w:val="20"/>
          <w:color w:val="auto"/>
        </w:rPr>
        <w:t>securites laws, the Board may seek to recapture Excess Incentve Compensaton paid to any other named ofcers or senior management level and higher-ranking executve ofcer who are not Covered Executves (“Senior Ofcers”) on the basis of having met or exceeded performance targets during the period covered by the restated fnancial statement(s), regardless of whether any such individuals are found personally responsible for the misstatement(s). In the case of a Senior Ofcer, the Board shall also determine whether any restatement was the result of violaton(s) of federal securites laws in which scienter is a necessary element by a Senior Ofcer. In such case, the Board shall take the steps necessary to recoup from any Senior Ofcer whose scienter led to the restatement of all incentve compensaton awarded to the ofcer for performance during the periods afected by the restatement; provided, however, this recoupment obligaton is subject to MiMedx’s consideraton regarding (i) a cost/beneft analysis with respect to pursuing recovery of such incentve compensaton, and (ii) an analysis of the potental impact of the individual’s indemnifcaton agreement on such pursuit. For this purpose, compensaton shall include any bonus or other incentve-based or equity-based (to the extent ted to fnancial metrics) compensaton paid to any Senior Ofcers during the twelve-month period following the frst public issuance or fling with the Securites and Exchange Commission (whichever frst occurs) of the fnancial document embodying such error or, in the determinaton of the Board of a longer period, during the three completed fscal years immediately preceding the date on which MiMedx is required to prepare the restatement, to the extent that compensaton was based on the misstated fnancial result. Notwithstanding anything to the contrary herein, the requirements of the secton 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7 </w:t>
      </w:r>
      <w:r>
        <w:rPr>
          <w:rFonts w:ascii="Calibri" w:cs="Calibri" w:eastAsia="Calibri" w:hAnsi="Calibri"/>
          <w:sz w:val="16"/>
          <w:szCs w:val="16"/>
          <w:color w:val="auto"/>
        </w:rPr>
        <w:t>COMPANY CONFIDENTIAL</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80" w:lineRule="exact"/>
        <w:rPr>
          <w:sz w:val="20"/>
          <w:szCs w:val="20"/>
          <w:color w:val="auto"/>
        </w:rPr>
      </w:pPr>
    </w:p>
    <w:p>
      <w:pPr>
        <w:ind w:left="1860" w:firstLine="95"/>
        <w:spacing w:after="0" w:line="449" w:lineRule="auto"/>
        <w:rPr>
          <w:sz w:val="20"/>
          <w:szCs w:val="20"/>
          <w:color w:val="auto"/>
        </w:rPr>
      </w:pPr>
      <w:r>
        <w:rPr>
          <w:rFonts w:ascii="Calibri" w:cs="Calibri" w:eastAsia="Calibri" w:hAnsi="Calibri"/>
          <w:sz w:val="20"/>
          <w:szCs w:val="20"/>
          <w:color w:val="auto"/>
        </w:rPr>
        <w:t>“Recoupment; Accountng Restatement” shall control as to Accountng Restatements by Covered Executves. The terms of this Policy shall apply to Incentve-Based Compensaton that is received by a Senior Ofcer on or afer the Efectve Date and during the applicable clawback period described herein, even if such compensaton was approved, awarded, granted or paid to Senior Ofcers prior to the Efectve Date. For Senior Ofcers, the Board may determine the amount of excess compensaton and the method of recoupment, including without limitaton from the methods for Covered Executves listed within this Policy.</w:t>
      </w:r>
    </w:p>
    <w:p>
      <w:pPr>
        <w:spacing w:after="0" w:line="27" w:lineRule="exact"/>
        <w:rPr>
          <w:sz w:val="20"/>
          <w:szCs w:val="20"/>
          <w:color w:val="auto"/>
        </w:rPr>
      </w:pPr>
    </w:p>
    <w:p>
      <w:pPr>
        <w:jc w:val="both"/>
        <w:ind w:left="1300" w:hanging="320"/>
        <w:spacing w:after="0" w:line="435" w:lineRule="auto"/>
        <w:tabs>
          <w:tab w:leader="none" w:pos="1300" w:val="left"/>
        </w:tabs>
        <w:numPr>
          <w:ilvl w:val="0"/>
          <w:numId w:val="57"/>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Enforcement and Other Reinforcement Rights</w:t>
      </w:r>
      <w:r>
        <w:rPr>
          <w:rFonts w:ascii="Calibri" w:cs="Calibri" w:eastAsia="Calibri" w:hAnsi="Calibri"/>
          <w:sz w:val="20"/>
          <w:szCs w:val="20"/>
          <w:color w:val="auto"/>
        </w:rPr>
        <w:t>. The Board intends that this Policy will be applied to the fullest extent of the law. The Board may require that any employment agreement, equity award agreement, or similar agreement</w:t>
      </w:r>
    </w:p>
    <w:p>
      <w:pPr>
        <w:spacing w:after="0" w:line="21" w:lineRule="exact"/>
        <w:rPr>
          <w:rFonts w:ascii="Courier New" w:cs="Courier New" w:eastAsia="Courier New" w:hAnsi="Courier New"/>
          <w:sz w:val="20"/>
          <w:szCs w:val="20"/>
          <w:color w:val="auto"/>
        </w:rPr>
      </w:pPr>
    </w:p>
    <w:p>
      <w:pPr>
        <w:jc w:val="both"/>
        <w:ind w:left="1300"/>
        <w:spacing w:after="0" w:line="448" w:lineRule="auto"/>
        <w:rPr>
          <w:rFonts w:ascii="Courier New" w:cs="Courier New" w:eastAsia="Courier New" w:hAnsi="Courier New"/>
          <w:sz w:val="20"/>
          <w:szCs w:val="20"/>
          <w:color w:val="auto"/>
        </w:rPr>
      </w:pPr>
      <w:r>
        <w:rPr>
          <w:rFonts w:ascii="Calibri" w:cs="Calibri" w:eastAsia="Calibri" w:hAnsi="Calibri"/>
          <w:sz w:val="20"/>
          <w:szCs w:val="20"/>
          <w:color w:val="auto"/>
        </w:rPr>
        <w:t>entered into on or afer the Efectve Date shall, as a conditon to the grant of any beneft thereunder, require a Covered Executve or Senior Ofcer to agree to abide by the terms of this Policy. Any right of recoupment under this Policy is in additon to, and not in lieu of, any other remedies or rights of recoupment that may be available to MiMedx pursuant to the terms of any similar policy in any employment agreement, equity award agreement, or similar agreement and any other legal remedies available to MiMedx. This Policy does not limit MiMedx’s right to take other appropriate actons</w:t>
      </w:r>
    </w:p>
    <w:p>
      <w:pPr>
        <w:spacing w:after="0" w:line="7"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with respect to its employees.</w:t>
      </w:r>
    </w:p>
    <w:p>
      <w:pPr>
        <w:spacing w:after="0" w:line="215" w:lineRule="exact"/>
        <w:rPr>
          <w:sz w:val="20"/>
          <w:szCs w:val="20"/>
          <w:color w:val="auto"/>
        </w:rPr>
      </w:pPr>
    </w:p>
    <w:p>
      <w:pPr>
        <w:ind w:left="500"/>
        <w:spacing w:after="0"/>
        <w:rPr>
          <w:sz w:val="20"/>
          <w:szCs w:val="20"/>
          <w:color w:val="auto"/>
        </w:rPr>
      </w:pPr>
      <w:r>
        <w:rPr>
          <w:rFonts w:ascii="Calibri" w:cs="Calibri" w:eastAsia="Calibri" w:hAnsi="Calibri"/>
          <w:sz w:val="20"/>
          <w:szCs w:val="20"/>
          <w:u w:val="single" w:color="auto"/>
          <w:color w:val="auto"/>
        </w:rPr>
        <w:t>General Provisions</w:t>
      </w:r>
    </w:p>
    <w:p>
      <w:pPr>
        <w:spacing w:after="0" w:line="238" w:lineRule="exact"/>
        <w:rPr>
          <w:sz w:val="20"/>
          <w:szCs w:val="20"/>
          <w:color w:val="auto"/>
        </w:rPr>
      </w:pPr>
    </w:p>
    <w:p>
      <w:pPr>
        <w:jc w:val="both"/>
        <w:ind w:left="1300" w:right="20" w:hanging="320"/>
        <w:spacing w:after="0" w:line="435" w:lineRule="auto"/>
        <w:tabs>
          <w:tab w:leader="none" w:pos="1300" w:val="left"/>
        </w:tabs>
        <w:numPr>
          <w:ilvl w:val="0"/>
          <w:numId w:val="58"/>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No Indemnifcaton of Covered Executves or Senior Ofcers</w:t>
      </w:r>
      <w:r>
        <w:rPr>
          <w:rFonts w:ascii="Calibri" w:cs="Calibri" w:eastAsia="Calibri" w:hAnsi="Calibri"/>
          <w:sz w:val="20"/>
          <w:szCs w:val="20"/>
          <w:color w:val="auto"/>
        </w:rPr>
        <w:t>. MiMedx shall not indemnify any Covered Executves or Senior Ofcers against the loss of any incorrectly awarded Excess Incentve Compensaton or other compensaton.</w:t>
      </w:r>
    </w:p>
    <w:p>
      <w:pPr>
        <w:spacing w:after="0" w:line="21" w:lineRule="exact"/>
        <w:rPr>
          <w:rFonts w:ascii="Courier New" w:cs="Courier New" w:eastAsia="Courier New" w:hAnsi="Courier New"/>
          <w:sz w:val="20"/>
          <w:szCs w:val="20"/>
          <w:color w:val="auto"/>
        </w:rPr>
      </w:pPr>
    </w:p>
    <w:p>
      <w:pPr>
        <w:ind w:left="1300" w:right="20"/>
        <w:spacing w:after="0" w:line="441" w:lineRule="auto"/>
        <w:rPr>
          <w:rFonts w:ascii="Courier New" w:cs="Courier New" w:eastAsia="Courier New" w:hAnsi="Courier New"/>
          <w:sz w:val="20"/>
          <w:szCs w:val="20"/>
          <w:color w:val="auto"/>
        </w:rPr>
      </w:pPr>
      <w:r>
        <w:rPr>
          <w:rFonts w:ascii="Calibri" w:cs="Calibri" w:eastAsia="Calibri" w:hAnsi="Calibri"/>
          <w:sz w:val="20"/>
          <w:szCs w:val="20"/>
          <w:color w:val="auto"/>
        </w:rPr>
        <w:t>MiMedx is prohibited from paying or reimbursing a Covered Executve or Senior Ofcer for purchasing insurance to cover any such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8 </w:t>
      </w:r>
      <w:r>
        <w:rPr>
          <w:rFonts w:ascii="Calibri" w:cs="Calibri" w:eastAsia="Calibri" w:hAnsi="Calibri"/>
          <w:sz w:val="16"/>
          <w:szCs w:val="16"/>
          <w:color w:val="auto"/>
        </w:rPr>
        <w:t>COMPANY CONFIDENTIAL</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93" w:lineRule="exact"/>
        <w:rPr>
          <w:sz w:val="20"/>
          <w:szCs w:val="20"/>
          <w:color w:val="auto"/>
        </w:rPr>
      </w:pPr>
    </w:p>
    <w:p>
      <w:pPr>
        <w:jc w:val="both"/>
        <w:ind w:left="1300" w:hanging="320"/>
        <w:spacing w:after="0" w:line="435" w:lineRule="auto"/>
        <w:tabs>
          <w:tab w:leader="none" w:pos="1300" w:val="left"/>
        </w:tabs>
        <w:numPr>
          <w:ilvl w:val="0"/>
          <w:numId w:val="59"/>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Board Indemnifcaton</w:t>
      </w:r>
      <w:r>
        <w:rPr>
          <w:rFonts w:ascii="Calibri" w:cs="Calibri" w:eastAsia="Calibri" w:hAnsi="Calibri"/>
          <w:sz w:val="20"/>
          <w:szCs w:val="20"/>
          <w:color w:val="auto"/>
        </w:rPr>
        <w:t>. Any members of the Board or its delegates shall not be personally liable for any acton, determinaton or interpretaton made with respect to this Policy and shall be fully indemnifed by MiMedx to the fullest</w:t>
      </w:r>
    </w:p>
    <w:p>
      <w:pPr>
        <w:spacing w:after="0" w:line="21" w:lineRule="exact"/>
        <w:rPr>
          <w:rFonts w:ascii="Courier New" w:cs="Courier New" w:eastAsia="Courier New" w:hAnsi="Courier New"/>
          <w:sz w:val="20"/>
          <w:szCs w:val="20"/>
          <w:color w:val="auto"/>
        </w:rPr>
      </w:pPr>
    </w:p>
    <w:p>
      <w:pPr>
        <w:jc w:val="both"/>
        <w:ind w:left="1300"/>
        <w:spacing w:after="0" w:line="446" w:lineRule="auto"/>
        <w:rPr>
          <w:rFonts w:ascii="Courier New" w:cs="Courier New" w:eastAsia="Courier New" w:hAnsi="Courier New"/>
          <w:sz w:val="20"/>
          <w:szCs w:val="20"/>
          <w:color w:val="auto"/>
        </w:rPr>
      </w:pPr>
      <w:r>
        <w:rPr>
          <w:rFonts w:ascii="Calibri" w:cs="Calibri" w:eastAsia="Calibri" w:hAnsi="Calibri"/>
          <w:sz w:val="20"/>
          <w:szCs w:val="20"/>
          <w:color w:val="auto"/>
        </w:rPr>
        <w:t>extent under applicable law and MiMedx’s organizatonal documents and policy with respect to any such acton, determinaton or interpretaton. The foregoing sentence shall not limit any other rights to indemnifcaton of the members of the Board or its delegates under applicable law or MiMedx organizatonal documents and policy.</w:t>
      </w:r>
    </w:p>
    <w:p>
      <w:pPr>
        <w:spacing w:after="0" w:line="29" w:lineRule="exact"/>
        <w:rPr>
          <w:rFonts w:ascii="Courier New" w:cs="Courier New" w:eastAsia="Courier New" w:hAnsi="Courier New"/>
          <w:sz w:val="20"/>
          <w:szCs w:val="20"/>
          <w:color w:val="auto"/>
        </w:rPr>
      </w:pPr>
    </w:p>
    <w:p>
      <w:pPr>
        <w:jc w:val="both"/>
        <w:ind w:left="1300" w:right="20" w:hanging="320"/>
        <w:spacing w:after="0" w:line="435" w:lineRule="auto"/>
        <w:tabs>
          <w:tab w:leader="none" w:pos="1300" w:val="left"/>
        </w:tabs>
        <w:numPr>
          <w:ilvl w:val="0"/>
          <w:numId w:val="59"/>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Efectve Date</w:t>
      </w:r>
      <w:r>
        <w:rPr>
          <w:rFonts w:ascii="Calibri" w:cs="Calibri" w:eastAsia="Calibri" w:hAnsi="Calibri"/>
          <w:sz w:val="20"/>
          <w:szCs w:val="20"/>
          <w:color w:val="auto"/>
        </w:rPr>
        <w:t>. This Policy shall be efectve as of the efectve date of the Listng Standards (the “Efectve Date”). The terms of this Policy shall apply to any Incentve-Based Compensaton that is received by Covered Executves on or afer</w:t>
      </w:r>
    </w:p>
    <w:p>
      <w:pPr>
        <w:spacing w:after="0" w:line="21" w:lineRule="exact"/>
        <w:rPr>
          <w:rFonts w:ascii="Courier New" w:cs="Courier New" w:eastAsia="Courier New" w:hAnsi="Courier New"/>
          <w:sz w:val="20"/>
          <w:szCs w:val="20"/>
          <w:color w:val="auto"/>
        </w:rPr>
      </w:pPr>
    </w:p>
    <w:p>
      <w:pPr>
        <w:ind w:left="1300"/>
        <w:spacing w:after="0" w:line="441" w:lineRule="auto"/>
        <w:rPr>
          <w:rFonts w:ascii="Courier New" w:cs="Courier New" w:eastAsia="Courier New" w:hAnsi="Courier New"/>
          <w:sz w:val="20"/>
          <w:szCs w:val="20"/>
          <w:color w:val="auto"/>
        </w:rPr>
      </w:pPr>
      <w:r>
        <w:rPr>
          <w:rFonts w:ascii="Calibri" w:cs="Calibri" w:eastAsia="Calibri" w:hAnsi="Calibri"/>
          <w:sz w:val="20"/>
          <w:szCs w:val="20"/>
          <w:color w:val="auto"/>
        </w:rPr>
        <w:t>the Efectve Date and during the applicable clawback period described herein, even if such Incentve-Based Compensaton was approved, awarded, granted or paid to Covered Executves prior to the Efectve Date.</w:t>
      </w:r>
    </w:p>
    <w:p>
      <w:pPr>
        <w:spacing w:after="0" w:line="34" w:lineRule="exact"/>
        <w:rPr>
          <w:rFonts w:ascii="Courier New" w:cs="Courier New" w:eastAsia="Courier New" w:hAnsi="Courier New"/>
          <w:sz w:val="20"/>
          <w:szCs w:val="20"/>
          <w:color w:val="auto"/>
        </w:rPr>
      </w:pPr>
    </w:p>
    <w:p>
      <w:pPr>
        <w:jc w:val="both"/>
        <w:ind w:left="1300" w:hanging="320"/>
        <w:spacing w:after="0" w:line="435" w:lineRule="auto"/>
        <w:tabs>
          <w:tab w:leader="none" w:pos="1300" w:val="left"/>
        </w:tabs>
        <w:numPr>
          <w:ilvl w:val="0"/>
          <w:numId w:val="59"/>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Severability</w:t>
      </w:r>
      <w:r>
        <w:rPr>
          <w:rFonts w:ascii="Calibri" w:cs="Calibri" w:eastAsia="Calibri" w:hAnsi="Calibri"/>
          <w:sz w:val="20"/>
          <w:szCs w:val="20"/>
          <w:color w:val="auto"/>
        </w:rPr>
        <w:t>. The provisions in this Policy are intended to be applied to the fullest extent of the law. To the extent that any provision of this Policy is found to be unenforceable or invalid under any applicable law, such provision shall be</w:t>
      </w:r>
    </w:p>
    <w:p>
      <w:pPr>
        <w:spacing w:after="0" w:line="21" w:lineRule="exact"/>
        <w:rPr>
          <w:rFonts w:ascii="Courier New" w:cs="Courier New" w:eastAsia="Courier New" w:hAnsi="Courier New"/>
          <w:sz w:val="20"/>
          <w:szCs w:val="20"/>
          <w:color w:val="auto"/>
        </w:rPr>
      </w:pPr>
    </w:p>
    <w:p>
      <w:pPr>
        <w:ind w:left="1300" w:right="20"/>
        <w:spacing w:after="0" w:line="441" w:lineRule="auto"/>
        <w:rPr>
          <w:rFonts w:ascii="Courier New" w:cs="Courier New" w:eastAsia="Courier New" w:hAnsi="Courier New"/>
          <w:sz w:val="20"/>
          <w:szCs w:val="20"/>
          <w:color w:val="auto"/>
        </w:rPr>
      </w:pPr>
      <w:r>
        <w:rPr>
          <w:rFonts w:ascii="Calibri" w:cs="Calibri" w:eastAsia="Calibri" w:hAnsi="Calibri"/>
          <w:sz w:val="20"/>
          <w:szCs w:val="20"/>
          <w:color w:val="auto"/>
        </w:rPr>
        <w:t>applied to the maximum extent permited, and shall automatcally be deemed amended in a manner consistent with its objectves to the extent necessary to conform to any limitatons required under applicable law.</w:t>
      </w:r>
    </w:p>
    <w:p>
      <w:pPr>
        <w:spacing w:after="0" w:line="34" w:lineRule="exact"/>
        <w:rPr>
          <w:rFonts w:ascii="Courier New" w:cs="Courier New" w:eastAsia="Courier New" w:hAnsi="Courier New"/>
          <w:sz w:val="20"/>
          <w:szCs w:val="20"/>
          <w:color w:val="auto"/>
        </w:rPr>
      </w:pPr>
    </w:p>
    <w:p>
      <w:pPr>
        <w:jc w:val="both"/>
        <w:ind w:left="1300" w:hanging="320"/>
        <w:spacing w:after="0" w:line="435" w:lineRule="auto"/>
        <w:tabs>
          <w:tab w:leader="none" w:pos="1300" w:val="left"/>
        </w:tabs>
        <w:numPr>
          <w:ilvl w:val="0"/>
          <w:numId w:val="59"/>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Governing Law</w:t>
      </w:r>
      <w:r>
        <w:rPr>
          <w:rFonts w:ascii="Calibri" w:cs="Calibri" w:eastAsia="Calibri" w:hAnsi="Calibri"/>
          <w:sz w:val="20"/>
          <w:szCs w:val="20"/>
          <w:color w:val="auto"/>
        </w:rPr>
        <w:t>. This Policy and all rights and obligatons hereunder are governed by and construed in accordance with the internal laws of the State of Florida, excluding any choice of law rules or principles that may direct the applicaton of</w:t>
      </w:r>
    </w:p>
    <w:p>
      <w:pPr>
        <w:spacing w:after="0" w:line="11" w:lineRule="exact"/>
        <w:rPr>
          <w:rFonts w:ascii="Courier New" w:cs="Courier New" w:eastAsia="Courier New" w:hAnsi="Courier New"/>
          <w:sz w:val="20"/>
          <w:szCs w:val="20"/>
          <w:color w:val="auto"/>
        </w:rPr>
      </w:pPr>
    </w:p>
    <w:p>
      <w:pPr>
        <w:ind w:left="1300"/>
        <w:spacing w:after="0"/>
        <w:rPr>
          <w:rFonts w:ascii="Courier New" w:cs="Courier New" w:eastAsia="Courier New" w:hAnsi="Courier New"/>
          <w:sz w:val="20"/>
          <w:szCs w:val="20"/>
          <w:color w:val="auto"/>
        </w:rPr>
      </w:pPr>
      <w:r>
        <w:rPr>
          <w:rFonts w:ascii="Calibri" w:cs="Calibri" w:eastAsia="Calibri" w:hAnsi="Calibri"/>
          <w:sz w:val="20"/>
          <w:szCs w:val="20"/>
          <w:color w:val="auto"/>
        </w:rPr>
        <w:t>the laws of another jurisdicton.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9 </w:t>
      </w:r>
      <w:r>
        <w:rPr>
          <w:rFonts w:ascii="Calibri" w:cs="Calibri" w:eastAsia="Calibri" w:hAnsi="Calibri"/>
          <w:sz w:val="16"/>
          <w:szCs w:val="16"/>
          <w:color w:val="auto"/>
        </w:rPr>
        <w:t>COMPANY CONFIDENTIAL</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93" w:lineRule="exact"/>
        <w:rPr>
          <w:sz w:val="20"/>
          <w:szCs w:val="20"/>
          <w:color w:val="auto"/>
        </w:rPr>
      </w:pPr>
    </w:p>
    <w:p>
      <w:pPr>
        <w:ind w:left="1300" w:hanging="320"/>
        <w:spacing w:after="0" w:line="435" w:lineRule="auto"/>
        <w:tabs>
          <w:tab w:leader="none" w:pos="1300" w:val="left"/>
        </w:tabs>
        <w:numPr>
          <w:ilvl w:val="0"/>
          <w:numId w:val="60"/>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Successors</w:t>
      </w:r>
      <w:r>
        <w:rPr>
          <w:rFonts w:ascii="Calibri" w:cs="Calibri" w:eastAsia="Calibri" w:hAnsi="Calibri"/>
          <w:sz w:val="20"/>
          <w:szCs w:val="20"/>
          <w:color w:val="auto"/>
        </w:rPr>
        <w:t>. This Policy shall be binding and enforceable against all Covered Executves, Senior Ofcers, and their benefciaries, heirs, executors, administrators or other legal representatves.</w:t>
      </w:r>
    </w:p>
    <w:p>
      <w:pPr>
        <w:spacing w:after="0" w:line="35" w:lineRule="exact"/>
        <w:rPr>
          <w:rFonts w:ascii="Courier New" w:cs="Courier New" w:eastAsia="Courier New" w:hAnsi="Courier New"/>
          <w:sz w:val="20"/>
          <w:szCs w:val="20"/>
          <w:color w:val="auto"/>
        </w:rPr>
      </w:pPr>
    </w:p>
    <w:p>
      <w:pPr>
        <w:ind w:left="1300" w:hanging="320"/>
        <w:spacing w:after="0" w:line="435" w:lineRule="auto"/>
        <w:tabs>
          <w:tab w:leader="none" w:pos="1300" w:val="left"/>
        </w:tabs>
        <w:numPr>
          <w:ilvl w:val="0"/>
          <w:numId w:val="60"/>
        </w:numPr>
        <w:rPr>
          <w:rFonts w:ascii="Courier New" w:cs="Courier New" w:eastAsia="Courier New" w:hAnsi="Courier New"/>
          <w:sz w:val="20"/>
          <w:szCs w:val="20"/>
          <w:color w:val="auto"/>
        </w:rPr>
      </w:pPr>
      <w:r>
        <w:rPr>
          <w:rFonts w:ascii="Calibri" w:cs="Calibri" w:eastAsia="Calibri" w:hAnsi="Calibri"/>
          <w:sz w:val="20"/>
          <w:szCs w:val="20"/>
          <w:u w:val="single" w:color="auto"/>
          <w:color w:val="auto"/>
        </w:rPr>
        <w:t>Exhibit Filing Requirement</w:t>
      </w:r>
      <w:r>
        <w:rPr>
          <w:rFonts w:ascii="Calibri" w:cs="Calibri" w:eastAsia="Calibri" w:hAnsi="Calibri"/>
          <w:sz w:val="20"/>
          <w:szCs w:val="20"/>
          <w:color w:val="auto"/>
        </w:rPr>
        <w:t>. A copy of this Policy and any amendments thereto shall be posted on MiMedx’s website and fled as an exhibit to MiMedx’s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10 </w:t>
      </w:r>
      <w:r>
        <w:rPr>
          <w:rFonts w:ascii="Calibri" w:cs="Calibri" w:eastAsia="Calibri" w:hAnsi="Calibri"/>
          <w:sz w:val="16"/>
          <w:szCs w:val="16"/>
          <w:color w:val="auto"/>
        </w:rPr>
        <w:t>COMPANY CONFIDENTIAL</w:t>
      </w:r>
    </w:p>
    <w:p>
      <w:pPr>
        <w:sectPr>
          <w:pgSz w:w="11900" w:h="16838" w:orient="portrait"/>
          <w:cols w:equalWidth="0" w:num="1">
            <w:col w:w="11240"/>
          </w:cols>
          <w:pgMar w:left="320" w:top="144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[FOR SIGNATURE BY MiMedx’s COVERED EXECUTIVES AND SENIOR OFFICERS]</w:t>
      </w:r>
    </w:p>
    <w:p>
      <w:pPr>
        <w:spacing w:after="0" w:line="186" w:lineRule="exact"/>
        <w:rPr>
          <w:sz w:val="20"/>
          <w:szCs w:val="20"/>
          <w:color w:val="auto"/>
        </w:rPr>
      </w:pPr>
    </w:p>
    <w:p>
      <w:pPr>
        <w:spacing w:after="0"/>
        <w:rPr>
          <w:sz w:val="20"/>
          <w:szCs w:val="20"/>
          <w:color w:val="auto"/>
        </w:rPr>
      </w:pPr>
      <w:r>
        <w:rPr>
          <w:rFonts w:ascii="Calibri" w:cs="Calibri" w:eastAsia="Calibri" w:hAnsi="Calibri"/>
          <w:sz w:val="20"/>
          <w:szCs w:val="20"/>
          <w:color w:val="auto"/>
        </w:rPr>
        <w:t>Recoupment Policy Acknowledgment</w:t>
      </w:r>
    </w:p>
    <w:p>
      <w:pPr>
        <w:spacing w:after="0" w:line="225" w:lineRule="exact"/>
        <w:rPr>
          <w:sz w:val="20"/>
          <w:szCs w:val="20"/>
          <w:color w:val="auto"/>
        </w:rPr>
      </w:pPr>
    </w:p>
    <w:p>
      <w:pPr>
        <w:jc w:val="both"/>
        <w:spacing w:after="0" w:line="243" w:lineRule="auto"/>
        <w:rPr>
          <w:sz w:val="20"/>
          <w:szCs w:val="20"/>
          <w:color w:val="auto"/>
        </w:rPr>
      </w:pPr>
      <w:r>
        <w:rPr>
          <w:rFonts w:ascii="Calibri" w:cs="Calibri" w:eastAsia="Calibri" w:hAnsi="Calibri"/>
          <w:sz w:val="20"/>
          <w:szCs w:val="20"/>
          <w:color w:val="auto"/>
        </w:rPr>
        <w:t>I, the undersigned, agree and acknowledge that I am fully bound by, and subject to, all of the terms and conditons of the MiMedx Group, Inc. Compensaton Recoupment Policy (as may be amended, restated, supplemented or otherwise modifed from tme to tme, the “Policy”). In the event of any inconsistency between the Policy and the terms of any employment agreement to which I am a party, or the terms of any compensaton plan, program or agreement under which any compensaton has been granted, awarded, earned or paid, the terms of the Policy shall govern. In the event it is determined by the Board, or such commitee thereof that is charged with administraton of the Policy, that any amounts granted, awarded, earned or paid to me must be forfeited or reimbursed to MiMedx, I will promptly take any acton necessary to efectuate such forfeiture and/or reimbursement. Any capitalized terms used in this Acknowledgment without defniton shall have the meaning set forth in the Policy.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alibri" w:cs="Calibri" w:eastAsia="Calibri" w:hAnsi="Calibri"/>
          <w:sz w:val="20"/>
          <w:szCs w:val="20"/>
          <w:color w:val="auto"/>
        </w:rPr>
        <w:t>__________________________________</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Name:</w:t>
      </w:r>
    </w:p>
    <w:p>
      <w:pPr>
        <w:spacing w:after="0" w:line="26" w:lineRule="exact"/>
        <w:rPr>
          <w:sz w:val="20"/>
          <w:szCs w:val="20"/>
          <w:color w:val="auto"/>
        </w:rPr>
      </w:pPr>
    </w:p>
    <w:p>
      <w:pPr>
        <w:spacing w:after="0"/>
        <w:rPr>
          <w:sz w:val="20"/>
          <w:szCs w:val="20"/>
          <w:color w:val="auto"/>
        </w:rPr>
      </w:pPr>
      <w:r>
        <w:rPr>
          <w:rFonts w:ascii="Calibri" w:cs="Calibri" w:eastAsia="Calibri" w:hAnsi="Calibri"/>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11 </w:t>
      </w:r>
      <w:r>
        <w:rPr>
          <w:rFonts w:ascii="Calibri" w:cs="Calibri" w:eastAsia="Calibri" w:hAnsi="Calibri"/>
          <w:sz w:val="16"/>
          <w:szCs w:val="16"/>
          <w:color w:val="auto"/>
        </w:rPr>
        <w:t>COMPANY CONFIDENTIAL</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bullet"/>
      <w:start w:val="1"/>
    </w:lvl>
  </w:abstractNum>
  <w:abstractNum w:abstractNumId="11">
    <w:nsid w:val="5072367"/>
    <w:multiLevelType w:val="hybridMultilevel"/>
    <w:lvl w:ilvl="0">
      <w:lvlJc w:val="left"/>
      <w:lvlText w:val="3"/>
      <w:numFmt w:val="bullet"/>
      <w:start w:val="1"/>
    </w:lvl>
  </w:abstractNum>
  <w:abstractNum w:abstractNumId="12">
    <w:nsid w:val="3804823E"/>
    <w:multiLevelType w:val="hybridMultilevel"/>
    <w:lvl w:ilvl="0">
      <w:lvlJc w:val="left"/>
      <w:lvlText w:val="5"/>
      <w:numFmt w:val="bullet"/>
      <w:start w:val="1"/>
    </w:lvl>
  </w:abstractNum>
  <w:abstractNum w:abstractNumId="13">
    <w:nsid w:val="77465F01"/>
    <w:multiLevelType w:val="hybridMultilevel"/>
    <w:lvl w:ilvl="0">
      <w:lvlJc w:val="left"/>
      <w:lvlText w:val="6"/>
      <w:numFmt w:val="bullet"/>
      <w:start w:val="1"/>
    </w:lvl>
  </w:abstractNum>
  <w:abstractNum w:abstractNumId="14">
    <w:nsid w:val="7724C67E"/>
    <w:multiLevelType w:val="hybridMultilevel"/>
    <w:lvl w:ilvl="0">
      <w:lvlJc w:val="left"/>
      <w:lvlText w:val="7"/>
      <w:numFmt w:val="bullet"/>
      <w:start w:val="1"/>
    </w:lvl>
  </w:abstractNum>
  <w:abstractNum w:abstractNumId="15">
    <w:nsid w:val="5C482A97"/>
    <w:multiLevelType w:val="hybridMultilevel"/>
    <w:lvl w:ilvl="0">
      <w:lvlJc w:val="left"/>
      <w:lvlText w:val="%1."/>
      <w:numFmt w:val="decimal"/>
      <w:start w:val="361"/>
    </w:lvl>
    <w:lvl w:ilvl="1">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6"/>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decimal"/>
      <w:start w:val="11"/>
    </w:lvl>
  </w:abstractNum>
  <w:abstractNum w:abstractNumId="34">
    <w:nsid w:val="38437FDB"/>
    <w:multiLevelType w:val="hybridMultilevel"/>
    <w:lvl w:ilvl="0">
      <w:lvlJc w:val="left"/>
      <w:lvlText w:val="%1."/>
      <w:numFmt w:val="decimal"/>
      <w:start w:val="12"/>
    </w:lvl>
  </w:abstractNum>
  <w:abstractNum w:abstractNumId="35">
    <w:nsid w:val="7644A45C"/>
    <w:multiLevelType w:val="hybridMultilevel"/>
    <w:lvl w:ilvl="0">
      <w:lvlJc w:val="left"/>
      <w:lvlText w:val="%1."/>
      <w:numFmt w:val="decimal"/>
      <w:start w:val="19"/>
    </w:lvl>
  </w:abstractNum>
  <w:abstractNum w:abstractNumId="36">
    <w:nsid w:val="32FFF902"/>
    <w:multiLevelType w:val="hybridMultilevel"/>
    <w:lvl w:ilvl="0">
      <w:lvlJc w:val="left"/>
      <w:lvlText w:val="(%1)"/>
      <w:numFmt w:val="lowerLetter"/>
      <w:start w:val="1"/>
    </w:lvl>
    <w:lvl w:ilvl="1">
      <w:lvlJc w:val="left"/>
      <w:lvlText w:val="(%2)"/>
      <w:numFmt w:val="lowerRoman"/>
      <w:start w:val="1"/>
    </w:lvl>
  </w:abstractNum>
  <w:abstractNum w:abstractNumId="37">
    <w:nsid w:val="684A481A"/>
    <w:multiLevelType w:val="hybridMultilevel"/>
    <w:lvl w:ilvl="0">
      <w:lvlJc w:val="left"/>
      <w:lvlText w:val="(%1)"/>
      <w:numFmt w:val="lowerLetter"/>
      <w:start w:val="2"/>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4"/>
    </w:lvl>
  </w:abstractNum>
  <w:abstractNum w:abstractNumId="42">
    <w:nsid w:val="79A1DEAA"/>
    <w:multiLevelType w:val="hybridMultilevel"/>
    <w:lvl w:ilvl="0">
      <w:lvlJc w:val="left"/>
      <w:lvlText w:val="%1."/>
      <w:numFmt w:val="decimal"/>
      <w:start w:val="5"/>
    </w:lvl>
  </w:abstractNum>
  <w:abstractNum w:abstractNumId="43">
    <w:nsid w:val="75C6C33A"/>
    <w:multiLevelType w:val="hybridMultilevel"/>
    <w:lvl w:ilvl="0">
      <w:lvlJc w:val="left"/>
      <w:lvlText w:val="%1."/>
      <w:numFmt w:val="upperLetter"/>
      <w:start w:val="9"/>
    </w:lvl>
    <w:lvl w:ilvl="1">
      <w:lvlJc w:val="left"/>
      <w:lvlText w:val="%2."/>
      <w:numFmt w:val="decimal"/>
      <w:start w:val="1"/>
    </w:lvl>
  </w:abstractNum>
  <w:abstractNum w:abstractNumId="44">
    <w:nsid w:val="12E685FB"/>
    <w:multiLevelType w:val="hybridMultilevel"/>
    <w:lvl w:ilvl="0">
      <w:lvlJc w:val="left"/>
      <w:lvlText w:val="%1."/>
      <w:numFmt w:val="upperLetter"/>
      <w:start w:val="35"/>
    </w:lvl>
  </w:abstractNum>
  <w:abstractNum w:abstractNumId="45">
    <w:nsid w:val="70C6A529"/>
    <w:multiLevelType w:val="hybridMultilevel"/>
    <w:lvl w:ilvl="0">
      <w:lvlJc w:val="left"/>
      <w:lvlText w:val="%1."/>
      <w:numFmt w:val="upperLetter"/>
      <w:start w:val="61"/>
    </w:lvl>
  </w:abstractNum>
  <w:abstractNum w:abstractNumId="46">
    <w:nsid w:val="520EEDD1"/>
    <w:multiLevelType w:val="hybridMultilevel"/>
    <w:lvl w:ilvl="0">
      <w:lvlJc w:val="left"/>
      <w:lvlText w:val="%1."/>
      <w:numFmt w:val="upperLetter"/>
      <w:start w:val="22"/>
    </w:lvl>
  </w:abstractNum>
  <w:abstractNum w:abstractNumId="47">
    <w:nsid w:val="374A3FE6"/>
    <w:multiLevelType w:val="hybridMultilevel"/>
    <w:lvl w:ilvl="0">
      <w:lvlJc w:val="left"/>
      <w:lvlText w:val="%1."/>
      <w:numFmt w:val="upperLetter"/>
      <w:start w:val="24"/>
    </w:lvl>
  </w:abstractNum>
  <w:abstractNum w:abstractNumId="48">
    <w:nsid w:val="4F4EF0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9">
    <w:nsid w:val="23F9C13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50">
    <w:nsid w:val="649BB77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o"/>
      <w:numFmt w:val="bullet"/>
      <w:start w:val="1"/>
    </w:lvl>
  </w:abstractNum>
  <w:abstractNum w:abstractNumId="54">
    <w:nsid w:val="180115BE"/>
    <w:multiLevelType w:val="hybridMultilevel"/>
    <w:lvl w:ilvl="0">
      <w:lvlJc w:val="left"/>
      <w:lvlText w:val="o"/>
      <w:numFmt w:val="bullet"/>
      <w:start w:val="1"/>
    </w:lvl>
    <w:lvl w:ilvl="1">
      <w:lvlJc w:val="left"/>
      <w:lvlText w:val="(%2)"/>
      <w:numFmt w:val="lowerLetter"/>
      <w:start w:val="1"/>
    </w:lvl>
  </w:abstractNum>
  <w:abstractNum w:abstractNumId="55">
    <w:nsid w:val="235BA861"/>
    <w:multiLevelType w:val="hybridMultilevel"/>
    <w:lvl w:ilvl="0">
      <w:lvlJc w:val="left"/>
      <w:lvlText w:val="o"/>
      <w:numFmt w:val="bullet"/>
      <w:start w:val="1"/>
    </w:lvl>
  </w:abstractNum>
  <w:abstractNum w:abstractNumId="56">
    <w:nsid w:val="47398C89"/>
    <w:multiLevelType w:val="hybridMultilevel"/>
    <w:lvl w:ilvl="0">
      <w:lvlJc w:val="left"/>
      <w:lvlText w:val="o"/>
      <w:numFmt w:val="bullet"/>
      <w:start w:val="1"/>
    </w:lvl>
  </w:abstractNum>
  <w:abstractNum w:abstractNumId="57">
    <w:nsid w:val="354FE9F9"/>
    <w:multiLevelType w:val="hybridMultilevel"/>
    <w:lvl w:ilvl="0">
      <w:lvlJc w:val="left"/>
      <w:lvlText w:val="o"/>
      <w:numFmt w:val="bullet"/>
      <w:start w:val="1"/>
    </w:lvl>
  </w:abstractNum>
  <w:abstractNum w:abstractNumId="58">
    <w:nsid w:val="15B5AF5C"/>
    <w:multiLevelType w:val="hybridMultilevel"/>
    <w:lvl w:ilvl="0">
      <w:lvlJc w:val="left"/>
      <w:lvlText w:val="o"/>
      <w:numFmt w:val="bullet"/>
      <w:start w:val="1"/>
    </w:lvl>
  </w:abstractNum>
  <w:abstractNum w:abstractNumId="59">
    <w:nsid w:val="741226B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62" Type="http://schemas.openxmlformats.org/officeDocument/2006/relationships/image" Target="media/image106.png"/><Relationship Id="rId163"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jpeg"/><Relationship Id="rId170" Type="http://schemas.openxmlformats.org/officeDocument/2006/relationships/image" Target="media/image111.jpe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jpeg"/><Relationship Id="rId176" Type="http://schemas.openxmlformats.org/officeDocument/2006/relationships/image" Target="media/image117.jpeg"/><Relationship Id="rId177" Type="http://schemas.openxmlformats.org/officeDocument/2006/relationships/image" Target="media/image118.jpeg"/><Relationship Id="rId178" Type="http://schemas.openxmlformats.org/officeDocument/2006/relationships/image" Target="media/image119.jpeg"/><Relationship Id="rId110" Type="http://schemas.openxmlformats.org/officeDocument/2006/relationships/hyperlink" Target="https://www.sec.gov/Archives/edgar/data/1376339/000137633921000011/ex31restatedarticlesofinco.htm" TargetMode="External"/><Relationship Id="rId111" Type="http://schemas.openxmlformats.org/officeDocument/2006/relationships/hyperlink" Target="https://www.sec.gov/Archives/edgar/data/1376339/000137633921000085/a202105278-kex31declassify.htm" TargetMode="External"/><Relationship Id="rId112" Type="http://schemas.openxmlformats.org/officeDocument/2006/relationships/hyperlink" Target="https://www.sec.gov/Archives/edgar/data/1376339/000137633921000085/a20210527ex32specialmeeting.htm" TargetMode="External"/><Relationship Id="rId113" Type="http://schemas.openxmlformats.org/officeDocument/2006/relationships/hyperlink" Target="https://www.sec.gov/Archives/edgar/data/1376339/000137633923000033/ex31-articlesofincorporati.htm" TargetMode="External"/><Relationship Id="rId114" Type="http://schemas.openxmlformats.org/officeDocument/2006/relationships/hyperlink" Target="https://www.sec.gov/Archives/edgar/data/1376339/000119312523046821/d468491dex31.htm" TargetMode="External"/><Relationship Id="rId115" Type="http://schemas.openxmlformats.org/officeDocument/2006/relationships/hyperlink" Target="https://www.sec.gov/Archives/edgar/data/1376339/000137633920000144/a20201102form8-a12b.htm" TargetMode="External"/><Relationship Id="rId116" Type="http://schemas.openxmlformats.org/officeDocument/2006/relationships/hyperlink" Target="https://www.sec.gov/Archives/edgar/data/1376339/000137633920000045/a2019ex1036hayfinloana.htm" TargetMode="External"/><Relationship Id="rId117" Type="http://schemas.openxmlformats.org/officeDocument/2006/relationships/hyperlink" Target="http://www.sec.gov/Archives/edgar/data/1376339/000114036113019946/ex10_1.htm" TargetMode="External"/><Relationship Id="rId118" Type="http://schemas.openxmlformats.org/officeDocument/2006/relationships/hyperlink" Target="http://www.sec.gov/Archives/edgar/data/1376339/000137633917000046/exhibit10131317.htm" TargetMode="External"/><Relationship Id="rId119" Type="http://schemas.openxmlformats.org/officeDocument/2006/relationships/hyperlink" Target="http://www.sec.gov/Archives/edgar/data/1376339/000119312519160160/d748470dex1032.htm" TargetMode="External"/><Relationship Id="rId121" Type="http://schemas.openxmlformats.org/officeDocument/2006/relationships/hyperlink" Target="https://www.sec.gov/Archives/edgar/data/1376339/000137633922000007/ex106thirdamendmenttolease.htm" TargetMode="External"/><Relationship Id="rId122" Type="http://schemas.openxmlformats.org/officeDocument/2006/relationships/hyperlink" Target="https://www.sec.gov/Archives/edgar/data/1376339/000137633920000045/a2019ex1038securitiesp.htm" TargetMode="External"/><Relationship Id="rId123" Type="http://schemas.openxmlformats.org/officeDocument/2006/relationships/hyperlink" Target="https://www.sec.gov/Archives/edgar/data/1376339/000137633920000045/a2019ex1039registratio.htm" TargetMode="External"/><Relationship Id="rId124" Type="http://schemas.openxmlformats.org/officeDocument/2006/relationships/hyperlink" Target="http://www.sec.gov/Archives/edgar/data/1376339/000114036114010545/ex10_2.htm" TargetMode="External"/><Relationship Id="rId125" Type="http://schemas.openxmlformats.org/officeDocument/2006/relationships/hyperlink" Target="http://www.sec.gov/Archives/edgar/data/1376339/000137633914000005/mdxg-20131231x10xkex104iso.htm" TargetMode="External"/><Relationship Id="rId126" Type="http://schemas.openxmlformats.org/officeDocument/2006/relationships/hyperlink" Target="http://www.sec.gov/Archives/edgar/data/1376339/000137633914000005/mdxg-2013123110xkex105nqag.htm" TargetMode="External"/><Relationship Id="rId127" Type="http://schemas.openxmlformats.org/officeDocument/2006/relationships/hyperlink" Target="http://www.sec.gov/Archives/edgar/data/1376339/000137633913000006/exhibit1066formofrestricte.htm" TargetMode="External"/><Relationship Id="rId128" Type="http://schemas.openxmlformats.org/officeDocument/2006/relationships/hyperlink" Target="http://www.sec.gov/Archives/edgar/data/1376339/000137633914000005/mdxg-20131231x10xkex103rsa.htm" TargetMode="External"/><Relationship Id="rId129" Type="http://schemas.openxmlformats.org/officeDocument/2006/relationships/hyperlink" Target="https://www.sec.gov/Archives/edgar/data/1376339/000137633923000033/ex101-mimedxxar2016equitya.htm" TargetMode="External"/><Relationship Id="rId130" Type="http://schemas.openxmlformats.org/officeDocument/2006/relationships/hyperlink" Target="http://www.sec.gov/Archives/edgar/data/1376339/000137633916000203/a10-q63016exhibit101.htm" TargetMode="External"/><Relationship Id="rId131" Type="http://schemas.openxmlformats.org/officeDocument/2006/relationships/hyperlink" Target="http://www.sec.gov/Archives/edgar/data/1376339/000119312519160160/d748470dex109.htm" TargetMode="External"/><Relationship Id="rId132" Type="http://schemas.openxmlformats.org/officeDocument/2006/relationships/hyperlink" Target="http://www.sec.gov/Archives/edgar/data/1376339/000137633916000203/a10-q63016exhibit103.htm" TargetMode="External"/><Relationship Id="rId133" Type="http://schemas.openxmlformats.org/officeDocument/2006/relationships/hyperlink" Target="http://www.sec.gov/Archives/edgar/data/1376339/000119312519160160/d748470dex1011.htm" TargetMode="External"/><Relationship Id="rId134" Type="http://schemas.openxmlformats.org/officeDocument/2006/relationships/hyperlink" Target="http://www.sec.gov/Archives/edgar/data/1376339/000137633916000203/a10-q63016exhibt102.htm" TargetMode="External"/><Relationship Id="rId135" Type="http://schemas.openxmlformats.org/officeDocument/2006/relationships/hyperlink" Target="https://www.sec.gov/Archives/edgar/data/1376339/000137633920000009/ex1016formofdirectorrs.htm" TargetMode="External"/><Relationship Id="rId136" Type="http://schemas.openxmlformats.org/officeDocument/2006/relationships/hyperlink" Target="https://www.sec.gov/Archives/edgar/data/1376339/000137633920000045/a2019ex1033timersuunce.htm" TargetMode="External"/><Relationship Id="rId137" Type="http://schemas.openxmlformats.org/officeDocument/2006/relationships/hyperlink" Target="https://www.sec.gov/Archives/edgar/data/1376339/000137633920000045/a2019ex1034perfrsuunce.htm" TargetMode="External"/><Relationship Id="rId138" Type="http://schemas.openxmlformats.org/officeDocument/2006/relationships/hyperlink" Target="https://www.sec.gov/Archives/edgar/data/1376339/000137633920000045/a2019ex1035perfrsucert.htm" TargetMode="External"/><Relationship Id="rId139" Type="http://schemas.openxmlformats.org/officeDocument/2006/relationships/hyperlink" Target="https://www.sec.gov/Archives/edgar/data/1376339/000137633920000147/ex105formofnon-employe.htm" TargetMode="External"/><Relationship Id="rId140" Type="http://schemas.openxmlformats.org/officeDocument/2006/relationships/hyperlink" Target="https://www.sec.gov/Archives/edgar/data/1376339/000137633921000011/ex1025equityplan20201231.htm" TargetMode="External"/><Relationship Id="rId143" Type="http://schemas.openxmlformats.org/officeDocument/2006/relationships/hyperlink" Target="http://www.sec.gov/Archives/edgar/data/1376339/000119312519143053/d706947dex101.htm" TargetMode="External"/><Relationship Id="rId144" Type="http://schemas.openxmlformats.org/officeDocument/2006/relationships/hyperlink" Target="https://www.sec.gov/Archives/edgar/data/0001376339/000137633921000093/ex101carlsonarofferletter.htm" TargetMode="External"/><Relationship Id="rId145" Type="http://schemas.openxmlformats.org/officeDocument/2006/relationships/hyperlink" Target="https://www.sec.gov/Archives/edgar/data/1376339/000137633920000045/a2019ex1030hulseofferl.htm" TargetMode="External"/><Relationship Id="rId146" Type="http://schemas.openxmlformats.org/officeDocument/2006/relationships/hyperlink" Target="https://www.sec.gov/Archives/edgar/data/1376339/000137633920000160/a202012188-kex101.htm" TargetMode="External"/><Relationship Id="rId147" Type="http://schemas.openxmlformats.org/officeDocument/2006/relationships/hyperlink" Target="http://www.sec.gov/Archives/edgar/data/1376339/000136231008003637/c73906exv10w65.htm" TargetMode="External"/><Relationship Id="rId148" Type="http://schemas.openxmlformats.org/officeDocument/2006/relationships/hyperlink" Target="https://www.sec.gov/Archives/edgar/data/1376339/000137633921000093/ex102formofdirectorrsaawar.htm" TargetMode="External"/><Relationship Id="rId149" Type="http://schemas.openxmlformats.org/officeDocument/2006/relationships/hyperlink" Target="https://www.sec.gov/Archives/edgar/data/1376339/000137633921000093/ex103formofdirectorrsaawar.htm" TargetMode="External"/><Relationship Id="rId150" Type="http://schemas.openxmlformats.org/officeDocument/2006/relationships/hyperlink" Target="https://www.sec.gov/Archives/edgar/data/1376339/000137633921000093/ex104formofdirectorrsaawar.htm" TargetMode="External"/><Relationship Id="rId151" Type="http://schemas.openxmlformats.org/officeDocument/2006/relationships/hyperlink" Target="http://www.sec.gov/Archives/edgar/data/1376339/000119312508024469/dex1032.htm" TargetMode="External"/><Relationship Id="rId152" Type="http://schemas.openxmlformats.org/officeDocument/2006/relationships/hyperlink" Target="https://www.sec.gov/Archives/edgar/data/1376339/000119312522246472/d400313dex103.htm" TargetMode="External"/><Relationship Id="rId153" Type="http://schemas.openxmlformats.org/officeDocument/2006/relationships/hyperlink" Target="https://www.sec.gov/Archives/edgar/data/1376339/000119312522246472/d400313dex101.htm" TargetMode="External"/><Relationship Id="rId154" Type="http://schemas.openxmlformats.org/officeDocument/2006/relationships/hyperlink" Target="https://www.sec.gov/Archives/edgar/data/1376339/000119312522246472/d400313dex102.htm" TargetMode="External"/><Relationship Id="rId155" Type="http://schemas.openxmlformats.org/officeDocument/2006/relationships/hyperlink" Target="https://www.sec.gov/Archives/edgar/data/1376339/000119312523000889/d407336dex101.htm" TargetMode="External"/><Relationship Id="rId156" Type="http://schemas.openxmlformats.org/officeDocument/2006/relationships/hyperlink" Target="https://www.sec.gov/Archives/edgar/data/1376339/000119312523018383/d456121dex101.htm" TargetMode="External"/><Relationship Id="rId157" Type="http://schemas.openxmlformats.org/officeDocument/2006/relationships/hyperlink" Target="https://www.sec.gov/Archives/edgar/data/1376339/000119312523018383/d456121dex103.htm" TargetMode="External"/><Relationship Id="rId158" Type="http://schemas.openxmlformats.org/officeDocument/2006/relationships/hyperlink" Target="https://www.sec.gov/Archives/edgar/data/1376339/000137633923000003/ex1044-platformintellectua.htm" TargetMode="External"/><Relationship Id="rId159" Type="http://schemas.openxmlformats.org/officeDocument/2006/relationships/hyperlink" Target="https://www.sec.gov/Archives/edgar/data/1376339/000137633923000069/ex107-carlsonseparationagr.htm" TargetMode="External"/><Relationship Id="rId160" Type="http://schemas.openxmlformats.org/officeDocument/2006/relationships/hyperlink" Target="https://www.sec.gov/Archives/edgar/data/1376339/000137633923000055/ex101.htm" TargetMode="External"/><Relationship Id="rId161" Type="http://schemas.openxmlformats.org/officeDocument/2006/relationships/hyperlink" Target="https://www.sec.gov/Archives/edgar/data/1376339/000137633923000055/exhibit102.htm" TargetMode="External"/><Relationship Id="rId164" Type="http://schemas.openxmlformats.org/officeDocument/2006/relationships/hyperlink" Target="https://www.sec.gov/Archives/edgar/data/1376339/000137633923000055/exhibit103.htm" TargetMode="External"/><Relationship Id="rId165" Type="http://schemas.openxmlformats.org/officeDocument/2006/relationships/hyperlink" Target="https://www.sec.gov/Archives/edgar/data/1376339/000137633923000055/exhibit104.htm" TargetMode="External"/><Relationship Id="rId166" Type="http://schemas.openxmlformats.org/officeDocument/2006/relationships/hyperlink" Target="https://www.sec.gov/Archives/edgar/data/1376339/000137633923000055/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2024-02-28T15:26:22Z</dcterms:created>
  <dcterms:modified xsi:type="dcterms:W3CDTF">2024-02-28T15:26:22Z</dcterms:modified>
</cp:coreProperties>
</file>