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ind w:left="600" w:right="2240" w:hanging="574"/>
        <w:spacing w:after="0" w:line="250" w:lineRule="auto"/>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Period Ended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2023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80" w:right="2220" w:hanging="554"/>
        <w:spacing w:after="0" w:line="237" w:lineRule="auto"/>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For the transition period from _____________________to______________________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MIMEDX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Florida</w:t>
            </w:r>
          </w:p>
        </w:tc>
        <w:tc>
          <w:tcPr>
            <w:tcW w:w="4860" w:type="dxa"/>
            <w:vAlign w:val="bottom"/>
          </w:tcPr>
          <w:p>
            <w:pPr>
              <w:jc w:val="right"/>
              <w:ind w:right="790"/>
              <w:spacing w:after="0"/>
              <w:rPr>
                <w:sz w:val="20"/>
                <w:szCs w:val="20"/>
                <w:color w:val="auto"/>
              </w:rPr>
            </w:pPr>
            <w:r>
              <w:rPr>
                <w:rFonts w:ascii="Arial" w:cs="Arial" w:eastAsia="Arial" w:hAnsi="Arial"/>
                <w:sz w:val="18"/>
                <w:szCs w:val="18"/>
                <w:b w:val="1"/>
                <w:bCs w:val="1"/>
                <w:color w:val="auto"/>
              </w:rPr>
              <w:t>26-2792552</w:t>
            </w:r>
          </w:p>
        </w:tc>
        <w:tc>
          <w:tcPr>
            <w:tcW w:w="0" w:type="dxa"/>
            <w:vAlign w:val="bottom"/>
          </w:tcPr>
          <w:p>
            <w:pPr>
              <w:spacing w:after="0"/>
              <w:rPr>
                <w:sz w:val="1"/>
                <w:szCs w:val="1"/>
                <w:color w:val="auto"/>
              </w:rPr>
            </w:pPr>
          </w:p>
        </w:tc>
      </w:tr>
      <w:tr>
        <w:trPr>
          <w:trHeight w:val="243"/>
        </w:trPr>
        <w:tc>
          <w:tcPr>
            <w:tcW w:w="44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60" w:type="dxa"/>
            <w:vAlign w:val="bottom"/>
          </w:tcPr>
          <w:p>
            <w:pPr>
              <w:jc w:val="center"/>
              <w:ind w:left="21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97"/>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1775 West Oak Commons Ct NE</w:t>
            </w:r>
          </w:p>
        </w:tc>
        <w:tc>
          <w:tcPr>
            <w:tcW w:w="486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30062</w:t>
            </w:r>
          </w:p>
        </w:tc>
        <w:tc>
          <w:tcPr>
            <w:tcW w:w="0" w:type="dxa"/>
            <w:vAlign w:val="bottom"/>
          </w:tcPr>
          <w:p>
            <w:pPr>
              <w:spacing w:after="0"/>
              <w:rPr>
                <w:sz w:val="1"/>
                <w:szCs w:val="1"/>
                <w:color w:val="auto"/>
              </w:rPr>
            </w:pPr>
          </w:p>
        </w:tc>
      </w:tr>
      <w:tr>
        <w:trPr>
          <w:trHeight w:val="229"/>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Marietta, GA</w:t>
            </w:r>
          </w:p>
        </w:tc>
        <w:tc>
          <w:tcPr>
            <w:tcW w:w="4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left="2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310"/>
        </w:trPr>
        <w:tc>
          <w:tcPr>
            <w:tcW w:w="4420" w:type="dxa"/>
            <w:vAlign w:val="bottom"/>
          </w:tcPr>
          <w:p>
            <w:pPr>
              <w:spacing w:after="0"/>
              <w:rPr>
                <w:sz w:val="24"/>
                <w:szCs w:val="24"/>
                <w:color w:val="auto"/>
              </w:rPr>
            </w:pPr>
          </w:p>
        </w:tc>
        <w:tc>
          <w:tcPr>
            <w:tcW w:w="4860" w:type="dxa"/>
            <w:vAlign w:val="bottom"/>
          </w:tcPr>
          <w:p>
            <w:pPr>
              <w:jc w:val="right"/>
              <w:ind w:right="3550"/>
              <w:spacing w:after="0"/>
              <w:rPr>
                <w:sz w:val="20"/>
                <w:szCs w:val="20"/>
                <w:color w:val="auto"/>
              </w:rPr>
            </w:pPr>
            <w:r>
              <w:rPr>
                <w:rFonts w:ascii="Arial" w:cs="Arial" w:eastAsia="Arial" w:hAnsi="Arial"/>
                <w:sz w:val="18"/>
                <w:szCs w:val="18"/>
                <w:b w:val="1"/>
                <w:bCs w:val="1"/>
                <w:color w:val="auto"/>
                <w:w w:val="97"/>
              </w:rPr>
              <w:t>(770) 651-9100</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Securities registered pursuant to Section 12(b) of the Act:</w:t>
      </w:r>
    </w:p>
    <w:p>
      <w:pPr>
        <w:spacing w:after="0" w:line="235"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860" w:type="dxa"/>
            <w:vAlign w:val="bottom"/>
            <w:vMerge w:val="restart"/>
          </w:tcPr>
          <w:p>
            <w:pPr>
              <w:jc w:val="center"/>
              <w:ind w:right="65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00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81"/>
        </w:trPr>
        <w:tc>
          <w:tcPr>
            <w:tcW w:w="386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860" w:type="dxa"/>
            <w:vAlign w:val="bottom"/>
          </w:tcPr>
          <w:p>
            <w:pPr>
              <w:jc w:val="center"/>
              <w:ind w:right="650"/>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spacing w:after="0"/>
              <w:rPr>
                <w:sz w:val="20"/>
                <w:szCs w:val="20"/>
                <w:color w:val="auto"/>
              </w:rPr>
            </w:pPr>
            <w:r>
              <w:rPr>
                <w:rFonts w:ascii="Arial" w:cs="Arial" w:eastAsia="Arial" w:hAnsi="Arial"/>
                <w:sz w:val="18"/>
                <w:szCs w:val="18"/>
                <w:color w:val="auto"/>
              </w:rPr>
              <w:t>MDXG</w:t>
            </w:r>
          </w:p>
        </w:tc>
        <w:tc>
          <w:tcPr>
            <w:tcW w:w="4000" w:type="dxa"/>
            <w:vAlign w:val="bottom"/>
          </w:tcPr>
          <w:p>
            <w:pPr>
              <w:jc w:val="center"/>
              <w:ind w:left="590"/>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Securities registered pursuant to Section 12(g) of the Act: None.</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 w:name="page2"/>
    <w:bookmarkEnd w:id="1"/>
    <w:p>
      <w:pPr>
        <w:ind w:left="20"/>
        <w:spacing w:after="0" w:line="207" w:lineRule="exact"/>
        <w:tabs>
          <w:tab w:leader="none" w:pos="2660" w:val="left"/>
          <w:tab w:leader="none" w:pos="472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10" w:lineRule="exact"/>
        <w:rPr>
          <w:sz w:val="20"/>
          <w:szCs w:val="20"/>
          <w:color w:val="auto"/>
        </w:rPr>
      </w:pPr>
    </w:p>
    <w:p>
      <w:pPr>
        <w:ind w:left="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were 116,109,125 shares of the registrant’s common stock, par value $0.001 per share, outstanding as of 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3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9"/>
        </w:trPr>
        <w:tc>
          <w:tcPr>
            <w:tcW w:w="500" w:type="dxa"/>
            <w:vAlign w:val="bottom"/>
          </w:tcPr>
          <w:p>
            <w:pPr>
              <w:spacing w:after="0"/>
              <w:rPr>
                <w:sz w:val="16"/>
                <w:szCs w:val="16"/>
                <w:color w:val="auto"/>
              </w:rPr>
            </w:pPr>
          </w:p>
        </w:tc>
        <w:tc>
          <w:tcPr>
            <w:tcW w:w="8880" w:type="dxa"/>
            <w:vAlign w:val="bottom"/>
            <w:gridSpan w:val="2"/>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8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FINANCIAL INFORMATION</w:t>
            </w: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500" w:type="dxa"/>
            <w:vAlign w:val="bottom"/>
          </w:tcPr>
          <w:p>
            <w:pPr>
              <w:ind w:left="140"/>
              <w:spacing w:after="0"/>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rPr>
                <w:sz w:val="20"/>
                <w:szCs w:val="20"/>
                <w:color w:val="auto"/>
              </w:rPr>
            </w:pPr>
            <w:r>
              <w:rPr>
                <w:rFonts w:ascii="Arial" w:cs="Arial" w:eastAsia="Arial" w:hAnsi="Arial"/>
                <w:sz w:val="18"/>
                <w:szCs w:val="18"/>
                <w:color w:val="auto"/>
              </w:rPr>
              <w:t>1</w:t>
            </w:r>
          </w:p>
        </w:tc>
        <w:tc>
          <w:tcPr>
            <w:tcW w:w="8280" w:type="dxa"/>
            <w:vAlign w:val="bottom"/>
          </w:tcPr>
          <w:p>
            <w:pPr>
              <w:ind w:left="220"/>
              <w:spacing w:after="0"/>
              <w:rPr>
                <w:sz w:val="20"/>
                <w:szCs w:val="20"/>
                <w:color w:val="auto"/>
              </w:rPr>
            </w:pPr>
            <w:r>
              <w:rPr>
                <w:rFonts w:ascii="Arial" w:cs="Arial" w:eastAsia="Arial" w:hAnsi="Arial"/>
                <w:sz w:val="18"/>
                <w:szCs w:val="18"/>
                <w:color w:val="auto"/>
              </w:rPr>
              <w:t>Financial Statements (Unaudited)</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8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Condensed Consolidated Balance Sheets</w:t>
            </w:r>
          </w:p>
        </w:tc>
        <w:tc>
          <w:tcPr>
            <w:tcW w:w="18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6</w:t>
            </w:r>
          </w:p>
        </w:tc>
        <w:tc>
          <w:tcPr>
            <w:tcW w:w="40" w:type="dxa"/>
            <w:vAlign w:val="bottom"/>
            <w:shd w:val="clear" w:color="auto" w:fill="CCEEFF"/>
          </w:tcPr>
          <w:p>
            <w:pPr>
              <w:spacing w:after="0"/>
              <w:rPr>
                <w:sz w:val="16"/>
                <w:szCs w:val="16"/>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180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7</w:t>
            </w:r>
          </w:p>
        </w:tc>
        <w:tc>
          <w:tcPr>
            <w:tcW w:w="4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Condensed Consolidated Statements of Stockholders’ (Deficit) Equity</w:t>
            </w:r>
          </w:p>
        </w:tc>
        <w:tc>
          <w:tcPr>
            <w:tcW w:w="180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8</w:t>
            </w:r>
          </w:p>
        </w:tc>
        <w:tc>
          <w:tcPr>
            <w:tcW w:w="40" w:type="dxa"/>
            <w:vAlign w:val="bottom"/>
            <w:shd w:val="clear" w:color="auto" w:fill="CCEEFF"/>
          </w:tcPr>
          <w:p>
            <w:pPr>
              <w:spacing w:after="0"/>
              <w:rPr>
                <w:sz w:val="16"/>
                <w:szCs w:val="16"/>
                <w:color w:val="auto"/>
              </w:rPr>
            </w:pPr>
          </w:p>
        </w:tc>
      </w:tr>
      <w:tr>
        <w:trPr>
          <w:trHeight w:val="34"/>
        </w:trPr>
        <w:tc>
          <w:tcPr>
            <w:tcW w:w="5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2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1840" w:type="dxa"/>
            <w:vAlign w:val="bottom"/>
            <w:gridSpan w:val="5"/>
          </w:tcPr>
          <w:p>
            <w:pPr>
              <w:ind w:left="1620"/>
              <w:spacing w:after="0" w:line="189" w:lineRule="exact"/>
              <w:rPr>
                <w:sz w:val="20"/>
                <w:szCs w:val="20"/>
                <w:color w:val="auto"/>
              </w:rPr>
            </w:pPr>
            <w:r>
              <w:rPr>
                <w:rFonts w:ascii="Arial" w:cs="Arial" w:eastAsia="Arial" w:hAnsi="Arial"/>
                <w:sz w:val="18"/>
                <w:szCs w:val="18"/>
                <w:color w:val="0000FF"/>
                <w:w w:val="99"/>
              </w:rPr>
              <w:t>10</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Notes to the Condensed Consolidated Financial Statements</w:t>
            </w:r>
          </w:p>
        </w:tc>
        <w:tc>
          <w:tcPr>
            <w:tcW w:w="1800" w:type="dxa"/>
            <w:vAlign w:val="bottom"/>
            <w:gridSpan w:val="4"/>
            <w:shd w:val="clear" w:color="auto" w:fill="CCEEFF"/>
          </w:tcPr>
          <w:p>
            <w:pPr>
              <w:ind w:left="1640"/>
              <w:spacing w:after="0" w:line="189" w:lineRule="exact"/>
              <w:rPr>
                <w:sz w:val="20"/>
                <w:szCs w:val="20"/>
                <w:color w:val="auto"/>
              </w:rPr>
            </w:pPr>
            <w:r>
              <w:rPr>
                <w:rFonts w:ascii="Arial" w:cs="Arial" w:eastAsia="Arial" w:hAnsi="Arial"/>
                <w:sz w:val="17"/>
                <w:szCs w:val="17"/>
                <w:color w:val="0000FF"/>
                <w:w w:val="73"/>
              </w:rPr>
              <w:t>11</w:t>
            </w:r>
          </w:p>
        </w:tc>
        <w:tc>
          <w:tcPr>
            <w:tcW w:w="40" w:type="dxa"/>
            <w:vAlign w:val="bottom"/>
            <w:shd w:val="clear" w:color="auto" w:fill="CCEEFF"/>
          </w:tcPr>
          <w:p>
            <w:pPr>
              <w:spacing w:after="0"/>
              <w:rPr>
                <w:sz w:val="16"/>
                <w:szCs w:val="16"/>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2</w:t>
            </w: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40" w:type="dxa"/>
            <w:vAlign w:val="bottom"/>
            <w:gridSpan w:val="5"/>
          </w:tcPr>
          <w:p>
            <w:pPr>
              <w:ind w:left="1620"/>
              <w:spacing w:after="0" w:line="189" w:lineRule="exact"/>
              <w:rPr>
                <w:sz w:val="20"/>
                <w:szCs w:val="20"/>
                <w:color w:val="auto"/>
              </w:rPr>
            </w:pPr>
            <w:r>
              <w:rPr>
                <w:rFonts w:ascii="Arial" w:cs="Arial" w:eastAsia="Arial" w:hAnsi="Arial"/>
                <w:sz w:val="18"/>
                <w:szCs w:val="18"/>
                <w:color w:val="0000FF"/>
                <w:w w:val="99"/>
              </w:rPr>
              <w:t>27</w:t>
            </w:r>
          </w:p>
        </w:tc>
      </w:tr>
      <w:tr>
        <w:trPr>
          <w:trHeight w:val="34"/>
        </w:trPr>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62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38</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Controls and Procedures</w:t>
            </w:r>
          </w:p>
        </w:tc>
        <w:tc>
          <w:tcPr>
            <w:tcW w:w="162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Arial" w:cs="Arial" w:eastAsia="Arial" w:hAnsi="Arial"/>
                <w:sz w:val="18"/>
                <w:szCs w:val="18"/>
                <w:color w:val="0000FF"/>
                <w:w w:val="99"/>
              </w:rPr>
              <w:t>38</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Part II</w:t>
            </w:r>
          </w:p>
        </w:tc>
        <w:tc>
          <w:tcPr>
            <w:tcW w:w="8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INFORMATION</w:t>
            </w: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1</w:t>
            </w: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Legal Proceedings</w:t>
            </w:r>
          </w:p>
        </w:tc>
        <w:tc>
          <w:tcPr>
            <w:tcW w:w="1840" w:type="dxa"/>
            <w:vAlign w:val="bottom"/>
            <w:gridSpan w:val="5"/>
          </w:tcPr>
          <w:p>
            <w:pPr>
              <w:ind w:left="1620"/>
              <w:spacing w:after="0" w:line="189" w:lineRule="exact"/>
              <w:rPr>
                <w:sz w:val="20"/>
                <w:szCs w:val="20"/>
                <w:color w:val="auto"/>
              </w:rPr>
            </w:pPr>
            <w:r>
              <w:rPr>
                <w:rFonts w:ascii="Arial" w:cs="Arial" w:eastAsia="Arial" w:hAnsi="Arial"/>
                <w:sz w:val="18"/>
                <w:szCs w:val="18"/>
                <w:color w:val="0000FF"/>
                <w:w w:val="99"/>
              </w:rPr>
              <w:t>39</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1A</w:t>
            </w:r>
          </w:p>
        </w:tc>
        <w:tc>
          <w:tcPr>
            <w:tcW w:w="8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Risk Factors</w:t>
            </w:r>
          </w:p>
        </w:tc>
        <w:tc>
          <w:tcPr>
            <w:tcW w:w="162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39</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2</w:t>
            </w: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62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Arial" w:cs="Arial" w:eastAsia="Arial" w:hAnsi="Arial"/>
                <w:sz w:val="18"/>
                <w:szCs w:val="18"/>
                <w:color w:val="0000FF"/>
                <w:w w:val="99"/>
              </w:rPr>
              <w:t>39</w:t>
            </w:r>
          </w:p>
        </w:tc>
      </w:tr>
      <w:tr>
        <w:trPr>
          <w:trHeight w:val="34"/>
        </w:trPr>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Defaults upon Senior Securities</w:t>
            </w:r>
          </w:p>
        </w:tc>
        <w:tc>
          <w:tcPr>
            <w:tcW w:w="162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39</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Mine Safety Disclosures</w:t>
            </w:r>
          </w:p>
        </w:tc>
        <w:tc>
          <w:tcPr>
            <w:tcW w:w="162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Arial" w:cs="Arial" w:eastAsia="Arial" w:hAnsi="Arial"/>
                <w:sz w:val="18"/>
                <w:szCs w:val="18"/>
                <w:color w:val="0000FF"/>
                <w:w w:val="99"/>
              </w:rPr>
              <w:t>39</w:t>
            </w: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w:t>
            </w:r>
          </w:p>
        </w:tc>
        <w:tc>
          <w:tcPr>
            <w:tcW w:w="8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Information</w:t>
            </w:r>
          </w:p>
        </w:tc>
        <w:tc>
          <w:tcPr>
            <w:tcW w:w="162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39</w:t>
            </w:r>
          </w:p>
        </w:tc>
      </w:tr>
      <w:tr>
        <w:trPr>
          <w:trHeight w:val="34"/>
        </w:trPr>
        <w:tc>
          <w:tcPr>
            <w:tcW w:w="5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2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6</w:t>
            </w:r>
          </w:p>
        </w:tc>
        <w:tc>
          <w:tcPr>
            <w:tcW w:w="8280" w:type="dxa"/>
            <w:vAlign w:val="bottom"/>
          </w:tcPr>
          <w:p>
            <w:pPr>
              <w:ind w:left="220"/>
              <w:spacing w:after="0" w:line="189" w:lineRule="exact"/>
              <w:rPr>
                <w:sz w:val="20"/>
                <w:szCs w:val="20"/>
                <w:color w:val="auto"/>
              </w:rPr>
            </w:pPr>
            <w:r>
              <w:rPr>
                <w:rFonts w:ascii="Arial" w:cs="Arial" w:eastAsia="Arial" w:hAnsi="Arial"/>
                <w:sz w:val="18"/>
                <w:szCs w:val="18"/>
                <w:color w:val="auto"/>
              </w:rPr>
              <w:t>Exhibits</w:t>
            </w:r>
          </w:p>
        </w:tc>
        <w:tc>
          <w:tcPr>
            <w:tcW w:w="162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Arial" w:cs="Arial" w:eastAsia="Arial" w:hAnsi="Arial"/>
                <w:sz w:val="18"/>
                <w:szCs w:val="18"/>
                <w:color w:val="0000FF"/>
                <w:w w:val="99"/>
              </w:rPr>
              <w:t>40</w:t>
            </w: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1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Signatures</w:t>
            </w:r>
          </w:p>
        </w:tc>
        <w:tc>
          <w:tcPr>
            <w:tcW w:w="8280" w:type="dxa"/>
            <w:vAlign w:val="bottom"/>
            <w:shd w:val="clear" w:color="auto" w:fill="CCEEFF"/>
          </w:tcPr>
          <w:p>
            <w:pPr>
              <w:spacing w:after="0"/>
              <w:rPr>
                <w:sz w:val="16"/>
                <w:szCs w:val="16"/>
                <w:color w:val="auto"/>
              </w:rPr>
            </w:pPr>
          </w:p>
        </w:tc>
        <w:tc>
          <w:tcPr>
            <w:tcW w:w="1840" w:type="dxa"/>
            <w:vAlign w:val="bottom"/>
            <w:gridSpan w:val="5"/>
            <w:shd w:val="clear" w:color="auto" w:fill="CCEEFF"/>
          </w:tcPr>
          <w:p>
            <w:pPr>
              <w:ind w:left="1620"/>
              <w:spacing w:after="0" w:line="189" w:lineRule="exact"/>
              <w:rPr>
                <w:sz w:val="20"/>
                <w:szCs w:val="20"/>
                <w:color w:val="auto"/>
              </w:rPr>
            </w:pPr>
            <w:r>
              <w:rPr>
                <w:rFonts w:ascii="Arial" w:cs="Arial" w:eastAsia="Arial" w:hAnsi="Arial"/>
                <w:sz w:val="18"/>
                <w:szCs w:val="18"/>
                <w:color w:val="0000FF"/>
                <w:w w:val="99"/>
              </w:rPr>
              <w:t>40</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Explanatory Note and Important Cautionary Statement Regarding Forward-Looking Statements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the terms “</w:t>
      </w:r>
      <w:r>
        <w:rPr>
          <w:rFonts w:ascii="Arial" w:cs="Arial" w:eastAsia="Arial" w:hAnsi="Arial"/>
          <w:sz w:val="18"/>
          <w:szCs w:val="18"/>
          <w:b w:val="1"/>
          <w:bCs w:val="1"/>
          <w:i w:val="1"/>
          <w:iCs w:val="1"/>
          <w:color w:val="auto"/>
        </w:rPr>
        <w:t>MIMEDX</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us</w:t>
      </w:r>
      <w:r>
        <w:rPr>
          <w:rFonts w:ascii="Arial" w:cs="Arial" w:eastAsia="Arial" w:hAnsi="Arial"/>
          <w:sz w:val="18"/>
          <w:szCs w:val="18"/>
          <w:color w:val="auto"/>
        </w:rPr>
        <w:t>” refer to MiMedx Group, Inc., a Florida corporation, and its consolidated subsidiaries as a combined entity, except where it is clear that the terms mean only MiMedx Group, Inc.</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statements made in this Quarterly Report on Form 10-Q (this “</w:t>
      </w:r>
      <w:r>
        <w:rPr>
          <w:rFonts w:ascii="Arial" w:cs="Arial" w:eastAsia="Arial" w:hAnsi="Arial"/>
          <w:sz w:val="16"/>
          <w:szCs w:val="16"/>
          <w:b w:val="1"/>
          <w:bCs w:val="1"/>
          <w:i w:val="1"/>
          <w:iCs w:val="1"/>
          <w:color w:val="auto"/>
        </w:rPr>
        <w:t>Quarterly Report</w:t>
      </w:r>
      <w:r>
        <w:rPr>
          <w:rFonts w:ascii="Arial" w:cs="Arial" w:eastAsia="Arial" w:hAnsi="Arial"/>
          <w:sz w:val="16"/>
          <w:szCs w:val="16"/>
          <w:color w:val="auto"/>
        </w:rPr>
        <w:t xml:space="preserve">”) are “forward-looking statements” within the meaning of Section 27A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Section 21E of the Securities Exchange Act of 1934, as amended. All statements relating to events or results that may occur in the future are forward-looking statements, including, without limitation, statements regarding the following:</w:t>
      </w:r>
    </w:p>
    <w:p>
      <w:pPr>
        <w:spacing w:after="0" w:line="9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focus and current business priorities, and our ability to implement these priorities, including as a result of our no longer being able to market our micronized products and certain other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revenue growth, margins, and cash flows;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ongoing operations and future operating costs and the sufficiency of our liquidity and existing capital resources to implement our current business priorities;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of our products and development of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potential markets for our products and any growth in such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regulatory pathway for our products;</w:t>
      </w:r>
    </w:p>
    <w:p>
      <w:pPr>
        <w:spacing w:after="0" w:line="15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ongoing regulatory obligations and oversight and the changing nature thereof impacting our products, research and clinical programs, and business, including those relating to patient privacy;</w:t>
      </w:r>
    </w:p>
    <w:p>
      <w:pPr>
        <w:spacing w:after="0" w:line="10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costs relating to compliance with regulatory requirements, including those arising from maintaining current Good Tissue Practice compliance;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timing, and scope of possible regulatory approval and commercial launch of new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other third-party coverage and reimbursement for our existing and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intellectual property rights in our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procure sufficient supplies of human tissue to manufacture and process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income tax liability;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outcome of pending litigation and investigations;</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ongoing and future effects arising from the investigation conducted by the Audit Committee (the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our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that concluded in May 2019 relating to allegations regarding certain sales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practices at the Company and certain other matters (the “</w:t>
      </w:r>
      <w:r>
        <w:rPr>
          <w:rFonts w:ascii="Arial" w:cs="Arial" w:eastAsia="Arial" w:hAnsi="Arial"/>
          <w:sz w:val="18"/>
          <w:szCs w:val="18"/>
          <w:b w:val="1"/>
          <w:bCs w:val="1"/>
          <w:i w:val="1"/>
          <w:iCs w:val="1"/>
          <w:color w:val="auto"/>
        </w:rPr>
        <w:t>Investigation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Audit Committee Investigation</w:t>
      </w:r>
      <w:r>
        <w:rPr>
          <w:rFonts w:ascii="Arial" w:cs="Arial" w:eastAsia="Arial" w:hAnsi="Arial"/>
          <w:sz w:val="18"/>
          <w:szCs w:val="18"/>
          <w:color w:val="auto"/>
        </w:rPr>
        <w:t>”), the restatement of our consolidated financial statements previously filed in our Annual Report for the year ended December 31, 2016, as well as selected unaudited condensed consolidated financial data as of and for the years ended December 31, 2015 (Restated) and 2014 (Restated), which reflected adjustments to our previously filed consolidated financial statements as of and for the years ended December 31, 2015 and 2014 (collectively, the “</w:t>
      </w:r>
      <w:r>
        <w:rPr>
          <w:rFonts w:ascii="Arial" w:cs="Arial" w:eastAsia="Arial" w:hAnsi="Arial"/>
          <w:sz w:val="18"/>
          <w:szCs w:val="18"/>
          <w:b w:val="1"/>
          <w:bCs w:val="1"/>
          <w:i w:val="1"/>
          <w:iCs w:val="1"/>
          <w:color w:val="auto"/>
        </w:rPr>
        <w:t>Restatement</w:t>
      </w:r>
      <w:r>
        <w:rPr>
          <w:rFonts w:ascii="Arial" w:cs="Arial" w:eastAsia="Arial" w:hAnsi="Arial"/>
          <w:sz w:val="18"/>
          <w:szCs w:val="18"/>
          <w:color w:val="auto"/>
        </w:rPr>
        <w:t>”), and related litigation;</w:t>
      </w:r>
    </w:p>
    <w:p>
      <w:pPr>
        <w:spacing w:after="0" w:line="14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ongoing and future effects arising from the COVID-19 pandemic (“</w:t>
      </w:r>
      <w:r>
        <w:rPr>
          <w:rFonts w:ascii="Arial" w:cs="Arial" w:eastAsia="Arial" w:hAnsi="Arial"/>
          <w:sz w:val="17"/>
          <w:szCs w:val="17"/>
          <w:b w:val="1"/>
          <w:bCs w:val="1"/>
          <w:i w:val="1"/>
          <w:iCs w:val="1"/>
          <w:color w:val="auto"/>
        </w:rPr>
        <w:t>Covid-19</w:t>
      </w:r>
      <w:r>
        <w:rPr>
          <w:rFonts w:ascii="Arial" w:cs="Arial" w:eastAsia="Arial" w:hAnsi="Arial"/>
          <w:sz w:val="17"/>
          <w:szCs w:val="17"/>
          <w:color w:val="auto"/>
        </w:rPr>
        <w:t>”) and possible other future health emergencies on our business, employees, suppliers and other third parties with whom we do business, and our responses intended to mitigate such effects;</w:t>
      </w:r>
    </w:p>
    <w:p>
      <w:pPr>
        <w:spacing w:after="0" w:line="15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and market trends;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Forward-looking statements generally can be identified by words such as “expect,” “will,” “change,” “intend,” “seek,” “target,” “future,” “plan,” “continue,” “potential,” “possible,” “could,” “estimate,” “may,” “anticipate,” “to be” and similar expressions.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2022 (our “</w:t>
      </w:r>
      <w:r>
        <w:rPr>
          <w:rFonts w:ascii="Arial" w:cs="Arial" w:eastAsia="Arial" w:hAnsi="Arial"/>
          <w:sz w:val="18"/>
          <w:szCs w:val="18"/>
          <w:b w:val="1"/>
          <w:bCs w:val="1"/>
          <w:i w:val="1"/>
          <w:iCs w:val="1"/>
          <w:color w:val="auto"/>
        </w:rPr>
        <w:t>2022 Form 10-K</w:t>
      </w:r>
      <w:r>
        <w:rPr>
          <w:rFonts w:ascii="Arial" w:cs="Arial" w:eastAsia="Arial" w:hAnsi="Arial"/>
          <w:sz w:val="18"/>
          <w:szCs w:val="18"/>
          <w:color w:val="auto"/>
        </w:rPr>
        <w:t>”),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February 28, 2023 and those discussed in Part II, Item 1A, Risk Factors, if any.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Quarterly Report is specifically qualified in its entirety by the aforementioned factors. Readers are advised to carefully read this Quarterly Report in conjunction with the important disclaimers set forth above prior to reaching any conclusions or making any investment decisions and not to place undue reliance on forward-looking statements, which speak only as of the date of the filing of this Quarterly Report with the SEC.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Projections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This Quarterly Report includes certain estimates, projections and other statistical data. These estimates and projections reflect management’s best estimates based upon currently available information and certain assumptions we believe to be reasonable as of the date of this Quarterly Report. These estimates are inherently uncertain, subject to risks and uncertainties, many of which are not within our control, have not been reviewed by our independent auditors and may be revised as a result of management’s further review. In addition, these estimates and projections are not a comprehensive statement of our financial results, and our actual results may differ materially from these estimates and projections due to developments that may arise between now and the time the results are final. There can be no assurance that the estimates will be realized, and our results may vary significantly from the estimates, including as a result of unexpected issues in our business and operations. Accordingly, you should not place undue reliance on such information. Projections, assumptions and estimates of our future performance and the future performance of the markets in which we operate are necessarily subject to a high degree of uncertainty and risk.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96"/>
              </w:rPr>
              <w:t>MIMEDX GROUP, INC. AND SUBSIDIARIES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70"/>
              <w:spacing w:after="0"/>
              <w:rPr>
                <w:sz w:val="20"/>
                <w:szCs w:val="20"/>
                <w:color w:val="auto"/>
              </w:rPr>
            </w:pPr>
            <w:r>
              <w:rPr>
                <w:rFonts w:ascii="Arial" w:cs="Arial" w:eastAsia="Arial" w:hAnsi="Arial"/>
                <w:sz w:val="18"/>
                <w:szCs w:val="18"/>
                <w:color w:val="auto"/>
                <w:w w:val="95"/>
              </w:rPr>
              <w:t>CONDENSED CONSOLIDATED BALANCE SHEETS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88"/>
              </w:rPr>
              <w:t>(in thousands, except share data)</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65,950</w:t>
            </w:r>
          </w:p>
        </w:tc>
        <w:tc>
          <w:tcPr>
            <w:tcW w:w="0" w:type="dxa"/>
            <w:vAlign w:val="bottom"/>
          </w:tcPr>
          <w:p>
            <w:pPr>
              <w:spacing w:after="0"/>
              <w:rPr>
                <w:sz w:val="1"/>
                <w:szCs w:val="1"/>
                <w:color w:val="auto"/>
              </w:rPr>
            </w:pPr>
          </w:p>
        </w:tc>
      </w:tr>
      <w:tr>
        <w:trPr>
          <w:trHeight w:val="237"/>
        </w:trPr>
        <w:tc>
          <w:tcPr>
            <w:tcW w:w="81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43,084</w:t>
            </w: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134,198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37"/>
        </w:trPr>
        <w:tc>
          <w:tcPr>
            <w:tcW w:w="8100" w:type="dxa"/>
            <w:vAlign w:val="bottom"/>
          </w:tcPr>
          <w:p>
            <w:pPr>
              <w:ind w:left="140"/>
              <w:spacing w:after="0"/>
              <w:rPr>
                <w:sz w:val="20"/>
                <w:szCs w:val="20"/>
                <w:color w:val="auto"/>
              </w:rPr>
            </w:pPr>
            <w:r>
              <w:rPr>
                <w:rFonts w:ascii="Arial" w:cs="Arial" w:eastAsia="Arial" w:hAnsi="Arial"/>
                <w:sz w:val="18"/>
                <w:szCs w:val="18"/>
                <w:color w:val="auto"/>
              </w:rPr>
              <w:t>Right of use asset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171,430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CONVERTIBLE PREFERRED STOCK, AND STOCKHOLDERS’ DEFICIT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21,852</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43,557</w:t>
            </w:r>
          </w:p>
        </w:tc>
        <w:tc>
          <w:tcPr>
            <w:tcW w:w="0" w:type="dxa"/>
            <w:vAlign w:val="bottom"/>
          </w:tcPr>
          <w:p>
            <w:pPr>
              <w:spacing w:after="0"/>
              <w:rPr>
                <w:sz w:val="1"/>
                <w:szCs w:val="1"/>
                <w:color w:val="auto"/>
              </w:rPr>
            </w:pPr>
          </w:p>
        </w:tc>
      </w:tr>
      <w:tr>
        <w:trPr>
          <w:trHeight w:val="237"/>
        </w:trPr>
        <w:tc>
          <w:tcPr>
            <w:tcW w:w="8100" w:type="dxa"/>
            <w:vAlign w:val="bottom"/>
          </w:tcPr>
          <w:p>
            <w:pPr>
              <w:ind w:left="140"/>
              <w:spacing w:after="0"/>
              <w:rPr>
                <w:sz w:val="20"/>
                <w:szCs w:val="20"/>
                <w:color w:val="auto"/>
              </w:rPr>
            </w:pPr>
            <w:r>
              <w:rPr>
                <w:rFonts w:ascii="Arial" w:cs="Arial" w:eastAsia="Arial" w:hAnsi="Arial"/>
                <w:sz w:val="18"/>
                <w:szCs w:val="18"/>
                <w:color w:val="auto"/>
              </w:rPr>
              <w:t>Long term debt,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48,594</w:t>
            </w: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96,550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96,924</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20"/>
              <w:spacing w:after="0" w:line="176" w:lineRule="exact"/>
              <w:rPr>
                <w:sz w:val="20"/>
                <w:szCs w:val="20"/>
                <w:color w:val="auto"/>
              </w:rPr>
            </w:pPr>
            <w:r>
              <w:rPr>
                <w:rFonts w:ascii="Arial" w:cs="Arial" w:eastAsia="Arial" w:hAnsi="Arial"/>
                <w:sz w:val="18"/>
                <w:szCs w:val="18"/>
                <w:color w:val="auto"/>
                <w:w w:val="92"/>
              </w:rPr>
              <w:t>Convertible preferred stock Series B; $0.001 par value; 100,000 shares authorized, issued and outstanding at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92,494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92,494</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June 30, 2023 and December 31, 2022</w:t>
            </w:r>
          </w:p>
        </w:tc>
        <w:tc>
          <w:tcPr>
            <w:tcW w:w="2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140"/>
              <w:spacing w:after="0" w:line="176" w:lineRule="exact"/>
              <w:rPr>
                <w:sz w:val="20"/>
                <w:szCs w:val="20"/>
                <w:color w:val="auto"/>
              </w:rPr>
            </w:pPr>
            <w:r>
              <w:rPr>
                <w:rFonts w:ascii="Arial" w:cs="Arial" w:eastAsia="Arial" w:hAnsi="Arial"/>
                <w:sz w:val="18"/>
                <w:szCs w:val="18"/>
                <w:color w:val="auto"/>
                <w:w w:val="90"/>
              </w:rPr>
              <w:t>Preferred stock Series A; $0.001 par value; 5,000,000 shares authorized, 0 issued and outstanding at June 30,</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2023 and December 31, 2022</w:t>
            </w:r>
          </w:p>
        </w:tc>
        <w:tc>
          <w:tcPr>
            <w:tcW w:w="2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Common stock; $0.001 par value; 250,000,000 shares authorized, 116,109,125 issued and outstanding at</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June 30, 2023 and 187,500,000 shares authorized, 113,705,447 issued and outstanding at December 31, 2022</w:t>
            </w:r>
          </w:p>
        </w:tc>
        <w:tc>
          <w:tcPr>
            <w:tcW w:w="2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182,907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173,804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(191,906)</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2"/>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6"/>
              </w:rPr>
              <w:t>Six Months Ended June 30,</w:t>
            </w:r>
          </w:p>
        </w:tc>
      </w:tr>
      <w:tr>
        <w:trPr>
          <w:trHeight w:val="223"/>
        </w:trPr>
        <w:tc>
          <w:tcPr>
            <w:tcW w:w="5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64"/>
        </w:trPr>
        <w:tc>
          <w:tcPr>
            <w:tcW w:w="5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125,777</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21,759</w:t>
            </w: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104,018</w:t>
            </w:r>
          </w:p>
        </w:tc>
      </w:tr>
      <w:tr>
        <w:trPr>
          <w:trHeight w:val="270"/>
        </w:trPr>
        <w:tc>
          <w:tcPr>
            <w:tcW w:w="5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105,363</w:t>
            </w:r>
          </w:p>
        </w:tc>
      </w:tr>
      <w:tr>
        <w:trPr>
          <w:trHeight w:val="24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w:t>
            </w: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Restructuring (Note 16)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Investigation, restatement and related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4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r>
      <w:tr>
        <w:trPr>
          <w:trHeight w:val="270"/>
        </w:trPr>
        <w:tc>
          <w:tcPr>
            <w:tcW w:w="5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36"/>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Income (loss) before income tax provision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(21,232)</w:t>
            </w: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 (expense)</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(21,357)</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loss available to common shareholders (Note 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(12,496)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(7,194)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(24,571)</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Net loss per common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57"/>
        </w:trPr>
        <w:tc>
          <w:tcPr>
            <w:tcW w:w="5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115,866,371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112,867,912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115,136,646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112,245,334</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115,866,371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112,867,912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115,136,646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112,245,334</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STOCKHOLDERS’ (DEFICIT)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340" w:type="dxa"/>
            <w:vAlign w:val="bottom"/>
            <w:gridSpan w:val="7"/>
            <w:vMerge w:val="restart"/>
          </w:tcPr>
          <w:p>
            <w:pPr>
              <w:ind w:left="340"/>
              <w:spacing w:after="0"/>
              <w:rPr>
                <w:sz w:val="20"/>
                <w:szCs w:val="20"/>
                <w:color w:val="auto"/>
              </w:rPr>
            </w:pPr>
            <w:r>
              <w:rPr>
                <w:rFonts w:ascii="Arial" w:cs="Arial" w:eastAsia="Arial" w:hAnsi="Arial"/>
                <w:sz w:val="18"/>
                <w:szCs w:val="18"/>
                <w:color w:val="auto"/>
              </w:rPr>
              <w:t>Common Stock Issued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7"/>
          </w:tcPr>
          <w:p>
            <w:pPr>
              <w:jc w:val="center"/>
              <w:ind w:right="120"/>
              <w:spacing w:after="0"/>
              <w:rPr>
                <w:sz w:val="20"/>
                <w:szCs w:val="20"/>
                <w:color w:val="auto"/>
              </w:rPr>
            </w:pPr>
            <w:r>
              <w:rPr>
                <w:rFonts w:ascii="Arial" w:cs="Arial" w:eastAsia="Arial" w:hAnsi="Arial"/>
                <w:sz w:val="18"/>
                <w:szCs w:val="18"/>
                <w:color w:val="auto"/>
                <w:w w:val="95"/>
              </w:rPr>
              <w:t>Additional Paid-</w:t>
            </w:r>
          </w:p>
        </w:tc>
        <w:tc>
          <w:tcPr>
            <w:tcW w:w="2260" w:type="dxa"/>
            <w:vAlign w:val="bottom"/>
            <w:gridSpan w:val="6"/>
            <w:vMerge w:val="restart"/>
          </w:tcPr>
          <w:p>
            <w:pPr>
              <w:jc w:val="right"/>
              <w:ind w:right="51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7"/>
                <w:szCs w:val="17"/>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19"/>
                <w:szCs w:val="19"/>
                <w:color w:val="auto"/>
              </w:rPr>
            </w:pPr>
          </w:p>
        </w:tc>
        <w:tc>
          <w:tcPr>
            <w:tcW w:w="2340" w:type="dxa"/>
            <w:vAlign w:val="bottom"/>
            <w:tcBorders>
              <w:bottom w:val="single" w:sz="8" w:color="auto"/>
            </w:tcBorders>
            <w:gridSpan w:val="7"/>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6"/>
          </w:tcPr>
          <w:p>
            <w:pPr>
              <w:jc w:val="center"/>
              <w:ind w:right="340"/>
              <w:spacing w:after="0"/>
              <w:rPr>
                <w:sz w:val="20"/>
                <w:szCs w:val="20"/>
                <w:color w:val="auto"/>
              </w:rPr>
            </w:pPr>
            <w:r>
              <w:rPr>
                <w:rFonts w:ascii="Arial" w:cs="Arial" w:eastAsia="Arial" w:hAnsi="Arial"/>
                <w:sz w:val="18"/>
                <w:szCs w:val="18"/>
                <w:color w:val="auto"/>
              </w:rPr>
              <w:t>In</w:t>
            </w:r>
          </w:p>
        </w:tc>
        <w:tc>
          <w:tcPr>
            <w:tcW w:w="2260" w:type="dxa"/>
            <w:vAlign w:val="bottom"/>
            <w:tcBorders>
              <w:bottom w:val="single" w:sz="8" w:color="auto"/>
            </w:tcBorders>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2"/>
              </w:rPr>
              <w:t>Capital</w:t>
            </w:r>
          </w:p>
        </w:tc>
        <w:tc>
          <w:tcPr>
            <w:tcW w:w="80" w:type="dxa"/>
            <w:vAlign w:val="bottom"/>
            <w:gridSpan w:val="3"/>
          </w:tcPr>
          <w:p>
            <w:pPr>
              <w:spacing w:after="0"/>
              <w:rPr>
                <w:sz w:val="19"/>
                <w:szCs w:val="19"/>
                <w:color w:val="auto"/>
              </w:rPr>
            </w:pP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115,380,542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w w:val="90"/>
              </w:rPr>
              <w:t>Share-based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724,249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 shares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6"/>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116,109,125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700" w:type="dxa"/>
            <w:vAlign w:val="bottom"/>
          </w:tcPr>
          <w:p>
            <w:pPr>
              <w:spacing w:after="0"/>
              <w:rPr>
                <w:sz w:val="24"/>
                <w:szCs w:val="24"/>
                <w:color w:val="auto"/>
              </w:rPr>
            </w:pPr>
          </w:p>
        </w:tc>
        <w:tc>
          <w:tcPr>
            <w:tcW w:w="2340" w:type="dxa"/>
            <w:vAlign w:val="bottom"/>
            <w:gridSpan w:val="7"/>
            <w:vMerge w:val="restart"/>
          </w:tcPr>
          <w:p>
            <w:pPr>
              <w:ind w:left="320"/>
              <w:spacing w:after="0"/>
              <w:rPr>
                <w:sz w:val="20"/>
                <w:szCs w:val="20"/>
                <w:color w:val="auto"/>
              </w:rPr>
            </w:pPr>
            <w:r>
              <w:rPr>
                <w:rFonts w:ascii="Arial" w:cs="Arial" w:eastAsia="Arial" w:hAnsi="Arial"/>
                <w:sz w:val="18"/>
                <w:szCs w:val="18"/>
                <w:color w:val="auto"/>
              </w:rPr>
              <w:t>Common Stock Issued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7"/>
          </w:tcPr>
          <w:p>
            <w:pPr>
              <w:jc w:val="center"/>
              <w:ind w:right="140"/>
              <w:spacing w:after="0"/>
              <w:rPr>
                <w:sz w:val="20"/>
                <w:szCs w:val="20"/>
                <w:color w:val="auto"/>
              </w:rPr>
            </w:pPr>
            <w:r>
              <w:rPr>
                <w:rFonts w:ascii="Arial" w:cs="Arial" w:eastAsia="Arial" w:hAnsi="Arial"/>
                <w:sz w:val="18"/>
                <w:szCs w:val="18"/>
                <w:color w:val="auto"/>
                <w:w w:val="93"/>
              </w:rPr>
              <w:t>Additional Paid-</w:t>
            </w:r>
          </w:p>
        </w:tc>
        <w:tc>
          <w:tcPr>
            <w:tcW w:w="2260" w:type="dxa"/>
            <w:vAlign w:val="bottom"/>
            <w:gridSpan w:val="6"/>
            <w:vMerge w:val="restart"/>
          </w:tcPr>
          <w:p>
            <w:pPr>
              <w:jc w:val="right"/>
              <w:ind w:right="51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2340" w:type="dxa"/>
            <w:vAlign w:val="bottom"/>
            <w:gridSpan w:val="7"/>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6"/>
          </w:tcPr>
          <w:p>
            <w:pPr>
              <w:jc w:val="center"/>
              <w:ind w:right="360"/>
              <w:spacing w:after="0"/>
              <w:rPr>
                <w:sz w:val="20"/>
                <w:szCs w:val="20"/>
                <w:color w:val="auto"/>
              </w:rPr>
            </w:pPr>
            <w:r>
              <w:rPr>
                <w:rFonts w:ascii="Arial" w:cs="Arial" w:eastAsia="Arial" w:hAnsi="Arial"/>
                <w:sz w:val="18"/>
                <w:szCs w:val="18"/>
                <w:color w:val="auto"/>
                <w:w w:val="92"/>
              </w:rPr>
              <w:t>In</w:t>
            </w:r>
          </w:p>
        </w:tc>
        <w:tc>
          <w:tcPr>
            <w:tcW w:w="226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80" w:type="dxa"/>
            <w:vAlign w:val="bottom"/>
            <w:gridSpan w:val="3"/>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113,525,178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165,490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172,768</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w w:val="90"/>
              </w:rPr>
              <w:t>Share-based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(148,696)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 shares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113,609,274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700" w:type="dxa"/>
            <w:vAlign w:val="bottom"/>
          </w:tcPr>
          <w:p>
            <w:pPr>
              <w:spacing w:after="0"/>
              <w:rPr>
                <w:sz w:val="24"/>
                <w:szCs w:val="24"/>
                <w:color w:val="auto"/>
              </w:rPr>
            </w:pPr>
          </w:p>
        </w:tc>
        <w:tc>
          <w:tcPr>
            <w:tcW w:w="2340" w:type="dxa"/>
            <w:vAlign w:val="bottom"/>
            <w:gridSpan w:val="7"/>
            <w:vMerge w:val="restart"/>
          </w:tcPr>
          <w:p>
            <w:pPr>
              <w:ind w:left="320"/>
              <w:spacing w:after="0"/>
              <w:rPr>
                <w:sz w:val="20"/>
                <w:szCs w:val="20"/>
                <w:color w:val="auto"/>
              </w:rPr>
            </w:pPr>
            <w:r>
              <w:rPr>
                <w:rFonts w:ascii="Arial" w:cs="Arial" w:eastAsia="Arial" w:hAnsi="Arial"/>
                <w:sz w:val="18"/>
                <w:szCs w:val="18"/>
                <w:color w:val="auto"/>
              </w:rPr>
              <w:t>Common Stock Issued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7"/>
          </w:tcPr>
          <w:p>
            <w:pPr>
              <w:jc w:val="center"/>
              <w:ind w:right="160"/>
              <w:spacing w:after="0"/>
              <w:rPr>
                <w:sz w:val="20"/>
                <w:szCs w:val="20"/>
                <w:color w:val="auto"/>
              </w:rPr>
            </w:pPr>
            <w:r>
              <w:rPr>
                <w:rFonts w:ascii="Arial" w:cs="Arial" w:eastAsia="Arial" w:hAnsi="Arial"/>
                <w:sz w:val="18"/>
                <w:szCs w:val="18"/>
                <w:color w:val="auto"/>
                <w:w w:val="95"/>
              </w:rPr>
              <w:t>Additional Paid-</w:t>
            </w:r>
          </w:p>
        </w:tc>
        <w:tc>
          <w:tcPr>
            <w:tcW w:w="2260" w:type="dxa"/>
            <w:vAlign w:val="bottom"/>
            <w:gridSpan w:val="6"/>
            <w:vMerge w:val="restart"/>
          </w:tcPr>
          <w:p>
            <w:pPr>
              <w:jc w:val="right"/>
              <w:ind w:right="51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34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6"/>
          </w:tcPr>
          <w:p>
            <w:pPr>
              <w:jc w:val="center"/>
              <w:ind w:right="380"/>
              <w:spacing w:after="0"/>
              <w:rPr>
                <w:sz w:val="20"/>
                <w:szCs w:val="20"/>
                <w:color w:val="auto"/>
              </w:rPr>
            </w:pPr>
            <w:r>
              <w:rPr>
                <w:rFonts w:ascii="Arial" w:cs="Arial" w:eastAsia="Arial" w:hAnsi="Arial"/>
                <w:sz w:val="18"/>
                <w:szCs w:val="18"/>
                <w:color w:val="auto"/>
              </w:rPr>
              <w:t>In</w:t>
            </w:r>
          </w:p>
        </w:tc>
        <w:tc>
          <w:tcPr>
            <w:tcW w:w="22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1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Capital</w:t>
            </w:r>
          </w:p>
        </w:tc>
        <w:tc>
          <w:tcPr>
            <w:tcW w:w="40" w:type="dxa"/>
            <w:vAlign w:val="bottom"/>
            <w:tcBorders>
              <w:top w:val="single" w:sz="8" w:color="auto"/>
            </w:tcBorders>
            <w:gridSpan w:val="2"/>
          </w:tcPr>
          <w:p>
            <w:pPr>
              <w:spacing w:after="0"/>
              <w:rPr>
                <w:sz w:val="20"/>
                <w:szCs w:val="20"/>
                <w:color w:val="auto"/>
              </w:rPr>
            </w:pPr>
          </w:p>
        </w:tc>
        <w:tc>
          <w:tcPr>
            <w:tcW w:w="108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113,705,447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173,804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(191,906)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2,163,925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 stock shares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4,334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3"/>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6"/>
        </w:trPr>
        <w:tc>
          <w:tcPr>
            <w:tcW w:w="270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120" w:type="dxa"/>
            <w:vAlign w:val="bottom"/>
          </w:tcPr>
          <w:p>
            <w:pPr>
              <w:jc w:val="right"/>
              <w:spacing w:after="0"/>
              <w:rPr>
                <w:sz w:val="20"/>
                <w:szCs w:val="20"/>
                <w:color w:val="auto"/>
              </w:rPr>
            </w:pPr>
            <w:r>
              <w:rPr>
                <w:rFonts w:ascii="Arial" w:cs="Arial" w:eastAsia="Arial" w:hAnsi="Arial"/>
                <w:sz w:val="18"/>
                <w:szCs w:val="18"/>
                <w:color w:val="auto"/>
              </w:rPr>
              <w:t>116,109,125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4"/>
          </w:tcPr>
          <w:p>
            <w:pPr>
              <w:jc w:val="right"/>
              <w:ind w:right="7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182,907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(195,689)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(12,666)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300" w:type="dxa"/>
            <w:vAlign w:val="bottom"/>
            <w:gridSpan w:val="4"/>
            <w:vMerge w:val="restart"/>
          </w:tcPr>
          <w:p>
            <w:pPr>
              <w:jc w:val="right"/>
              <w:ind w:right="250"/>
              <w:spacing w:after="0"/>
              <w:rPr>
                <w:sz w:val="20"/>
                <w:szCs w:val="20"/>
                <w:color w:val="auto"/>
              </w:rPr>
            </w:pPr>
            <w:r>
              <w:rPr>
                <w:rFonts w:ascii="Arial" w:cs="Arial" w:eastAsia="Arial" w:hAnsi="Arial"/>
                <w:sz w:val="18"/>
                <w:szCs w:val="18"/>
                <w:color w:val="auto"/>
              </w:rPr>
              <w:t>Common Stock Issued</w:t>
            </w:r>
          </w:p>
        </w:tc>
        <w:tc>
          <w:tcPr>
            <w:tcW w:w="80" w:type="dxa"/>
            <w:vAlign w:val="bottom"/>
          </w:tcPr>
          <w:p>
            <w:pPr>
              <w:spacing w:after="0"/>
              <w:rPr>
                <w:sz w:val="17"/>
                <w:szCs w:val="17"/>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Additional Paid-</w:t>
            </w:r>
          </w:p>
        </w:tc>
        <w:tc>
          <w:tcPr>
            <w:tcW w:w="2260" w:type="dxa"/>
            <w:vAlign w:val="bottom"/>
            <w:gridSpan w:val="4"/>
            <w:vMerge w:val="restart"/>
          </w:tcPr>
          <w:p>
            <w:pPr>
              <w:jc w:val="right"/>
              <w:ind w:right="49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7"/>
                <w:szCs w:val="17"/>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7"/>
              </w:rPr>
              <w:t>Accumulated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In</w:t>
            </w:r>
          </w:p>
        </w:tc>
        <w:tc>
          <w:tcPr>
            <w:tcW w:w="22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165,695</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w w:val="90"/>
              </w:rPr>
              <w:t>Share-based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821,252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(880,749)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 shares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Shares repurchased for tax</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withholding</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249,778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236"/>
        </w:trPr>
        <w:tc>
          <w:tcPr>
            <w:tcW w:w="270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113,609,274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169,352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(183,066)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05"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30"/>
        </w:trPr>
        <w:tc>
          <w:tcPr>
            <w:tcW w:w="79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w:t>
            </w: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flows provided by (used in) operating activities: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Impairment of clinical trial assets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Non-cash lease expenses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goodwill</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Gain on fixed asset disposal</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resulting from changes in: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79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(6,170)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79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2,061</w:t>
            </w:r>
          </w:p>
        </w:tc>
      </w:tr>
      <w:tr>
        <w:trPr>
          <w:trHeight w:val="243"/>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7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r>
      <w:tr>
        <w:trPr>
          <w:trHeight w:val="237"/>
        </w:trPr>
        <w:tc>
          <w:tcPr>
            <w:tcW w:w="79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cash flows provided by (used in) operating activities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w:t>
            </w:r>
          </w:p>
        </w:tc>
      </w:tr>
      <w:tr>
        <w:trPr>
          <w:trHeight w:val="263"/>
        </w:trPr>
        <w:tc>
          <w:tcPr>
            <w:tcW w:w="79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equipment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Patent application costs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63"/>
        </w:trPr>
        <w:tc>
          <w:tcPr>
            <w:tcW w:w="79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Principal payments on finance lease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repurchased for tax withholdings on vesting of restricted stock</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flows used in financing activities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r>
      <w:tr>
        <w:trPr>
          <w:trHeight w:val="250"/>
        </w:trPr>
        <w:tc>
          <w:tcPr>
            <w:tcW w:w="79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(14,581)</w:t>
            </w:r>
          </w:p>
        </w:tc>
      </w:tr>
      <w:tr>
        <w:trPr>
          <w:trHeight w:val="276"/>
        </w:trPr>
        <w:tc>
          <w:tcPr>
            <w:tcW w:w="79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65,950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87,083</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68,652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MIMEDX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2023 AND 2022</w:t>
      </w:r>
    </w:p>
    <w:p>
      <w:pPr>
        <w:spacing w:after="0" w:line="39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MiMedx Group, Inc. (together with its subsidiaries, except where the context otherwise requires, “</w:t>
      </w:r>
      <w:r>
        <w:rPr>
          <w:rFonts w:ascii="Arial" w:cs="Arial" w:eastAsia="Arial" w:hAnsi="Arial"/>
          <w:sz w:val="16"/>
          <w:szCs w:val="16"/>
          <w:b w:val="1"/>
          <w:bCs w:val="1"/>
          <w:i w:val="1"/>
          <w:iCs w:val="1"/>
          <w:color w:val="auto"/>
        </w:rPr>
        <w:t>MIMEDX</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a pioneer and leader in placental biologics focused on addressing the needs of patients with acute and chronic non-healing wounds. All of the Company’s products sold in the United States are regulated by the United States Food &amp;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The Company’s business is focused primarily on the United States of America but the Company is pursuing opportunities for international expansion, with specific focus on the sale of its placental tissue products in Japan.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 months ended June 30, 2023, the Company operated as two defined, internal business units: Wound &amp; Surgical and Regenerative Medicine. On June 20, 2023, the Company announced that it would disband its Regenerative Medicine business unit, the primary function of which was to obtain FDA approval to market the Company’s micronized dehydrated amnion chorion membrane (“</w:t>
      </w:r>
      <w:r>
        <w:rPr>
          <w:rFonts w:ascii="Arial" w:cs="Arial" w:eastAsia="Arial" w:hAnsi="Arial"/>
          <w:sz w:val="18"/>
          <w:szCs w:val="18"/>
          <w:b w:val="1"/>
          <w:bCs w:val="1"/>
          <w:i w:val="1"/>
          <w:iCs w:val="1"/>
          <w:color w:val="auto"/>
        </w:rPr>
        <w:t>mDHACM</w:t>
      </w:r>
      <w:r>
        <w:rPr>
          <w:rFonts w:ascii="Arial" w:cs="Arial" w:eastAsia="Arial" w:hAnsi="Arial"/>
          <w:sz w:val="18"/>
          <w:szCs w:val="18"/>
          <w:color w:val="auto"/>
        </w:rPr>
        <w:t>”) injectable product to reduce pain and restore function in patients suffering from Knee Osteoarthritis (“</w:t>
      </w:r>
      <w:r>
        <w:rPr>
          <w:rFonts w:ascii="Arial" w:cs="Arial" w:eastAsia="Arial" w:hAnsi="Arial"/>
          <w:sz w:val="18"/>
          <w:szCs w:val="18"/>
          <w:b w:val="1"/>
          <w:bCs w:val="1"/>
          <w:i w:val="1"/>
          <w:iCs w:val="1"/>
          <w:color w:val="auto"/>
        </w:rPr>
        <w:t>KOA</w:t>
      </w:r>
      <w:r>
        <w:rPr>
          <w:rFonts w:ascii="Arial" w:cs="Arial" w:eastAsia="Arial" w:hAnsi="Arial"/>
          <w:sz w:val="18"/>
          <w:szCs w:val="18"/>
          <w:color w:val="auto"/>
        </w:rPr>
        <w:t>”) in the United States. The Company also announced a suspension of its associated Knee Osteoarthritis clinical trial program.</w:t>
      </w:r>
    </w:p>
    <w:p>
      <w:pPr>
        <w:spacing w:after="0" w:line="1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Please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the Company’s Consolidated Financial Statements included in the Company’s Annual Report on Form 10-K for the year ended December 31, 2022 (the “</w:t>
      </w:r>
      <w:r>
        <w:rPr>
          <w:rFonts w:ascii="Arial" w:cs="Arial" w:eastAsia="Arial" w:hAnsi="Arial"/>
          <w:sz w:val="18"/>
          <w:szCs w:val="18"/>
          <w:b w:val="1"/>
          <w:bCs w:val="1"/>
          <w:i w:val="1"/>
          <w:iCs w:val="1"/>
          <w:color w:val="auto"/>
        </w:rPr>
        <w:t>2022 Form 10-K</w:t>
      </w:r>
      <w:r>
        <w:rPr>
          <w:rFonts w:ascii="Arial" w:cs="Arial" w:eastAsia="Arial" w:hAnsi="Arial"/>
          <w:sz w:val="18"/>
          <w:szCs w:val="18"/>
          <w:color w:val="auto"/>
        </w:rPr>
        <w:t>”),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February 28, 2023 for a description of all significant accounting policies.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accounting principles generally accepted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for interim financial information and with the instructions to Form 10-Q and Article 10 of Regulation S-X. Accordingly, they do not include all of the information and footnotes required by GAAP for complete financial statements. In the opinion of management, all adjustments considered necessary for a fair presentation of the results of operations for the periods presented have been included. The operating results for the three and six months ended June 30, 2023 and 2022 are not necessarily indicative of the results that may be expected for the full fiscal year. The balance sheet as of December 31, 2022 was derived from the audited consolidated financial statements at that date, but does not include all of the information and footnotes required by GAAP for complete financial statements.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historical consolidated financial statements of the Company included in the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Decrease in cash resulting from changes in income taxes of $0.1 million for the six months ended June 30, 2022, which was separately presented in the unaudited condensed consolidated statement of cash flows in previously-issued financial statements, is included as part of increases and decreases in cash resulting from changes in other assets in the unaudited condensed consolidated statement of cash flows included as part of these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MiMedx Group, Inc. and its wholly-owned subsidiaries. All intercompany balances and transactions have been eliminated upon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GAAP requires management to make estimates and assumptions that affect the reported amounts of assets and liabilities and disclosure of contingent assets and liabilities at the date of the consolidated financial statements and the reported consolidated statements of operations during the reporting period. Actual results could differ from those estimates. Significant estimates include estimated useful lives and potential impairment of property and equipment, estimates of impairment for goodwill and intangible assets, estimates of loss for contingent liabilities, estimate of allowance for doubtful accounts, management’s assessment of the Company’s ability to continue as a going concern, estimate of fair value and the probable achievement of share-based payments, estimates of returns and allowances, and valuation of deferred tax assets.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grants share-based awards to employees and members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Awards to employees and the Board are generally made annually. Grants are issued outside of the annual cadence for certain new hires, promotions, and other events.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expense to be recognized is determined by the fair value of the award using inputs available as of the grant date. The fair value of non-option share awards that are not subject to a market condition is the value of the common stock on the grant date. For non-option share awards that are subject to a market condition, the fair value of the common stock on the grant date is adjusted to reflect the value of the market condition, generally using a path-dependent pricing model, such as a Monte Carlo simulation.</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stock option grants is estimated using an option pricing model, as appropriate based on the terms of the grant. Use of a valuation model requires management to make certain assumptions with respect to selected model inputs, which generally follows the inputs to a Black-Scholes option pricing model. Absent the availability of an option market with similar terms to the awarded options, the Company infers an expectation for volatility using the historical volatility of daily price changes in its share price for a period equal to the contractual or expected term of the option, as applicable, subject to adjustment for price activity associated with certain events which are not expected to recur during the relevant term. The expected term is derived based on the Company’s expectations for option exercise by the recipients. The Company uses U.S. Treasury yields with a maturity similar to the expected or contractual term, as applicable, as the basis for its risk-free interest rate assumption. The Company has never declared a dividend on its common stock and, therefore, assumes a dividend yield of 0%.</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 is recognized over the requisite service period to achieve a vesting condition associated with an award, which can either be explicitly defined by the award, implied by its terms, or derived from potential market movements. In situations where multiple vesting conditions must be achieved, the longest service period is used as a basis for expense recognition. Derived service periods associated with market conditions are accelerated if such market conditions are met prior to the initially-assessed derived service period, but are not deferred if the market conditions are not met prior to the end of the initially-assessed derived service period.</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awards with only service-based vesting conditions, the Company recognizes share-based compensation expense on a straight-line basis through the vesting date of the last tranche of the award. For awards which vest based on more than service conditions, the Company recognizes share-based compensation expense using a graded-vesting method, treating each tranche as if it were a separately-granted award and recognizing expense through the vesting date of each individual tranche. In each scenario, the Company recognizes share-based compensation expense to the extent that the associated service and performance conditions are considered probable to occur. Determinations of probability are made each reporting period and the Company uses available evidence considered relevant for evaluating the performance conditions. The Company recognizes the cumulative effect of changes in the probability of occurrence in the period of re-evaluation. The probability of occurrence and ultimate resolution of a market condition is not considered in expense recognition. Consequently, the Company could recognize expense for awards that do not ultimately vest.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calculated as net income (loss) available to common stockholders divided by the weighted average common shares outstanding for the applicable period. Net income (loss) available to common stockholders is calculated by adjusting net income (loss) for periodic accumulated dividends on the Company’s Series B Convertible Preferred Stock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This amount is divided by the weighted average common shares outstanding during the period.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Weighted average common shares outstanding is calculated as shares of the Company outstanding adjusted for the portion of the period for which they are outstanding. Unvested non-option share awards are excluded from the calculation of weighted average common shares outstanding until they have vested. Unexercised stock options are excluded from the calculation of weighted average common shares outstanding until they are exercised. Shares issuable pursuant to the Company’s Employee Stock Purchase Plan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are included for the minimum number of shares issuable beginning at the point in time that all contingencies for share issuance are resolved.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income (loss) per common share adjusts basic net income (loss) per common share for convertible securities, options, equity incentive awards, and other share-based payment awards which have yet to vest and vest only on the satisfaction of a service condition. Equity incentive awards and options that are subject to a performance or market condition are included only if the performance or market condition would be satisfied if the end of the applicable period were the end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performance period. In any case, these adjustments are reflected in the calculation of diluted net income (loss) per common share to the extent that they reduce basic net income (loss) per common share.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if-converted method to calculate the dilutive effect of the Series B Preferred Stock and other convertible securities to the extent they are outstanding. The if-converted method assumes that convertible securities are converted at the later of the issuance date and the beginning of the period. If the hypothetical conversion of convertible securities, and the consequential avoidance of any accumulated preferred dividends, would decrease basic net income (loss) per common share, these effects are incorporated in the calculation of diluted net income (loss) per common share, adjusted for the portion of the period the securities were outstanding.</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the treasury stock method to calculate the dilutive effect of options, non-option share awards, and certain other share-based payments. The treasury stock method assumes that the proceeds from exercise are used to repurchase common shares at the weighted average market price during the period, increasing the denominator for the net effect of shares issued upon exercise less hypothetical shares repurchased.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issuable pursuant to the ESPP are included in the calculation of diluted net loss per common share to the extent that such shares would be issued based on the share price at the conclusion of the period, to the extent such shares are not already included in the calculation of weighted average common shares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Financial Accounting Standards Board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ASU 2020-04 provides temporary expedients to accounting guidance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contract modifications and hedging arrangements to ease financial reporting burdens as a result of market transitions from certain reference rates, including the London Interbank Offered Rate (“</w:t>
      </w:r>
      <w:r>
        <w:rPr>
          <w:rFonts w:ascii="Arial" w:cs="Arial" w:eastAsia="Arial" w:hAnsi="Arial"/>
          <w:sz w:val="17"/>
          <w:szCs w:val="17"/>
          <w:b w:val="1"/>
          <w:bCs w:val="1"/>
          <w:i w:val="1"/>
          <w:iCs w:val="1"/>
          <w:color w:val="auto"/>
        </w:rPr>
        <w:t>LIBOR</w:t>
      </w:r>
      <w:r>
        <w:rPr>
          <w:rFonts w:ascii="Arial" w:cs="Arial" w:eastAsia="Arial" w:hAnsi="Arial"/>
          <w:sz w:val="17"/>
          <w:szCs w:val="17"/>
          <w:color w:val="auto"/>
        </w:rPr>
        <w:t>”). The updates are effective immediately and may be applied prospectively to contract modifications made and hedging relationships entered into or evaluated on or before December 31, 2024.</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2023, the Company entered into Amendment No. 2 (the “</w:t>
      </w:r>
      <w:r>
        <w:rPr>
          <w:rFonts w:ascii="Arial" w:cs="Arial" w:eastAsia="Arial" w:hAnsi="Arial"/>
          <w:sz w:val="18"/>
          <w:szCs w:val="18"/>
          <w:b w:val="1"/>
          <w:bCs w:val="1"/>
          <w:i w:val="1"/>
          <w:iCs w:val="1"/>
          <w:color w:val="auto"/>
        </w:rPr>
        <w:t>Second Amendment</w:t>
      </w:r>
      <w:r>
        <w:rPr>
          <w:rFonts w:ascii="Arial" w:cs="Arial" w:eastAsia="Arial" w:hAnsi="Arial"/>
          <w:sz w:val="18"/>
          <w:szCs w:val="18"/>
          <w:color w:val="auto"/>
        </w:rPr>
        <w:t>”) to the loan agreement, dated as of June 30, 2020, by and among the Company, Hayfin Services, LLP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an affiliate of Hayfin Capital Management LLP, and certain other parties, (as amended, the “</w:t>
      </w:r>
      <w:r>
        <w:rPr>
          <w:rFonts w:ascii="Arial" w:cs="Arial" w:eastAsia="Arial" w:hAnsi="Arial"/>
          <w:sz w:val="18"/>
          <w:szCs w:val="18"/>
          <w:b w:val="1"/>
          <w:bCs w:val="1"/>
          <w:i w:val="1"/>
          <w:iCs w:val="1"/>
          <w:color w:val="auto"/>
        </w:rPr>
        <w:t>Hayfin 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which the reference rate used to determine the interest rate was changed from LIBOR to the Secured Overnight Financing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SOFR</w:t>
      </w:r>
      <w:r>
        <w:rPr>
          <w:rFonts w:ascii="Arial" w:cs="Arial" w:eastAsia="Arial" w:hAnsi="Arial"/>
          <w:sz w:val="18"/>
          <w:szCs w:val="18"/>
          <w:color w:val="auto"/>
        </w:rPr>
        <w:t>”). Because the only terms of the Second Amendment that affected the Company’s contractual cash flows were related to the changes in the reference rate, the Company adopted the optional guidance prescribed by Topic 848 to this transaction. The adoption of ASU 2020-04 and its application to the Second Amendment did not materially impact the Company’s unaudited condensed consolidated financial statements as of or for the three or six months ended June 30,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ASUs issued and not yet effective for the three and six months ended June 30, 2023, and through the date of this report, were assessed and determined to be either not applicable or are expected to have minimal impact on the Company’s financial position and results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Arial" w:cs="Arial" w:eastAsia="Arial" w:hAnsi="Arial"/>
                <w:sz w:val="18"/>
                <w:szCs w:val="18"/>
                <w:b w:val="1"/>
                <w:bCs w:val="1"/>
                <w:color w:val="auto"/>
              </w:rPr>
              <w:t>3. Accounts Receivable, Net</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7120" w:type="dxa"/>
            <w:vAlign w:val="bottom"/>
          </w:tcPr>
          <w:p>
            <w:pPr>
              <w:spacing w:after="0"/>
              <w:rPr>
                <w:sz w:val="20"/>
                <w:szCs w:val="20"/>
                <w:color w:val="auto"/>
              </w:rPr>
            </w:pPr>
            <w:r>
              <w:rPr>
                <w:rFonts w:ascii="Arial" w:cs="Arial" w:eastAsia="Arial" w:hAnsi="Arial"/>
                <w:sz w:val="18"/>
                <w:szCs w:val="18"/>
                <w:color w:val="auto"/>
              </w:rPr>
              <w:t>Accounts receivable, net, consisted of the following (in thousands):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5"/>
        </w:trPr>
        <w:tc>
          <w:tcPr>
            <w:tcW w:w="7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June 30, 2023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December 31, 2022</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8"/>
              </w:rPr>
              <w:t>51,159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46,867</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4"/>
              </w:rPr>
              <w:t>(2,196)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4"/>
              </w:rPr>
              <w:t>(3,783)</w:t>
            </w:r>
          </w:p>
        </w:tc>
      </w:t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8"/>
              </w:rPr>
              <w:t>48,963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43,084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Activities related to the Company’s allowance for doubtful accounts for the three months ended June 30, 2023 and 2022 were as follows (in thousands):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60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4"/>
        </w:trPr>
        <w:tc>
          <w:tcPr>
            <w:tcW w:w="602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3,471</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Activities related to the Company’s allowance for doubtful accounts for the six months ended June 30, 2023 and 2022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89"/>
              </w:rPr>
              <w:t>2022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4.   Inventory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60" w:type="dxa"/>
            <w:vAlign w:val="bottom"/>
            <w:gridSpan w:val="2"/>
          </w:tcPr>
          <w:p>
            <w:pPr>
              <w:spacing w:after="0"/>
              <w:rPr>
                <w:sz w:val="20"/>
                <w:szCs w:val="20"/>
                <w:color w:val="auto"/>
              </w:rPr>
            </w:pPr>
            <w:r>
              <w:rPr>
                <w:rFonts w:ascii="Arial" w:cs="Arial" w:eastAsia="Arial" w:hAnsi="Arial"/>
                <w:sz w:val="18"/>
                <w:szCs w:val="18"/>
                <w:color w:val="auto"/>
              </w:rPr>
              <w:t>Inventory consisted of the following (in thousands):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 w:type="dxa"/>
            <w:vAlign w:val="bottom"/>
            <w:tcBorders>
              <w:bottom w:val="single" w:sz="8" w:color="CCEEFF"/>
            </w:tcBorders>
          </w:tcPr>
          <w:p>
            <w:pPr>
              <w:spacing w:after="0"/>
              <w:rPr>
                <w:sz w:val="22"/>
                <w:szCs w:val="22"/>
                <w:color w:val="auto"/>
              </w:rPr>
            </w:pPr>
          </w:p>
        </w:tc>
        <w:tc>
          <w:tcPr>
            <w:tcW w:w="60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color w:val="auto"/>
              </w:rPr>
              <w:t>June 30, 2023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4"/>
              </w:rPr>
              <w:t>December 31, 2022</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7,885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8,055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6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16,815</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6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6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1"/>
              </w:rPr>
              <w:t>December 31, 2022</w:t>
            </w:r>
          </w:p>
        </w:tc>
        <w:tc>
          <w:tcPr>
            <w:tcW w:w="0" w:type="dxa"/>
            <w:vAlign w:val="bottom"/>
          </w:tcPr>
          <w:p>
            <w:pPr>
              <w:spacing w:after="0"/>
              <w:rPr>
                <w:sz w:val="1"/>
                <w:szCs w:val="1"/>
                <w:color w:val="auto"/>
              </w:rPr>
            </w:pPr>
          </w:p>
        </w:tc>
      </w:tr>
      <w:tr>
        <w:trPr>
          <w:trHeight w:val="23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Laboratory and clean room equipment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Furniture and equipment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9,328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1,649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3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retirement cost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Finance lease right-of-use asset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44,544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43,783</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(37,283)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(35,927)</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and six months ended June 30, 2023 and 2022 is summarized in the table below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 w:name="page15"/>
    <w:bookmarkEnd w:id="14"/>
    <w:tbl>
      <w:tblPr>
        <w:tblLayout w:type="fixed"/>
        <w:tblInd w:w="46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Six Months Ended June 30,</w:t>
            </w:r>
          </w:p>
        </w:tc>
      </w:tr>
      <w:tr>
        <w:trPr>
          <w:trHeight w:val="223"/>
        </w:trPr>
        <w:tc>
          <w:tcPr>
            <w:tcW w:w="402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3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is allocated amongst cost of sales, research and development expense, and selling, general, and administrative expense on the unaudited condensed consolidated statements of operations.</w:t>
      </w:r>
    </w:p>
    <w:p>
      <w:pPr>
        <w:spacing w:after="0" w:line="11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 activity for the three months ended June 30, 2023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Wound &amp; Surgical</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Regenerative Medicine</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Goodwill</w:t>
            </w: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of goodwill</w:t>
            </w: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 activity for the six months ended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Wound &amp; Surgical</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Regenerative Medicine</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Goodwill</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was no goodwill activity during either the three or six months ended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Regenerative Medicine Business Unit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20, 2023, the Company announced the disbanding of its Regenerative Medicine business unit and the suspension of its Knee Osteoarthritis clinical trial program. As a result of this event, the Company evaluated goodwill associated with the Regenerative Medicine reporting unit for potential impairment. The Company estimated fair value for the reporting unit using the income approach; specifically, a discounted cash flow method. As a result of this assessment, management concluded that the carrying value of the reporting unit exceeded its carrying value by an amount that exceeded its goodwill balance. Accordingly, the Company recognized an impairment loss for the full amount of the goodwill ascribed to the Regenerative Medicine reporting unit. The impairment loss is included as a component of restructuring expense in the unaudited condensed statement of operations for the three and six months ended June 30,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760" w:type="dxa"/>
            <w:vAlign w:val="bottom"/>
            <w:gridSpan w:val="6"/>
          </w:tcPr>
          <w:p>
            <w:pPr>
              <w:spacing w:after="0"/>
              <w:rPr>
                <w:sz w:val="20"/>
                <w:szCs w:val="20"/>
                <w:color w:val="auto"/>
              </w:rPr>
            </w:pPr>
            <w:r>
              <w:rPr>
                <w:rFonts w:ascii="Arial" w:cs="Arial" w:eastAsia="Arial" w:hAnsi="Arial"/>
                <w:sz w:val="18"/>
                <w:szCs w:val="18"/>
                <w:color w:val="auto"/>
              </w:rPr>
              <w:t>Intangible assets, net, are summarized as follows (in thousands):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June 30, 2023</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88"/>
              </w:rPr>
              <w:t>December 31, 2022</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8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7"/>
              </w:rPr>
              <w:t>Gross Carrying</w:t>
            </w:r>
          </w:p>
        </w:tc>
        <w:tc>
          <w:tcPr>
            <w:tcW w:w="140" w:type="dxa"/>
            <w:vAlign w:val="bottom"/>
          </w:tcPr>
          <w:p>
            <w:pPr>
              <w:spacing w:after="0"/>
              <w:rPr>
                <w:sz w:val="15"/>
                <w:szCs w:val="15"/>
                <w:color w:val="auto"/>
              </w:rPr>
            </w:pPr>
          </w:p>
        </w:tc>
        <w:tc>
          <w:tcPr>
            <w:tcW w:w="120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4"/>
              </w:rPr>
              <w:t>Accumulated</w:t>
            </w: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4"/>
              </w:rPr>
              <w:t>Net Carrying</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4"/>
              </w:rPr>
              <w:t>Gross Carrying</w:t>
            </w:r>
          </w:p>
        </w:tc>
        <w:tc>
          <w:tcPr>
            <w:tcW w:w="60" w:type="dxa"/>
            <w:vAlign w:val="bottom"/>
          </w:tcPr>
          <w:p>
            <w:pPr>
              <w:spacing w:after="0"/>
              <w:rPr>
                <w:sz w:val="15"/>
                <w:szCs w:val="15"/>
                <w:color w:val="auto"/>
              </w:rPr>
            </w:pPr>
          </w:p>
        </w:tc>
        <w:tc>
          <w:tcPr>
            <w:tcW w:w="1320" w:type="dxa"/>
            <w:vAlign w:val="bottom"/>
            <w:gridSpan w:val="4"/>
          </w:tcPr>
          <w:p>
            <w:pPr>
              <w:jc w:val="right"/>
              <w:ind w:right="90"/>
              <w:spacing w:after="0" w:line="176" w:lineRule="exact"/>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3"/>
              </w:rPr>
              <w:t>Net Carrying</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7"/>
              </w:rPr>
              <w:t>Amortization</w:t>
            </w: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Amount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19"/>
                <w:szCs w:val="19"/>
                <w:color w:val="auto"/>
              </w:rPr>
            </w:pPr>
          </w:p>
        </w:tc>
        <w:tc>
          <w:tcPr>
            <w:tcW w:w="1320" w:type="dxa"/>
            <w:vAlign w:val="bottom"/>
            <w:gridSpan w:val="4"/>
          </w:tcPr>
          <w:p>
            <w:pPr>
              <w:jc w:val="right"/>
              <w:ind w:right="9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 intangible assets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940" w:type="dxa"/>
            <w:vAlign w:val="bottom"/>
          </w:tcPr>
          <w:p>
            <w:pPr>
              <w:ind w:left="220"/>
              <w:spacing w:after="0"/>
              <w:rPr>
                <w:sz w:val="20"/>
                <w:szCs w:val="20"/>
                <w:color w:val="auto"/>
              </w:rPr>
            </w:pPr>
            <w:r>
              <w:rPr>
                <w:rFonts w:ascii="Arial" w:cs="Arial" w:eastAsia="Arial" w:hAnsi="Arial"/>
                <w:sz w:val="18"/>
                <w:szCs w:val="18"/>
                <w:color w:val="auto"/>
              </w:rPr>
              <w:t>Patents and know-how</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9,968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9,923</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(7,106)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Licenses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amortized intangible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10,923</w:t>
            </w:r>
          </w:p>
        </w:tc>
        <w:tc>
          <w:tcPr>
            <w:tcW w:w="72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Unamortized intangible assets: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Tradenames and trademarks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940" w:type="dxa"/>
            <w:vAlign w:val="bottom"/>
          </w:tcPr>
          <w:p>
            <w:pPr>
              <w:ind w:left="220"/>
              <w:spacing w:after="0"/>
              <w:rPr>
                <w:sz w:val="20"/>
                <w:szCs w:val="20"/>
                <w:color w:val="auto"/>
              </w:rPr>
            </w:pPr>
            <w:r>
              <w:rPr>
                <w:rFonts w:ascii="Arial" w:cs="Arial" w:eastAsia="Arial" w:hAnsi="Arial"/>
                <w:sz w:val="18"/>
                <w:szCs w:val="18"/>
                <w:color w:val="auto"/>
              </w:rPr>
              <w:t>Patents in Process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140" w:type="dxa"/>
            <w:vAlign w:val="bottom"/>
            <w:gridSpan w:val="9"/>
          </w:tcPr>
          <w:p>
            <w:pPr>
              <w:spacing w:after="0"/>
              <w:rPr>
                <w:sz w:val="20"/>
                <w:szCs w:val="20"/>
                <w:color w:val="auto"/>
              </w:rPr>
            </w:pPr>
            <w:r>
              <w:rPr>
                <w:rFonts w:ascii="Arial" w:cs="Arial" w:eastAsia="Arial" w:hAnsi="Arial"/>
                <w:sz w:val="18"/>
                <w:szCs w:val="18"/>
                <w:color w:val="auto"/>
                <w:w w:val="90"/>
              </w:rPr>
              <w:t>Expected future amortization of intangible assets as of June 30, 2023, is as follows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ending December 31,</w:t>
            </w:r>
          </w:p>
        </w:tc>
        <w:tc>
          <w:tcPr>
            <w:tcW w:w="3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5"/>
              </w:rPr>
              <w:t>Expense</w:t>
            </w:r>
          </w:p>
        </w:tc>
        <w:tc>
          <w:tcPr>
            <w:tcW w:w="0" w:type="dxa"/>
            <w:vAlign w:val="bottom"/>
          </w:tcPr>
          <w:p>
            <w:pPr>
              <w:spacing w:after="0"/>
              <w:rPr>
                <w:sz w:val="1"/>
                <w:szCs w:val="1"/>
                <w:color w:val="auto"/>
              </w:rPr>
            </w:pPr>
          </w:p>
        </w:tc>
      </w:tr>
      <w:tr>
        <w:trPr>
          <w:trHeight w:val="223"/>
        </w:trPr>
        <w:tc>
          <w:tcPr>
            <w:tcW w:w="4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amortized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1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20" w:type="dxa"/>
            <w:vAlign w:val="bottom"/>
            <w:gridSpan w:val="4"/>
          </w:tcPr>
          <w:p>
            <w:pPr>
              <w:spacing w:after="0"/>
              <w:rPr>
                <w:sz w:val="20"/>
                <w:szCs w:val="20"/>
                <w:color w:val="auto"/>
              </w:rPr>
            </w:pPr>
            <w:r>
              <w:rPr>
                <w:rFonts w:ascii="Arial" w:cs="Arial" w:eastAsia="Arial" w:hAnsi="Arial"/>
                <w:sz w:val="18"/>
                <w:szCs w:val="18"/>
                <w:color w:val="auto"/>
                <w:w w:val="91"/>
              </w:rPr>
              <w:t>Accrued expenses consisted of the following (in thousands):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 2023</w:t>
            </w:r>
          </w:p>
        </w:tc>
        <w:tc>
          <w:tcPr>
            <w:tcW w:w="10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CCEEFF"/>
            </w:tcBorders>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Legal and settlement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Commissions to sales agents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 w:type="dxa"/>
            <w:vAlign w:val="bottom"/>
            <w:tcBorders>
              <w:right w:val="single" w:sz="8" w:color="CCEEFF"/>
            </w:tcBorders>
          </w:tcPr>
          <w:p>
            <w:pPr>
              <w:spacing w:after="0"/>
              <w:rPr>
                <w:sz w:val="20"/>
                <w:szCs w:val="20"/>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Accrued group purchasing organization fees</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Estimated sales returns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CCEEFF"/>
            </w:tcBorders>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Accrued contract termination costs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CCEEFF"/>
            </w:tcBorders>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travel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Accrued clinical trials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 w:type="dxa"/>
            <w:vAlign w:val="bottom"/>
            <w:tcBorders>
              <w:right w:val="single" w:sz="8" w:color="CCEEFF"/>
            </w:tcBorders>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Long Term Debt, Net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Hayfin Loan Agreement</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30, 2020, the Company entered into the Hayfin Loan Agreement, which Hayfin funded on July 2, 2020, providing the Company with a senior secured term loan in an aggregate amount of $50.0 million (the “</w:t>
      </w:r>
      <w:r>
        <w:rPr>
          <w:rFonts w:ascii="Arial" w:cs="Arial" w:eastAsia="Arial" w:hAnsi="Arial"/>
          <w:sz w:val="17"/>
          <w:szCs w:val="17"/>
          <w:b w:val="1"/>
          <w:bCs w:val="1"/>
          <w:i w:val="1"/>
          <w:iCs w:val="1"/>
          <w:color w:val="auto"/>
        </w:rPr>
        <w:t>Term Loan</w:t>
      </w:r>
      <w:r>
        <w:rPr>
          <w:rFonts w:ascii="Arial" w:cs="Arial" w:eastAsia="Arial" w:hAnsi="Arial"/>
          <w:sz w:val="17"/>
          <w:szCs w:val="17"/>
          <w:color w:val="auto"/>
        </w:rPr>
        <w:t>”). The Term Loan matures on June 30, 2025 (the “</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2023, the Company entered into the Second Amendment to the Hayfin Loan Agreement to change the LIBOR reference rate under the Hayfin Loan Agreement from LIBOR to SOFR. Prior to the Second Amendment, interest on any borrowings under the Hayfin Loan Agreement was based on LIBOR, subject to a floor of 1.5% (the “</w:t>
      </w:r>
      <w:r>
        <w:rPr>
          <w:rFonts w:ascii="Arial" w:cs="Arial" w:eastAsia="Arial" w:hAnsi="Arial"/>
          <w:sz w:val="18"/>
          <w:szCs w:val="18"/>
          <w:b w:val="1"/>
          <w:bCs w:val="1"/>
          <w:i w:val="1"/>
          <w:iCs w:val="1"/>
          <w:color w:val="auto"/>
        </w:rPr>
        <w:t>Floor</w:t>
      </w:r>
      <w:r>
        <w:rPr>
          <w:rFonts w:ascii="Arial" w:cs="Arial" w:eastAsia="Arial" w:hAnsi="Arial"/>
          <w:sz w:val="18"/>
          <w:szCs w:val="18"/>
          <w:color w:val="auto"/>
        </w:rPr>
        <w:t>”), plus a margin of 6.75% per annum (the “</w:t>
      </w:r>
      <w:r>
        <w:rPr>
          <w:rFonts w:ascii="Arial" w:cs="Arial" w:eastAsia="Arial" w:hAnsi="Arial"/>
          <w:sz w:val="18"/>
          <w:szCs w:val="18"/>
          <w:b w:val="1"/>
          <w:bCs w:val="1"/>
          <w:i w:val="1"/>
          <w:iCs w:val="1"/>
          <w:color w:val="auto"/>
        </w:rPr>
        <w:t>Margin</w:t>
      </w:r>
      <w:r>
        <w:rPr>
          <w:rFonts w:ascii="Arial" w:cs="Arial" w:eastAsia="Arial" w:hAnsi="Arial"/>
          <w:sz w:val="18"/>
          <w:szCs w:val="18"/>
          <w:color w:val="auto"/>
        </w:rPr>
        <w:t>”). Subsequent and pursuant to the Second Amendment, interest on any borrowings is based on SOFR, plus a fallback provision of 0.15%, subject to the Floor, plus the Margin. The Term Loan carried an interest rate of 12.1% as of June 30, 2023.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2023, the Company was in compliance with all applicable financial covenants under the Hayfin Loan Agreement. A breach of a financial covenant in the Hayfin Loan Agreement, if uncured or unable to be cured, would likely result in an event of default that could trigger the lender’s remedies, including acceleration of the entire principal balance of the loan as well as any applicable prepayment premiums.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Term Loan as of June 30, 2023 and December 31, 2022 were as follows (in thousands):</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9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June 30, 2023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 2022</w:t>
            </w: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3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w:t>
            </w: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Long term debt,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48,594</w:t>
            </w:r>
          </w:p>
        </w:tc>
      </w:tr>
      <w:tr>
        <w:trPr>
          <w:trHeight w:val="21"/>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Term Loan, included in interest expense, net in the unaudited condensed consolidated statements of operations, was as follows (amounts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Six Months Ended June 30,</w:t>
            </w:r>
          </w:p>
        </w:tc>
      </w:tr>
      <w:tr>
        <w:trPr>
          <w:trHeight w:val="223"/>
        </w:trPr>
        <w:tc>
          <w:tcPr>
            <w:tcW w:w="44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37"/>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Stated 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1,505</w:t>
            </w:r>
          </w:p>
        </w:tc>
        <w:tc>
          <w:tcPr>
            <w:tcW w:w="11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1,630</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1,160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3,201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0"/>
        </w:trPr>
        <w:tc>
          <w:tcPr>
            <w:tcW w:w="4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principal payments due on the Term Loan, by year, from June 30, 2023 through maturity are as follows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Principal</w:t>
            </w: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principal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fair value of the Term Loan was $47.9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Fair value was calculated by discounting the remaining cash flows associated with the Term Loan to June 30, 2023 using this discount rate.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Net Income (Loss) Per Common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common share is calculated using two methods: basic and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Net Income (Loss) Per Common Share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net loss to net loss available to common stockholders and calculation of basic net loss per common share for each of the three and six months ended June 30, 2023 and 2022 (in thousands, except share and per share amounts):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4"/>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9"/>
              </w:rPr>
              <w:t>Six Months Ended June 30,</w:t>
            </w:r>
          </w:p>
        </w:tc>
      </w:tr>
      <w:tr>
        <w:trPr>
          <w:trHeight w:val="223"/>
        </w:trPr>
        <w:tc>
          <w:tcPr>
            <w:tcW w:w="4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3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dividends on Series B Preferred Stock</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(24,571)</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115,866,371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112,867,912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115,136,646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112,245,334</w:t>
            </w:r>
          </w:p>
        </w:tc>
      </w:tr>
      <w:tr>
        <w:trPr>
          <w:trHeight w:val="23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(Loss) Per Common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diluted net loss per common share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8"/>
              </w:rPr>
              <w:t>Six Months Ended June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dividends on Series B Convertible Preferred Stock</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antidilutive adjustments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(12,496)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(7,194)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(24,571)</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115,866,371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112,867,912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115,136,646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112,245,334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Potential common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30,996,553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29,199,666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30,273,154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29,102,650</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antidilutive potential common shares (a)</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(30,996,553)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(29,199,666)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(30,273,154)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(29,102,650)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7"/>
              </w:rPr>
              <w:t>Weighted average shares outstanding adjusted for potential common</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115,866,371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w w:val="99"/>
              </w:rPr>
              <w:t>112,867,912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115,136,646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112,245,334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8"/>
        <w:spacing w:after="0" w:line="277"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Weighted average common shares outstanding for the calculation of diluted net loss per common share does not include the following adjustments for potential common shares below because their effects were determined to be antidilutive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120" w:type="dxa"/>
            <w:vAlign w:val="bottom"/>
            <w:gridSpan w:val="3"/>
          </w:tcPr>
          <w:p>
            <w:pPr>
              <w:jc w:val="right"/>
              <w:ind w:right="370"/>
              <w:spacing w:after="0"/>
              <w:rPr>
                <w:sz w:val="20"/>
                <w:szCs w:val="20"/>
                <w:color w:val="auto"/>
              </w:rPr>
            </w:pPr>
            <w:r>
              <w:rPr>
                <w:rFonts w:ascii="Arial" w:cs="Arial" w:eastAsia="Arial" w:hAnsi="Arial"/>
                <w:sz w:val="18"/>
                <w:szCs w:val="18"/>
                <w:color w:val="auto"/>
              </w:rPr>
              <w:t>Three Months Ended June 30,</w:t>
            </w:r>
          </w:p>
        </w:tc>
        <w:tc>
          <w:tcPr>
            <w:tcW w:w="100" w:type="dxa"/>
            <w:vAlign w:val="bottom"/>
          </w:tcPr>
          <w:p>
            <w:pPr>
              <w:spacing w:after="0"/>
              <w:rPr>
                <w:sz w:val="20"/>
                <w:szCs w:val="20"/>
                <w:color w:val="auto"/>
              </w:rPr>
            </w:pPr>
          </w:p>
        </w:tc>
        <w:tc>
          <w:tcPr>
            <w:tcW w:w="3620" w:type="dxa"/>
            <w:vAlign w:val="bottom"/>
            <w:gridSpan w:val="4"/>
          </w:tcPr>
          <w:p>
            <w:pPr>
              <w:ind w:left="680"/>
              <w:spacing w:after="0"/>
              <w:rPr>
                <w:sz w:val="20"/>
                <w:szCs w:val="20"/>
                <w:color w:val="auto"/>
              </w:rPr>
            </w:pPr>
            <w:r>
              <w:rPr>
                <w:rFonts w:ascii="Arial" w:cs="Arial" w:eastAsia="Arial" w:hAnsi="Arial"/>
                <w:sz w:val="18"/>
                <w:szCs w:val="18"/>
                <w:color w:val="auto"/>
              </w:rPr>
              <w:t>Six Months Ended June 30,</w:t>
            </w:r>
          </w:p>
        </w:tc>
      </w:tr>
      <w:tr>
        <w:trPr>
          <w:trHeight w:val="223"/>
        </w:trPr>
        <w:tc>
          <w:tcPr>
            <w:tcW w:w="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r>
      <w:tr>
        <w:trPr>
          <w:trHeight w:val="237"/>
        </w:trPr>
        <w:tc>
          <w:tcPr>
            <w:tcW w:w="30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29,997,271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28,262,957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29,559,946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27,850,916</w:t>
            </w:r>
          </w:p>
        </w:tc>
        <w:tc>
          <w:tcPr>
            <w:tcW w:w="280" w:type="dxa"/>
            <w:vAlign w:val="bottom"/>
          </w:tcPr>
          <w:p>
            <w:pPr>
              <w:spacing w:after="0"/>
              <w:rPr>
                <w:sz w:val="20"/>
                <w:szCs w:val="20"/>
                <w:color w:val="auto"/>
              </w:rPr>
            </w:pPr>
          </w:p>
        </w:tc>
      </w:tr>
      <w:tr>
        <w:trPr>
          <w:trHeight w:val="230"/>
        </w:trPr>
        <w:tc>
          <w:tcPr>
            <w:tcW w:w="3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Restricted stock unit awards</w:t>
            </w:r>
          </w:p>
        </w:tc>
        <w:tc>
          <w:tcPr>
            <w:tcW w:w="1520" w:type="dxa"/>
            <w:vAlign w:val="bottom"/>
          </w:tcPr>
          <w:p>
            <w:pPr>
              <w:jc w:val="right"/>
              <w:spacing w:after="0"/>
              <w:rPr>
                <w:sz w:val="20"/>
                <w:szCs w:val="20"/>
                <w:color w:val="auto"/>
              </w:rPr>
            </w:pPr>
            <w:r>
              <w:rPr>
                <w:rFonts w:ascii="Arial" w:cs="Arial" w:eastAsia="Arial" w:hAnsi="Arial"/>
                <w:sz w:val="18"/>
                <w:szCs w:val="18"/>
                <w:color w:val="auto"/>
              </w:rPr>
              <w:t>943,659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487,708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674,215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635,997</w:t>
            </w:r>
          </w:p>
        </w:tc>
        <w:tc>
          <w:tcPr>
            <w:tcW w:w="280" w:type="dxa"/>
            <w:vAlign w:val="bottom"/>
          </w:tcPr>
          <w:p>
            <w:pPr>
              <w:spacing w:after="0"/>
              <w:rPr>
                <w:sz w:val="19"/>
                <w:szCs w:val="19"/>
                <w:color w:val="auto"/>
              </w:rPr>
            </w:pPr>
          </w:p>
        </w:tc>
      </w:tr>
      <w:tr>
        <w:trPr>
          <w:trHeight w:val="229"/>
        </w:trPr>
        <w:tc>
          <w:tcPr>
            <w:tcW w:w="30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444,511</w:t>
            </w:r>
          </w:p>
        </w:tc>
        <w:tc>
          <w:tcPr>
            <w:tcW w:w="280" w:type="dxa"/>
            <w:vAlign w:val="bottom"/>
          </w:tcPr>
          <w:p>
            <w:pPr>
              <w:spacing w:after="0"/>
              <w:rPr>
                <w:sz w:val="19"/>
                <w:szCs w:val="19"/>
                <w:color w:val="auto"/>
              </w:rPr>
            </w:pPr>
          </w:p>
        </w:tc>
      </w:tr>
      <w:tr>
        <w:trPr>
          <w:trHeight w:val="237"/>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Performance stock unit awards</w:t>
            </w:r>
          </w:p>
        </w:tc>
        <w:tc>
          <w:tcPr>
            <w:tcW w:w="1520" w:type="dxa"/>
            <w:vAlign w:val="bottom"/>
          </w:tcPr>
          <w:p>
            <w:pPr>
              <w:jc w:val="right"/>
              <w:spacing w:after="0"/>
              <w:rPr>
                <w:sz w:val="20"/>
                <w:szCs w:val="20"/>
                <w:color w:val="auto"/>
              </w:rPr>
            </w:pPr>
            <w:r>
              <w:rPr>
                <w:rFonts w:ascii="Arial" w:cs="Arial" w:eastAsia="Arial" w:hAnsi="Arial"/>
                <w:sz w:val="18"/>
                <w:szCs w:val="18"/>
                <w:color w:val="auto"/>
              </w:rPr>
              <w:t>16,189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61,488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11,486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30,914</w:t>
            </w: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92,406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140,312</w:t>
            </w:r>
          </w:p>
        </w:tc>
        <w:tc>
          <w:tcPr>
            <w:tcW w:w="280" w:type="dxa"/>
            <w:vAlign w:val="bottom"/>
          </w:tcPr>
          <w:p>
            <w:pPr>
              <w:spacing w:after="0"/>
              <w:rPr>
                <w:sz w:val="20"/>
                <w:szCs w:val="20"/>
                <w:color w:val="auto"/>
              </w:rPr>
            </w:pPr>
          </w:p>
        </w:tc>
      </w:tr>
      <w:tr>
        <w:trPr>
          <w:trHeight w:val="229"/>
        </w:trPr>
        <w:tc>
          <w:tcPr>
            <w:tcW w:w="3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r>
      <w:tr>
        <w:trPr>
          <w:trHeight w:val="256"/>
        </w:trPr>
        <w:tc>
          <w:tcPr>
            <w:tcW w:w="30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Potential common shares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30,996,553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29,199,666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30,273,154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29,102,650</w:t>
            </w:r>
          </w:p>
        </w:tc>
        <w:tc>
          <w:tcPr>
            <w:tcW w:w="280" w:type="dxa"/>
            <w:vAlign w:val="bottom"/>
          </w:tcPr>
          <w:p>
            <w:pPr>
              <w:spacing w:after="0"/>
              <w:rPr>
                <w:sz w:val="22"/>
                <w:szCs w:val="22"/>
                <w:color w:val="auto"/>
              </w:rPr>
            </w:pPr>
          </w:p>
        </w:tc>
      </w:tr>
      <w:tr>
        <w:trPr>
          <w:trHeight w:val="20"/>
        </w:trPr>
        <w:tc>
          <w:tcPr>
            <w:tcW w:w="30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825"/>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3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declared or paid any dividends on the Series B Preferred Stock since issuance. Dividends accumulated but not paid as of June 30, 2023 were $17.2 million. As this amount has not been declared, the Company has not recorded this amount on its unaudited condensed consolidated balance sheet as of June 30, 2023.</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accumulated dividends as of June 30, 2023, the Series B Preferred Stock was convertible into an aggregate of 30,445,997 shares of the Company’s common stock as of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Awards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issued restricted stock awards (“</w:t>
      </w:r>
      <w:r>
        <w:rPr>
          <w:rFonts w:ascii="Arial" w:cs="Arial" w:eastAsia="Arial" w:hAnsi="Arial"/>
          <w:sz w:val="18"/>
          <w:szCs w:val="18"/>
          <w:b w:val="1"/>
          <w:bCs w:val="1"/>
          <w:i w:val="1"/>
          <w:iCs w:val="1"/>
          <w:color w:val="auto"/>
        </w:rPr>
        <w:t>RSAs</w:t>
      </w:r>
      <w:r>
        <w:rPr>
          <w:rFonts w:ascii="Arial" w:cs="Arial" w:eastAsia="Arial" w:hAnsi="Arial"/>
          <w:sz w:val="18"/>
          <w:szCs w:val="18"/>
          <w:color w:val="auto"/>
        </w:rPr>
        <w:t>”), restricted stock unit awards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and performance stock unit awards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xml:space="preserve">”, together with RSAs and RSUs, collectively, the </w:t>
      </w:r>
      <w:r>
        <w:rPr>
          <w:rFonts w:ascii="Arial" w:cs="Arial" w:eastAsia="Arial" w:hAnsi="Arial"/>
          <w:sz w:val="18"/>
          <w:szCs w:val="18"/>
          <w:b w:val="1"/>
          <w:bCs w:val="1"/>
          <w:i w:val="1"/>
          <w:iCs w:val="1"/>
          <w:color w:val="auto"/>
        </w:rPr>
        <w:t>“Equity Incentive Awards”</w:t>
      </w:r>
      <w:r>
        <w:rPr>
          <w:rFonts w:ascii="Arial" w:cs="Arial" w:eastAsia="Arial" w:hAnsi="Arial"/>
          <w:sz w:val="18"/>
          <w:szCs w:val="18"/>
          <w:color w:val="auto"/>
        </w:rPr>
        <w:t>) to its employees. The following is summary information for Equity Incentive Awards for the six months ended June 30, 2023.</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2023, there was $31.6 million of unrecognized share-based compensation expense related to the Equity Incentive Awards. This expense is expected to be recognized over a weighted-average period of 2.38 years, which approximates the remaining vesting period of these grants. The table below summarizes activity of unvested Equity Incentive Awards by award type from January 1, 2023 through June 30, 2023.</w:t>
      </w:r>
    </w:p>
    <w:p>
      <w:pPr>
        <w:spacing w:after="0" w:line="179" w:lineRule="exact"/>
        <w:rPr>
          <w:sz w:val="20"/>
          <w:szCs w:val="20"/>
          <w:color w:val="auto"/>
        </w:rPr>
      </w:pPr>
    </w:p>
    <w:tbl>
      <w:tblPr>
        <w:tblLayout w:type="fixed"/>
        <w:tblInd w:w="32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7"/>
              </w:rPr>
              <w:t>RSA</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4"/>
              </w:rPr>
              <w:t>RSU</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PSU</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Average Grant</w:t>
            </w:r>
          </w:p>
        </w:tc>
        <w:tc>
          <w:tcPr>
            <w:tcW w:w="100" w:type="dxa"/>
            <w:vAlign w:val="bottom"/>
          </w:tcPr>
          <w:p>
            <w:pPr>
              <w:spacing w:after="0"/>
              <w:rPr>
                <w:sz w:val="15"/>
                <w:szCs w:val="15"/>
                <w:color w:val="auto"/>
              </w:rPr>
            </w:pP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Number of</w:t>
            </w:r>
          </w:p>
        </w:tc>
        <w:tc>
          <w:tcPr>
            <w:tcW w:w="12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5"/>
              </w:rPr>
              <w:t>Average Grant</w:t>
            </w:r>
          </w:p>
        </w:tc>
        <w:tc>
          <w:tcPr>
            <w:tcW w:w="120" w:type="dxa"/>
            <w:vAlign w:val="bottom"/>
          </w:tcPr>
          <w:p>
            <w:pPr>
              <w:spacing w:after="0"/>
              <w:rPr>
                <w:sz w:val="15"/>
                <w:szCs w:val="15"/>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rPr>
              <w:t>Number of</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0"/>
              <w:spacing w:after="0" w:line="189" w:lineRule="exact"/>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Fair Value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Fair Value</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122,755</w:t>
            </w:r>
          </w:p>
        </w:tc>
        <w:tc>
          <w:tcPr>
            <w:tcW w:w="2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4,774,971</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241,072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w w:val="94"/>
              </w:rPr>
              <w:t>3,156,544</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3,689,427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(2,226,180)</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(628,833)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June 30,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w:t>
            </w:r>
          </w:p>
        </w:tc>
        <w:tc>
          <w:tcPr>
            <w:tcW w:w="2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5,076,502</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3,870,975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six months ended June 30, 2023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3,600,000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options expired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9,257,661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0"/>
              <w:spacing w:after="0" w:line="203" w:lineRule="exact"/>
              <w:rPr>
                <w:sz w:val="20"/>
                <w:szCs w:val="20"/>
                <w:color w:val="auto"/>
              </w:rPr>
            </w:pPr>
            <w:r>
              <w:rPr>
                <w:rFonts w:ascii="Arial" w:cs="Arial" w:eastAsia="Arial" w:hAnsi="Arial"/>
                <w:sz w:val="18"/>
                <w:szCs w:val="18"/>
                <w:color w:val="auto"/>
              </w:rPr>
              <w:t>Exercisable at June 30, 2023</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551,427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6.96</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75,977</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$5.9 million of unrecognized share-based compensation expense related to Stock Options. This expense is expected to be recognized over a weighted-average period of 2.29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Performance Grant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27, 2023, the Board of Directors appointed Joseph H. Capper to serve as Chief Executive Officer. The Company entered into a Letter Agreement with Mr. Capper that included, among other things, a grant of 3,300,000 PSUs (the “</w:t>
      </w:r>
      <w:r>
        <w:rPr>
          <w:rFonts w:ascii="Arial" w:cs="Arial" w:eastAsia="Arial" w:hAnsi="Arial"/>
          <w:sz w:val="18"/>
          <w:szCs w:val="18"/>
          <w:b w:val="1"/>
          <w:bCs w:val="1"/>
          <w:i w:val="1"/>
          <w:iCs w:val="1"/>
          <w:color w:val="auto"/>
        </w:rPr>
        <w:t>CEO Performance PSUs</w:t>
      </w:r>
      <w:r>
        <w:rPr>
          <w:rFonts w:ascii="Arial" w:cs="Arial" w:eastAsia="Arial" w:hAnsi="Arial"/>
          <w:sz w:val="18"/>
          <w:szCs w:val="18"/>
          <w:color w:val="auto"/>
        </w:rPr>
        <w:t>”) and a non-qualified stock option (the “</w:t>
      </w:r>
      <w:r>
        <w:rPr>
          <w:rFonts w:ascii="Arial" w:cs="Arial" w:eastAsia="Arial" w:hAnsi="Arial"/>
          <w:sz w:val="18"/>
          <w:szCs w:val="18"/>
          <w:b w:val="1"/>
          <w:bCs w:val="1"/>
          <w:i w:val="1"/>
          <w:iCs w:val="1"/>
          <w:color w:val="auto"/>
        </w:rPr>
        <w:t>CEO Performance Option</w:t>
      </w:r>
      <w:r>
        <w:rPr>
          <w:rFonts w:ascii="Arial" w:cs="Arial" w:eastAsia="Arial" w:hAnsi="Arial"/>
          <w:sz w:val="18"/>
          <w:szCs w:val="18"/>
          <w:color w:val="auto"/>
        </w:rPr>
        <w:t>”, collectively with the CEO</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Performance PSUs, the “</w:t>
      </w:r>
      <w:r>
        <w:rPr>
          <w:rFonts w:ascii="Arial" w:cs="Arial" w:eastAsia="Arial" w:hAnsi="Arial"/>
          <w:sz w:val="18"/>
          <w:szCs w:val="18"/>
          <w:b w:val="1"/>
          <w:bCs w:val="1"/>
          <w:i w:val="1"/>
          <w:iCs w:val="1"/>
          <w:color w:val="auto"/>
        </w:rPr>
        <w:t>CEO Performance Grant</w:t>
      </w:r>
      <w:r>
        <w:rPr>
          <w:rFonts w:ascii="Arial" w:cs="Arial" w:eastAsia="Arial" w:hAnsi="Arial"/>
          <w:sz w:val="18"/>
          <w:szCs w:val="18"/>
          <w:color w:val="auto"/>
        </w:rPr>
        <w:t>”) for 3,600,000 shares of the Company’s common stock. In addition to continued employment with the Company, the occurrence and extent of vesting of each component of the CEO Performance Grant is dependent upon the Company’s operating and share price performance: the CEO Performance PSUs vest on the basis of achieved revenue growth, while the CEO Performance Option vests on the basis of share price appreciation.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Performance PSUs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CEO Performance PSUs vest in a single tranche on the earlier of the filing date of the Company’s 2026 Annual Report on Form 10-K and March 15, 2027. The occurrence and extent of vesting depends on the Company’s compound annual growth rate (“</w:t>
      </w:r>
      <w:r>
        <w:rPr>
          <w:rFonts w:ascii="Arial" w:cs="Arial" w:eastAsia="Arial" w:hAnsi="Arial"/>
          <w:sz w:val="18"/>
          <w:szCs w:val="18"/>
          <w:b w:val="1"/>
          <w:bCs w:val="1"/>
          <w:i w:val="1"/>
          <w:iCs w:val="1"/>
          <w:color w:val="auto"/>
        </w:rPr>
        <w:t>CAGR</w:t>
      </w:r>
      <w:r>
        <w:rPr>
          <w:rFonts w:ascii="Arial" w:cs="Arial" w:eastAsia="Arial" w:hAnsi="Arial"/>
          <w:sz w:val="18"/>
          <w:szCs w:val="18"/>
          <w:color w:val="auto"/>
        </w:rPr>
        <w:t>”) achieved with respect to its revenue growth between the year ended December 31, 2022 and the year ending December 31, 2026. The PSUs may vest with respect to 50% to 200% of the granted number of PSUs, depending on the extent of CAGR achievement. Failure to achieve the CAGR associated with 50% of achievement would result in no vesting.</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determined the probable level of vesting using internally-developed forecasts for the relevant period representing the Company’s best estimate for revenue, with a factor applied to calculate the highest level of CAGR evaluated to be probable of occurring based on that estimate. The Company recognized $0.4 million and $0.7 million of expense related to the CEO Performance PSUs during the three and six months ended June 30, 2023,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Performance Option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CEO Performance Option grants Mr. Capper the right to purchase up to 3,600,000 shares of common stock for $3.70 per share. The CEO Performance Option vests based on the satisfaction of service and market conditions. Mr. Capper may vest in 25% of the CEO Performance Option on each of the first four anniversary dates of the date of grant provided that he remains employed by the Company and provided that specified share price goals are achieved at any point between the date of grant and January 31, 2027. There are three separate share price goals associated with the CEO Performance Option. If specified share price goals are met at one level, one-third of the option may vest, at a second level, a further one-third may vest, and at a third level, the full amount of the option may vest. Satisfaction of the share price goals is based on the average of the closing price of the Company’s common stock during any 20 consecutive trading days through January 31, 2027 exceeding the stipulated share price goal. The CEO Performance Option expires on February 1, 2030.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estimated the fair value of the awards using a Monte Carlo simulation using the following assumptions:</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7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1890"/>
              <w:spacing w:after="0"/>
              <w:rPr>
                <w:sz w:val="20"/>
                <w:szCs w:val="20"/>
                <w:color w:val="auto"/>
              </w:rPr>
            </w:pPr>
            <w:r>
              <w:rPr>
                <w:rFonts w:ascii="Arial" w:cs="Arial" w:eastAsia="Arial" w:hAnsi="Arial"/>
                <w:sz w:val="18"/>
                <w:szCs w:val="18"/>
                <w:color w:val="auto"/>
              </w:rPr>
              <w:t>Assumption</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 on grant date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3.70</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800" w:type="dxa"/>
            <w:vAlign w:val="bottom"/>
          </w:tcPr>
          <w:p>
            <w:pPr>
              <w:jc w:val="right"/>
              <w:ind w:right="130"/>
              <w:spacing w:after="0"/>
              <w:rPr>
                <w:sz w:val="20"/>
                <w:szCs w:val="20"/>
                <w:color w:val="auto"/>
              </w:rPr>
            </w:pPr>
            <w:r>
              <w:rPr>
                <w:rFonts w:ascii="Arial" w:cs="Arial" w:eastAsia="Arial" w:hAnsi="Arial"/>
                <w:sz w:val="18"/>
                <w:szCs w:val="18"/>
                <w:color w:val="auto"/>
              </w:rPr>
              <w:t>3.70</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20"/>
                <w:szCs w:val="20"/>
                <w:color w:val="auto"/>
              </w:rPr>
            </w:pP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Expected volatility (annualized)</w:t>
            </w:r>
          </w:p>
        </w:tc>
        <w:tc>
          <w:tcPr>
            <w:tcW w:w="106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75.00 %</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spacing w:after="0"/>
              <w:rPr>
                <w:sz w:val="21"/>
                <w:szCs w:val="21"/>
                <w:color w:val="auto"/>
              </w:rPr>
            </w:pP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Weighted average grant date fair value</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800" w:type="dxa"/>
            <w:vAlign w:val="bottom"/>
          </w:tcPr>
          <w:p>
            <w:pPr>
              <w:jc w:val="right"/>
              <w:ind w:right="130"/>
              <w:spacing w:after="0"/>
              <w:rPr>
                <w:sz w:val="20"/>
                <w:szCs w:val="20"/>
                <w:color w:val="auto"/>
              </w:rPr>
            </w:pPr>
            <w:r>
              <w:rPr>
                <w:rFonts w:ascii="Arial" w:cs="Arial" w:eastAsia="Arial" w:hAnsi="Arial"/>
                <w:sz w:val="18"/>
                <w:szCs w:val="18"/>
                <w:color w:val="auto"/>
              </w:rPr>
              <w:t>1.93</w:t>
            </w:r>
          </w:p>
        </w:tc>
      </w:tr>
    </w:tbl>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risk-free interest rate was derived based on the U.S. Treasury Yield curve in effect at the date of grant for maturities of similar periods to the contractual term. The expected volatility was estimated principally based on the Company’s historical daily stock price movements for a term similar in length to the contractual term. The dividend yield was based on the Company’s history of dividends on its common stock. The fair value was determined using an expected term which reflects the anticipated holding and post-vesting behavior pattern, calculated for each individual simulation.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grant date fair value of the CEO Performance Option was $7.0 million. The fair value associated with each tranche of the award will be recognized, straight-line, over the associated requisite service period for that tranche, subject to acceleration if the market condition is met prior to the end of the derived service period. Failure to meet the market condition for an award does not result in reversal of previously-recognized expense, so long as the service is provided for the duration of the required service period. The Company recognized $0.7 million and $1.2 million of expense related to the CEO Performance Option during the three and six months ended June 30, 2023,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Company were (6.6)% and (0.6)% for the three months ended June 30, 2023 and 2022, respectively. The effective tax rates for the Company were 0.6% and (0.6)% for the six months ended June 30, 2023 and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discrete items affecting the effective tax rate in any period.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12.  Supplemental Disclosure of Cash Flow and Non-cash Investing and Financing Activities</w:t>
            </w: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2"/>
        </w:trPr>
        <w:tc>
          <w:tcPr>
            <w:tcW w:w="6660" w:type="dxa"/>
            <w:vAlign w:val="bottom"/>
            <w:gridSpan w:val="2"/>
          </w:tcPr>
          <w:p>
            <w:pPr>
              <w:spacing w:after="0"/>
              <w:rPr>
                <w:sz w:val="20"/>
                <w:szCs w:val="20"/>
                <w:color w:val="auto"/>
              </w:rPr>
            </w:pPr>
            <w:r>
              <w:rPr>
                <w:rFonts w:ascii="Arial" w:cs="Arial" w:eastAsia="Arial" w:hAnsi="Arial"/>
                <w:sz w:val="18"/>
                <w:szCs w:val="18"/>
                <w:color w:val="auto"/>
                <w:w w:val="94"/>
              </w:rPr>
              <w:t>Selected cash payments, receipts, and non-cash activities are as follows (in thousands):</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5"/>
        </w:trPr>
        <w:tc>
          <w:tcPr>
            <w:tcW w:w="4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5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Six Months Ended June 30,</w:t>
            </w:r>
          </w:p>
        </w:tc>
        <w:tc>
          <w:tcPr>
            <w:tcW w:w="660" w:type="dxa"/>
            <w:vAlign w:val="bottom"/>
            <w:tcBorders>
              <w:bottom w:val="single" w:sz="8" w:color="auto"/>
            </w:tcBorders>
          </w:tcPr>
          <w:p>
            <w:pPr>
              <w:spacing w:after="0"/>
              <w:rPr>
                <w:sz w:val="24"/>
                <w:szCs w:val="24"/>
                <w:color w:val="auto"/>
              </w:rPr>
            </w:pPr>
          </w:p>
        </w:tc>
      </w:tr>
      <w:tr>
        <w:trPr>
          <w:trHeight w:val="230"/>
        </w:trPr>
        <w:tc>
          <w:tcPr>
            <w:tcW w:w="4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2,960</w:t>
            </w:r>
          </w:p>
        </w:tc>
        <w:tc>
          <w:tcPr>
            <w:tcW w:w="14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37"/>
        </w:trPr>
        <w:tc>
          <w:tcPr>
            <w:tcW w:w="4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3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6"/>
        </w:trPr>
        <w:tc>
          <w:tcPr>
            <w:tcW w:w="420" w:type="dxa"/>
            <w:vAlign w:val="bottom"/>
          </w:tcPr>
          <w:p>
            <w:pPr>
              <w:spacing w:after="0"/>
              <w:rPr>
                <w:sz w:val="20"/>
                <w:szCs w:val="20"/>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activities:</w:t>
            </w:r>
          </w:p>
        </w:tc>
        <w:tc>
          <w:tcPr>
            <w:tcW w:w="1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420" w:type="dxa"/>
            <w:vAlign w:val="bottom"/>
          </w:tcPr>
          <w:p>
            <w:pPr>
              <w:spacing w:after="0"/>
              <w:rPr>
                <w:sz w:val="19"/>
                <w:szCs w:val="19"/>
                <w:color w:val="auto"/>
              </w:rPr>
            </w:pPr>
          </w:p>
        </w:tc>
        <w:tc>
          <w:tcPr>
            <w:tcW w:w="6240" w:type="dxa"/>
            <w:vAlign w:val="bottom"/>
          </w:tcPr>
          <w:p>
            <w:pPr>
              <w:ind w:left="220"/>
              <w:spacing w:after="0"/>
              <w:rPr>
                <w:sz w:val="20"/>
                <w:szCs w:val="20"/>
                <w:color w:val="auto"/>
              </w:rPr>
            </w:pPr>
            <w:r>
              <w:rPr>
                <w:rFonts w:ascii="Arial" w:cs="Arial" w:eastAsia="Arial" w:hAnsi="Arial"/>
                <w:sz w:val="18"/>
                <w:szCs w:val="18"/>
                <w:color w:val="auto"/>
              </w:rPr>
              <w:t>Issuance of shares pursuant to employee stock purchase plan</w:t>
            </w:r>
          </w:p>
        </w:tc>
        <w:tc>
          <w:tcPr>
            <w:tcW w:w="138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spacing w:after="0"/>
              <w:rPr>
                <w:sz w:val="21"/>
                <w:szCs w:val="21"/>
                <w:color w:val="auto"/>
              </w:rPr>
            </w:pPr>
          </w:p>
        </w:tc>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equipment in accounts payable</w:t>
            </w: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4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420" w:type="dxa"/>
            <w:vAlign w:val="bottom"/>
          </w:tcPr>
          <w:p>
            <w:pPr>
              <w:spacing w:after="0"/>
              <w:rPr>
                <w:sz w:val="20"/>
                <w:szCs w:val="20"/>
                <w:color w:val="auto"/>
              </w:rPr>
            </w:pPr>
          </w:p>
        </w:tc>
        <w:tc>
          <w:tcPr>
            <w:tcW w:w="6240" w:type="dxa"/>
            <w:vAlign w:val="bottom"/>
          </w:tcPr>
          <w:p>
            <w:pPr>
              <w:ind w:left="220"/>
              <w:spacing w:after="0"/>
              <w:rPr>
                <w:sz w:val="20"/>
                <w:szCs w:val="20"/>
                <w:color w:val="auto"/>
              </w:rPr>
            </w:pPr>
            <w:r>
              <w:rPr>
                <w:rFonts w:ascii="Arial" w:cs="Arial" w:eastAsia="Arial" w:hAnsi="Arial"/>
                <w:sz w:val="18"/>
                <w:szCs w:val="18"/>
                <w:color w:val="auto"/>
              </w:rPr>
              <w:t>Right of use assets arising from operating lease liabilities</w:t>
            </w:r>
          </w:p>
        </w:tc>
        <w:tc>
          <w:tcPr>
            <w:tcW w:w="13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Nordic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2022, the Company entered into a collaboration agreement (the “</w:t>
      </w:r>
      <w:r>
        <w:rPr>
          <w:rFonts w:ascii="Arial" w:cs="Arial" w:eastAsia="Arial" w:hAnsi="Arial"/>
          <w:sz w:val="18"/>
          <w:szCs w:val="18"/>
          <w:b w:val="1"/>
          <w:bCs w:val="1"/>
          <w:i w:val="1"/>
          <w:iCs w:val="1"/>
          <w:color w:val="auto"/>
        </w:rPr>
        <w:t>Nordic Agreement</w:t>
      </w:r>
      <w:r>
        <w:rPr>
          <w:rFonts w:ascii="Arial" w:cs="Arial" w:eastAsia="Arial" w:hAnsi="Arial"/>
          <w:sz w:val="18"/>
          <w:szCs w:val="18"/>
          <w:color w:val="auto"/>
        </w:rPr>
        <w:t>”) with Nordic Bioscience Clinical Development A/S (“</w:t>
      </w:r>
      <w:r>
        <w:rPr>
          <w:rFonts w:ascii="Arial" w:cs="Arial" w:eastAsia="Arial" w:hAnsi="Arial"/>
          <w:sz w:val="18"/>
          <w:szCs w:val="18"/>
          <w:b w:val="1"/>
          <w:bCs w:val="1"/>
          <w:i w:val="1"/>
          <w:iCs w:val="1"/>
          <w:color w:val="auto"/>
        </w:rPr>
        <w:t>NBCD</w:t>
      </w:r>
      <w:r>
        <w:rPr>
          <w:rFonts w:ascii="Arial" w:cs="Arial" w:eastAsia="Arial" w:hAnsi="Arial"/>
          <w:sz w:val="18"/>
          <w:szCs w:val="18"/>
          <w:color w:val="auto"/>
        </w:rPr>
        <w:t>”) to provide full operational support for the Company’s KOA clinical trial program. Under the terms of the Nordic Agreement, the Company was obligated to pay $10.2 million upon the achievement of specified milestones over the course of the clinical trial.</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23, 2023, the Company submitted notice to NBCD to immediately suspend all trial activities and terminate the Nordic Agreement. Pursuant to the Nordic Agreement, the Company is obligated to reimburse NBCD for services performed through the effective termination date and for noncancelable obligations reasonably incurred prior to that date. If the Company has prepaid NBCD for services performed, the Company is entitled to reimbursement to the extent that such funds have not been consumed. In addition, the Company and NBCD have certain regulatory obligations for all trial participants enrolled in the study prior to the suspension of clinical trial activities. Refer to Note 16, “</w:t>
      </w:r>
      <w:r>
        <w:rPr>
          <w:rFonts w:ascii="Arial" w:cs="Arial" w:eastAsia="Arial" w:hAnsi="Arial"/>
          <w:sz w:val="17"/>
          <w:szCs w:val="17"/>
          <w:i w:val="1"/>
          <w:iCs w:val="1"/>
          <w:color w:val="auto"/>
        </w:rPr>
        <w:t>Restructuring,</w:t>
      </w:r>
      <w:r>
        <w:rPr>
          <w:rFonts w:ascii="Arial" w:cs="Arial" w:eastAsia="Arial" w:hAnsi="Arial"/>
          <w:sz w:val="17"/>
          <w:szCs w:val="17"/>
          <w:color w:val="auto"/>
        </w:rPr>
        <w:t>” for additional discussion.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 Agreement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7, 2022, the Company acquired certain intellectual property rights pursuant to a Platform Intellectual Property License Agreement (the “</w:t>
      </w:r>
      <w:r>
        <w:rPr>
          <w:rFonts w:ascii="Arial" w:cs="Arial" w:eastAsia="Arial" w:hAnsi="Arial"/>
          <w:sz w:val="18"/>
          <w:szCs w:val="18"/>
          <w:b w:val="1"/>
          <w:bCs w:val="1"/>
          <w:i w:val="1"/>
          <w:iCs w:val="1"/>
          <w:color w:val="auto"/>
        </w:rPr>
        <w:t>Turn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with Global Health Solutions, Inc. (d.b.a. Turn Therapeutics; “</w:t>
      </w:r>
      <w:r>
        <w:rPr>
          <w:rFonts w:ascii="Arial" w:cs="Arial" w:eastAsia="Arial" w:hAnsi="Arial"/>
          <w:sz w:val="18"/>
          <w:szCs w:val="18"/>
          <w:b w:val="1"/>
          <w:bCs w:val="1"/>
          <w:i w:val="1"/>
          <w:iCs w:val="1"/>
          <w:color w:val="auto"/>
        </w:rPr>
        <w:t>Turn</w:t>
      </w:r>
      <w:r>
        <w:rPr>
          <w:rFonts w:ascii="Arial" w:cs="Arial" w:eastAsia="Arial" w:hAnsi="Arial"/>
          <w:sz w:val="18"/>
          <w:szCs w:val="18"/>
          <w:color w:val="auto"/>
        </w:rPr>
        <w:t>”). The Turn Agreement provided the Company with an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sub-licensable license to use Turn’s proprietary antimicrobial technology platform (PermaFusion®) to develop antimicrobial product line extensions and new products. In addition, the Turn Agreement granted the Company the commercial rights to Turn’s placental collagen matrix product, FleX™ AM (“</w:t>
      </w:r>
      <w:r>
        <w:rPr>
          <w:rFonts w:ascii="Arial" w:cs="Arial" w:eastAsia="Arial" w:hAnsi="Arial"/>
          <w:sz w:val="18"/>
          <w:szCs w:val="18"/>
          <w:b w:val="1"/>
          <w:bCs w:val="1"/>
          <w:i w:val="1"/>
          <w:iCs w:val="1"/>
          <w:color w:val="auto"/>
        </w:rPr>
        <w:t>Flex</w:t>
      </w:r>
      <w:r>
        <w:rPr>
          <w:rFonts w:ascii="Arial" w:cs="Arial" w:eastAsia="Arial" w:hAnsi="Arial"/>
          <w:sz w:val="18"/>
          <w:szCs w:val="18"/>
          <w:color w:val="auto"/>
        </w:rPr>
        <w:t>”), contingent upon Turn’s receipt of FDA 510(k) clearance and other conditions. The Turn Agreement provided for a potential milestone payment by the Company of $9.6 million upon Turn’s receipt of 510(k) clearance for FleX. As of June 30, 2023, FleX has not received 510(k) clearance.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business, the Company and its subsidiaries may be a party to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 The Company’s unaudited condensed consolidated balance sheet as of June 30, 2023 reflects the Company’s current best estimate of probable losses associated with these matters, including costs to comply with various settlement agreements, where applicable. For more information regarding the Company’s legal proceedings, refer to Note 16, “</w:t>
      </w:r>
      <w:r>
        <w:rPr>
          <w:rFonts w:ascii="Arial" w:cs="Arial" w:eastAsia="Arial" w:hAnsi="Arial"/>
          <w:sz w:val="17"/>
          <w:szCs w:val="17"/>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 Contingencies</w:t>
      </w:r>
      <w:r>
        <w:rPr>
          <w:rFonts w:ascii="Arial" w:cs="Arial" w:eastAsia="Arial" w:hAnsi="Arial"/>
          <w:sz w:val="17"/>
          <w:szCs w:val="17"/>
          <w:color w:val="auto"/>
        </w:rPr>
        <w:t>” in the 2022 Form 10-K.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accrued for any potential losses related to legal matters as of June 30, 2023. The Company paid $0.2 million toward the resolution of legal matters involving the Company during the six months ended June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certain litigation and regulatory matters to which the Company is a party: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Securities Class Action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16, 2019, the United States District Court for the Northern District of Georgia entered an order consolidating two purported securities class actions (MacPhee v. MiMedx Group, Inc., et al. filed February 23, 2018 and Kline v. MiMedx Group, Inc., et al. filed February 26, 2018). The order also appointed Carpenters Pension Fund of Illinois (“</w:t>
      </w:r>
      <w:r>
        <w:rPr>
          <w:rFonts w:ascii="Arial" w:cs="Arial" w:eastAsia="Arial" w:hAnsi="Arial"/>
          <w:sz w:val="16"/>
          <w:szCs w:val="16"/>
          <w:b w:val="1"/>
          <w:bCs w:val="1"/>
          <w:i w:val="1"/>
          <w:iCs w:val="1"/>
          <w:color w:val="auto"/>
        </w:rPr>
        <w:t>CPFI</w:t>
      </w:r>
      <w:r>
        <w:rPr>
          <w:rFonts w:ascii="Arial" w:cs="Arial" w:eastAsia="Arial" w:hAnsi="Arial"/>
          <w:sz w:val="16"/>
          <w:szCs w:val="16"/>
          <w:color w:val="auto"/>
        </w:rPr>
        <w:t>”) as lead plaintiff. On May 1, 2019, CPFI filed a consolidated amended complaint, naming as defendants the Company, Michael J. Senken, Parker H. “Pete” Petit, William C. Taylor, Christopher M. Cashman and Cherry Bekaert &amp; Holland LLP. The amended complaint (the “</w:t>
      </w:r>
      <w:r>
        <w:rPr>
          <w:rFonts w:ascii="Arial" w:cs="Arial" w:eastAsia="Arial" w:hAnsi="Arial"/>
          <w:sz w:val="16"/>
          <w:szCs w:val="16"/>
          <w:b w:val="1"/>
          <w:bCs w:val="1"/>
          <w:i w:val="1"/>
          <w:iCs w:val="1"/>
          <w:color w:val="auto"/>
        </w:rPr>
        <w:t>Securities Class Action Complaint</w:t>
      </w:r>
      <w:r>
        <w:rPr>
          <w:rFonts w:ascii="Arial" w:cs="Arial" w:eastAsia="Arial" w:hAnsi="Arial"/>
          <w:sz w:val="16"/>
          <w:szCs w:val="16"/>
          <w:color w:val="auto"/>
        </w:rPr>
        <w:t>”) alleged violations of Section 10(b)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Rule 10b-5 promulgated thereunder, and Section 20(a) of the Exchange Act. It asserted a class period of March 7, 2013 through June 29, 2018. Following the filing of motions to dismiss by the various defendants, CPFI was granted leave to file an amended complaint. CPFI filed its amended complaint against the Company, Michael J. Senken, Parker H. Petit, William C. Taylor, and Cherry Bekaert &amp; Holland (Christopher Cashman was dropped as a defendant) on March 30, 2020. The defendants filed motions to dismiss on May 29, 2020. On March 25, 2021, the Court granted defendants’ respective motions to dismiss, finding that CPFI lacked standing to bring the underlying claims and also could not establish loss causation because it sold all of its shares in the Company prior to any corrective disclosures, and dismissed the case. On April 22, 2021, CPFI filed a motion for reconsideration of the dismissal and for leave to amend to add a new plaintiff to attempt to cure the standing and loss causation issues. On January 28, 2022, the Court denied CPFI’s motion to reconsider and motion to substitute class representative. On February 25, 2022, CPFI filed a Notice of Appeal in the 11th Circuit Court of Appeals. On July 10, 2023, the Court of Appeals affirmed the District Court’s dismissal of the case and the denial of the motion for leave to amend. On July 31, 2023, CPFI filed a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which remains pending.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Welker v. MiMedx, et. al.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4, 2022, Troy Welker and Min Turner, former option holders of the Company, brought a lawsuit in Fulton County State Court against the Company, former directors Terry Dewberry and Charles Evans, and former officers Parker H. “Pete” Petit, William C. Taylor, and Michael Senken alleging violations of the Georgia Racketeer Influenced and Corrupt Organizations (“</w:t>
      </w:r>
      <w:r>
        <w:rPr>
          <w:rFonts w:ascii="Arial" w:cs="Arial" w:eastAsia="Arial" w:hAnsi="Arial"/>
          <w:sz w:val="18"/>
          <w:szCs w:val="18"/>
          <w:b w:val="1"/>
          <w:bCs w:val="1"/>
          <w:i w:val="1"/>
          <w:iCs w:val="1"/>
          <w:color w:val="auto"/>
        </w:rPr>
        <w:t>RICO</w:t>
      </w:r>
      <w:r>
        <w:rPr>
          <w:rFonts w:ascii="Arial" w:cs="Arial" w:eastAsia="Arial" w:hAnsi="Arial"/>
          <w:sz w:val="18"/>
          <w:szCs w:val="18"/>
          <w:color w:val="auto"/>
        </w:rPr>
        <w:t>”) Act against all defendants, and conspiracy to violate the Georgia RICO Act and breach of fiduciary duty against the individual defendants. The Company is defending against the allegations and removed the case to the United States District Court for the Northern District of Georgia. Plaintiffs filed a motion to remand back to state court, which was granted. The Company has filed its answer and a motion to dismiss, which is currently pending.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 and Related Matters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12, 2021, the Company filed suit in the Circuit Court of the Eleventh Judicial District in and for Miami-Dade County, Florida (MiMedx Group, Inc. v. Petit, et. al.) against its former CEO, Parker H. “Pete” Petit, and its former COO, William C. Taylor, seeking a determination of its rights and obligations under indemnification agreements with Petit and Taylor following a federal jury’s guilty verdict against Petit for securities fraud and Taylor for conspiracy to commit securities fraud. The Company is seeking a declaratory judgment that it is not obligated to indemnify or advance expenses to Petit and Taylor in connection with certain cases to which Petit and Taylor are parties and also seeking to recoup amounts previously paid on behalf of Petit and Taylor in connection with such cases. On April 22, 2021, Petit and Taylor filed an answer and asserted counterclaims against the Company alleging breach of their indemnification agreements, breach of the covenant of good faith and fair dealing with respect to their indemnification agreements, and seeking a declaration that the Company remains obligated to indemnify and advance fees in connection with certain cases. Petit and Taylor simultaneously also filed a motion seeking to compel the Company to advance and reinstate its payments of Petit and Taylor’s legal expenses. The Company opposed Petit and Taylor’s motion and a hearing was set for June 23, 2021. At the joint request of the parties, the hearing was cancelled to allow the parties to attend a mediation to attempt a resolution of this matter; such mediation was held on August 11, 2021.</w:t>
      </w:r>
    </w:p>
    <w:p>
      <w:pPr>
        <w:spacing w:after="0" w:line="118" w:lineRule="exact"/>
        <w:rPr>
          <w:sz w:val="20"/>
          <w:szCs w:val="20"/>
          <w:color w:val="auto"/>
        </w:rPr>
      </w:pPr>
    </w:p>
    <w:p>
      <w:pPr>
        <w:ind w:right="260"/>
        <w:spacing w:after="0" w:line="438" w:lineRule="auto"/>
        <w:rPr>
          <w:sz w:val="20"/>
          <w:szCs w:val="20"/>
          <w:color w:val="auto"/>
        </w:rPr>
      </w:pPr>
      <w:r>
        <w:rPr>
          <w:rFonts w:ascii="Arial" w:cs="Arial" w:eastAsia="Arial" w:hAnsi="Arial"/>
          <w:sz w:val="18"/>
          <w:szCs w:val="18"/>
          <w:color w:val="auto"/>
        </w:rPr>
        <w:t xml:space="preserve">Following the mediation, the Company and Mr. Taylor reached an agreement to settle the matter between them. Negotiations with Mr. Petit are ongoing. </w:t>
      </w:r>
      <w:r>
        <w:rPr>
          <w:rFonts w:ascii="Arial" w:cs="Arial" w:eastAsia="Arial" w:hAnsi="Arial"/>
          <w:sz w:val="18"/>
          <w:szCs w:val="18"/>
          <w:i w:val="1"/>
          <w:iCs w:val="1"/>
          <w:color w:val="auto"/>
        </w:rPr>
        <w:t>Other Matters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Florida Business Corporation Act and agreements with its current and former officers and directors, the Company is obligated to indemnify its current and former officers and directors who are made party to a proceeding, including a proceeding brought by or in the right of the corporation, with certain exceptions, and to advance expenses to defend such matters. The Company has already borne substantial costs to satisfy these indemnification and expense advance obligations and may continue to do so in the future. Costs incurred pursuant to these agreements are included in investigation, restatement and related expense in the unaudited condensed consolidated statements of operations.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matters described above, the Company is a party to a variety of other legal matters that arise in the ordinary course of the Company’s business, none of which are deemed to be individually material at this time. Due to the inherent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color w:val="auto"/>
        </w:rPr>
        <w:t>uncertainty of litigation, there can be no assurance that the resolution of any particular claim or proceeding would not have a material adverse effect on the Company’s business, results of operations, financial position or liquidity.</w:t>
      </w:r>
    </w:p>
    <w:p>
      <w:pPr>
        <w:spacing w:after="0" w:line="11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Site of Service</w:t>
      </w:r>
    </w:p>
    <w:p>
      <w:pPr>
        <w:spacing w:after="0" w:line="19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has three sites of service for its products (1) Hospital settings and wound care clinics, which are stable reimbursement settings in which products are used for surgical applications, (2) Private offices, which generally represents doctors and practitioners with independent operations, and (3) Other, which includes federal facilities, international sales, and other sites of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net sales by site of service (in thousands):</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23"/>
        </w:trPr>
        <w:tc>
          <w:tcPr>
            <w:tcW w:w="23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37"/>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46,588</w:t>
            </w:r>
          </w:p>
        </w:tc>
        <w:tc>
          <w:tcPr>
            <w:tcW w:w="12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75,907</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Private Office</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23,750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19,039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35,196</w:t>
            </w:r>
          </w:p>
        </w:tc>
      </w:tr>
      <w:tr>
        <w:trPr>
          <w:trHeight w:val="22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10,919</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81,257</w:t>
            </w:r>
          </w:p>
        </w:tc>
        <w:tc>
          <w:tcPr>
            <w:tcW w:w="12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66,883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152,933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125,777</w:t>
            </w:r>
          </w:p>
        </w:tc>
      </w:tr>
      <w:tr>
        <w:trPr>
          <w:trHeight w:val="20"/>
        </w:trPr>
        <w:tc>
          <w:tcPr>
            <w:tcW w:w="2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did not have significant foreign operations or a single external customer from which 10% or more of revenues were derived during the three or six months ended June 30, 2023 or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Product</w:t>
      </w:r>
    </w:p>
    <w:p>
      <w:pPr>
        <w:spacing w:after="0" w:line="198"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 has two primary classes of products: (1) Advanced Wound Care, or Section 361, products, consisting of its tissue and cord sheet allograft products as well as certain particulate products regulated under Section 361, and (2) Section 351 products, consisting of the Company’s micronized and certain other particulate products. Advanced Wound Care is further disaggregated between the Company’s Tissue/Other and Cord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net sales by class of product (in thousands):</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30"/>
        </w:trPr>
        <w:tc>
          <w:tcPr>
            <w:tcW w:w="43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Wound Care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Tissue/Other</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75,490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60,274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141,261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113,126</w:t>
            </w:r>
          </w:p>
        </w:tc>
      </w:tr>
      <w:tr>
        <w:trPr>
          <w:trHeight w:val="230"/>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Cord</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Total Advanced Wound Care</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81,238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152,448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124,612</w:t>
            </w: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Section 351</w:t>
            </w:r>
            <w:r>
              <w:rPr>
                <w:rFonts w:ascii="Arial" w:cs="Arial" w:eastAsia="Arial" w:hAnsi="Arial"/>
                <w:sz w:val="9"/>
                <w:szCs w:val="9"/>
                <w:color w:val="auto"/>
              </w:rPr>
              <w:t>(1)</w:t>
            </w:r>
          </w:p>
        </w:tc>
        <w:tc>
          <w:tcPr>
            <w:tcW w:w="9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81,257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66,883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152,933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125,777</w:t>
            </w:r>
          </w:p>
        </w:tc>
      </w:tr>
      <w:tr>
        <w:trPr>
          <w:trHeight w:val="21"/>
        </w:trPr>
        <w:tc>
          <w:tcPr>
            <w:tcW w:w="4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60" w:firstLine="8"/>
        <w:spacing w:after="0" w:line="274" w:lineRule="auto"/>
        <w:tabs>
          <w:tab w:leader="none" w:pos="153" w:val="left"/>
        </w:tabs>
        <w:numPr>
          <w:ilvl w:val="0"/>
          <w:numId w:val="9"/>
        </w:numPr>
        <w:rPr>
          <w:rFonts w:ascii="Arial" w:cs="Arial" w:eastAsia="Arial" w:hAnsi="Arial"/>
          <w:sz w:val="11"/>
          <w:szCs w:val="11"/>
          <w:color w:val="auto"/>
        </w:rPr>
      </w:pPr>
      <w:r>
        <w:rPr>
          <w:rFonts w:ascii="Arial" w:cs="Arial" w:eastAsia="Arial" w:hAnsi="Arial"/>
          <w:sz w:val="11"/>
          <w:szCs w:val="11"/>
          <w:color w:val="auto"/>
        </w:rPr>
        <w:t>Revenue recognized from collections relating to revenue transactions for which performance obligations were fulfilled prior to October 1, 2019, the date at which the Company changed its pattern of revenue recognition, for the three and six months ended June 30, 2022 of $0.1 million, which were separately presented in previously-issued financial statements, are presented as part of Section 351 in the table above.</w:t>
      </w:r>
    </w:p>
    <w:p>
      <w:pPr>
        <w:spacing w:after="0" w:line="12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two reportable segments during the three and six months ended June 30, 2023: Wound &amp; Surgical and Regenerative Medicine.</w:t>
      </w:r>
    </w:p>
    <w:p>
      <w:pPr>
        <w:spacing w:after="0" w:line="183" w:lineRule="exact"/>
        <w:rPr>
          <w:sz w:val="20"/>
          <w:szCs w:val="20"/>
          <w:color w:val="auto"/>
        </w:rPr>
      </w:pPr>
    </w:p>
    <w:p>
      <w:pPr>
        <w:jc w:val="both"/>
        <w:ind w:left="660" w:right="8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Wound &amp; Surgical </w:t>
      </w:r>
      <w:r>
        <w:rPr>
          <w:rFonts w:ascii="Arial" w:cs="Arial" w:eastAsia="Arial" w:hAnsi="Arial"/>
          <w:sz w:val="18"/>
          <w:szCs w:val="18"/>
          <w:color w:val="auto"/>
        </w:rPr>
        <w:t>focuses on the Advanced Wound Care and Surgical Recovery markets through the sale of the Company’s portfolio of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product development to serve these primary end markets. Its platform technologies include tissue allografts derived from human placental membrane (EPIFIX®, AMNIOFIX®, and AMNIOEFFECT®), tissue allografts derived from human umbilical cord (EPICORD® and AMNIOCORD®), and a particulate extracellular matrix derived from human placental disc (AXIOFILL®). This segment is also responsible for international sales of the Company’s Section 351 products.</w:t>
      </w: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895" w:right="259" w:bottom="1440" w:gutter="0" w:footer="0" w:header="0"/>
        </w:sectPr>
      </w:pPr>
    </w:p>
    <w:bookmarkStart w:id="23" w:name="page24"/>
    <w:bookmarkEnd w:id="23"/>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Prior to June 20, 2023, </w:t>
      </w:r>
      <w:r>
        <w:rPr>
          <w:rFonts w:ascii="Arial" w:cs="Arial" w:eastAsia="Arial" w:hAnsi="Arial"/>
          <w:sz w:val="18"/>
          <w:szCs w:val="18"/>
          <w:b w:val="1"/>
          <w:bCs w:val="1"/>
          <w:i w:val="1"/>
          <w:iCs w:val="1"/>
          <w:color w:val="auto"/>
        </w:rPr>
        <w:t>Regenerative Medicine</w:t>
      </w:r>
      <w:r>
        <w:rPr>
          <w:rFonts w:ascii="Arial" w:cs="Arial" w:eastAsia="Arial" w:hAnsi="Arial"/>
          <w:sz w:val="18"/>
          <w:szCs w:val="18"/>
          <w:color w:val="auto"/>
        </w:rPr>
        <w:t xml:space="preserve"> focused solely on Regenerative Medicine technologies, specifically progressing the Company’s placental biologics platform towards registration as an FDA-approved biological drug. mDHACM was the lead product candidate in its late-stage pipeline targeted at achieving FDA approval for an indication to help decrease pain and improve function in patients suffering from Knee Osteoarthritis. On June 20, 2023, the Company announced a plan to disband the Regenerative Medicine business unit and suspended its Knee Osteoarthritis clinical trial program. Regenerative Medicine was not deemed to be abandoned as of June 30, 2023 as the Company has continuing run-off operations pursuant to certain regulatory requirements.</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policies of the segments were the same as the Company’s accounting policies.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the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evaluated the performance of its segments and allocated resources based on segment contribution, defined as net sales less (i) cost of sales,</w:t>
      </w:r>
    </w:p>
    <w:p>
      <w:pPr>
        <w:spacing w:after="0" w:line="46" w:lineRule="exact"/>
        <w:rPr>
          <w:sz w:val="20"/>
          <w:szCs w:val="20"/>
          <w:color w:val="auto"/>
        </w:rPr>
      </w:pPr>
    </w:p>
    <w:p>
      <w:pPr>
        <w:jc w:val="both"/>
        <w:ind w:firstLine="8"/>
        <w:spacing w:after="0" w:line="255"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expense, (iii) research and development expense, (iv) amortization of intangible assets, and (v) restructuring. The only components which comprised income (loss) before income tax provision that were not included in operating income (loss) were interest expense, net and other expense, net.</w:t>
      </w:r>
    </w:p>
    <w:p>
      <w:pPr>
        <w:spacing w:after="0" w:line="12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Company did not allocate any assets to the reportable segments. No asset information was reported or disclosed to the chief operating decision maker in the financial information for each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contribution by each reportable segment for the three months ended June 30, 2023 were as follows (in thousands):</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color w:val="auto"/>
                <w:w w:val="92"/>
              </w:rPr>
              <w:t>Wound &amp; Surgical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w w:val="98"/>
              </w:rPr>
              <w:t>Regenerative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color w:val="auto"/>
                <w:w w:val="91"/>
              </w:rPr>
              <w:t>Corporate &amp; 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restart"/>
          </w:tcPr>
          <w:p>
            <w:pPr>
              <w:jc w:val="right"/>
              <w:ind w:right="250"/>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Medicine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51,925</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Investigation, restatement and related expense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Supplemental information</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2,408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contribution by each reportable segment for the three months ended June 30, 2022 were as follows (in thousands):</w:t>
      </w:r>
    </w:p>
    <w:p>
      <w:pPr>
        <w:spacing w:after="0" w:line="3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Regenerative</w:t>
      </w:r>
    </w:p>
    <w:tbl>
      <w:tblPr>
        <w:tblLayout w:type="fixed"/>
        <w:tblInd w:w="0" w:type="dxa"/>
        <w:tblCellMar>
          <w:top w:w="0" w:type="dxa"/>
          <w:left w:w="0" w:type="dxa"/>
          <w:bottom w:w="0" w:type="dxa"/>
          <w:right w:w="0" w:type="dxa"/>
        </w:tblCellMar>
      </w:tblPr>
      <w:tr>
        <w:trPr>
          <w:trHeight w:val="214"/>
        </w:trPr>
        <w:tc>
          <w:tcPr>
            <w:tcW w:w="4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Wound &amp; Surgical</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Medicine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Corporate &amp; Other</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Consolidated</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66,883</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11,823</w:t>
            </w: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5,512</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97"/>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Investigation, restatement and related expense</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3,218</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(9,636)</w:t>
            </w: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information</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r>
      <w:tr>
        <w:trPr>
          <w:trHeight w:val="931"/>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7"/>
        </w:trPr>
        <w:tc>
          <w:tcPr>
            <w:tcW w:w="4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Net sales and segment contribution by each reportable segment for the six months ended June 30, 2023 were as follows (in thousands):</w:t>
      </w: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w w:val="97"/>
              </w:rPr>
              <w:t>Regenerative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Wound &amp; Surgical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Medicine</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Corporate &amp; Other</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152,933</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26,002</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104,202</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Investigation, restatement and related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line="20" w:lineRule="exact"/>
              <w:rPr>
                <w:sz w:val="1"/>
                <w:szCs w:val="1"/>
                <w:color w:val="auto"/>
              </w:rPr>
            </w:pPr>
          </w:p>
        </w:tc>
      </w:tr>
      <w:tr>
        <w:trPr>
          <w:trHeight w:val="190"/>
        </w:trPr>
        <w:tc>
          <w:tcPr>
            <w:tcW w:w="4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Supplemental information</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3,228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4,918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contribution by each reportable segment for the six months ended June 30, 2022 were as follows (in thousands):</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Regenerative</w:t>
      </w:r>
    </w:p>
    <w:tbl>
      <w:tblPr>
        <w:tblLayout w:type="fixed"/>
        <w:tblInd w:w="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Wound &amp; Surgical</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Medicine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Corporate &amp; Other</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Consolidated</w:t>
            </w: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21,759</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105,363</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11,476</w:t>
            </w: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27,373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Investigation, restatement and related expense</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(18,936)</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information</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720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r>
    </w:tbl>
    <w:p>
      <w:pPr>
        <w:spacing w:after="0" w:line="7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20, 2023, the Company announced that it was suspending all activities associated with its knee osteoarthritis clinical trial program and disbanding its Regenerative Medicine business unit (the “</w:t>
      </w:r>
      <w:r>
        <w:rPr>
          <w:rFonts w:ascii="Arial" w:cs="Arial" w:eastAsia="Arial" w:hAnsi="Arial"/>
          <w:sz w:val="16"/>
          <w:szCs w:val="16"/>
          <w:b w:val="1"/>
          <w:bCs w:val="1"/>
          <w:i w:val="1"/>
          <w:iCs w:val="1"/>
          <w:color w:val="auto"/>
        </w:rPr>
        <w:t>Restructuring</w:t>
      </w:r>
      <w:r>
        <w:rPr>
          <w:rFonts w:ascii="Arial" w:cs="Arial" w:eastAsia="Arial" w:hAnsi="Arial"/>
          <w:sz w:val="16"/>
          <w:szCs w:val="16"/>
          <w:color w:val="auto"/>
        </w:rPr>
        <w:t>”). This was the result of the Company’s decision to focus on its Wound &amp; Surgical business to drive profitability and cash flows. The Company anticipates that activities related to the Restructuring will materially conclude in the second half of 2023. Expenses associated with the Restructuring are recognized as the associated liabilities are incurred in an amount equal to the fair value to settle the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part of the Restructuring, the Company separated from certain employees whose primary responsibilities were toward the advancement of the Company’s knee osteoarthritis clinical trial program. The Company offered an aggregate of severance arrangements of $2.1 million to separated employees. This amount was recognized as part of research and development expense on the unaudited condensed consolidated statements of operations for the three and six months ended June 30, 2023, as these arrangements were determined not to qualify for accounting as a one-time separation benefit under ASC 420. This amount is reflected in accrued compensation on the unaudited condensed consolidated balance sheet as of June 30,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jc w:val="both"/>
        <w:spacing w:after="0" w:line="301" w:lineRule="auto"/>
        <w:rPr>
          <w:sz w:val="20"/>
          <w:szCs w:val="20"/>
          <w:color w:val="auto"/>
        </w:rPr>
      </w:pPr>
      <w:r>
        <w:rPr>
          <w:rFonts w:ascii="Arial" w:cs="Arial" w:eastAsia="Arial" w:hAnsi="Arial"/>
          <w:sz w:val="16"/>
          <w:szCs w:val="16"/>
          <w:color w:val="auto"/>
        </w:rPr>
        <w:t>On June 23, 2023, the Company provided notice to NBCD of the termination of the Nordic Agreement. As part of the Restructuring, the Company no longer anticipated that it would receive any benefits pursuant to the clinical trial program. Accordingly, it recognized an impairment of clinical trial assets related to the Nordic Agreement and all pass-through vendors of $2.1 million during the three and six months ended June 30, 2023. This amount is reflected as part of restructuring expense on the unaudited condensed consolidated statements of operations for the three and six months ended June 30, 2023.</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recorded goodwill impairment for $0.5 million, reflecting all goodwill assigned to the Regenerative Medicine reporting unit. This amount is reflected as part of restructuring expense on the unaudited condensed consolidated statements of operations for the three and six months ended June 30, 2023. See Note 6, “</w:t>
      </w: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 for further information regarding the impairment of goodwill due to the disbanding of the Company’s Regenerative Medicine business unit.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Termination Costs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anticipates that it will incur $0.6 million in expenses to wind-down certain contracts related to the knee osteoarthritis clinical trial program. This amount generally reflects the Company’s expectation for its obligation to carry out the protocol for the patients enrolled in the trial prior to the suspension of activities and close-out costs related to the trial. This amount is reflected as part of accrued expenses on the unaudited condensed consolidated balance sheet as of June 30, 2023 and as part of restructuring expense on the unaudited condensed consolidated statements of operations for the three and six months ended June 30, 2023. The Company had not paid any of these amounts as of June 30, 2023.</w:t>
      </w:r>
    </w:p>
    <w:p>
      <w:pPr>
        <w:spacing w:after="0" w:line="11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of Chief Financial Officer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5, 2023, the Company announced that Doug Rice was appointed to serve as Chief Financial Officer of the Company, effective that day. Mr. Rice’s compensation included, among other things, a grant of 162,000 PSUs, 97,200 RSUs, and 94,000 stock options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as a material inducement to his hiring.</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PSUs vest based on a three-year performance period ending on December 31, 2025 based upon the achievement of specified performance conditions, subject to Mr. Rice’s continued employment, except in the case of Mr. Rice’s death or disability. The awards can vest between 50% and 150% of the original PSUs, depending on actual performance. Vesting is limited to 100% of the award in the event that certain share price conditions are not achieved.</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RSUs will vest in three equal tranches on each of the first three anniversary dates of the grant date, provided Mr. Rice remains in continuous service with the Company.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will vest in four equal tranches on each of the first four anniversary dates of the grant date, subject to Mr. Rice’s continued employment. The Options expire seven years after vesting.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382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spacing w:after="0" w:line="277" w:lineRule="auto"/>
        <w:rPr>
          <w:sz w:val="20"/>
          <w:szCs w:val="20"/>
          <w:color w:val="auto"/>
        </w:rPr>
      </w:pPr>
      <w:r>
        <w:rPr>
          <w:rFonts w:ascii="Arial" w:cs="Arial" w:eastAsia="Arial" w:hAnsi="Arial"/>
          <w:sz w:val="18"/>
          <w:szCs w:val="18"/>
          <w:color w:val="auto"/>
        </w:rPr>
        <w:t>MIMEDX is a pioneer and leader in placental biologics, focused on addressing the needs of patients with acute and chronic non-healing wounds. All of our products sold in the United States are regulated by the U.S. Food &amp;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classes of products: (1) Advanced Wound Care products, or Section 361 products, consisting of our tissue and cord sheet allograft products, as well as certain particulate products regulated under Section 361, and (2) Section 351 products, consisting of our micronized and certain other particulate products, which, prior to May 31, 2021, the date the FDA’s period of enforcement discretion ended, were used to treat a variety of clinical conditions, including both advanced wound care and musculoskeletal applications. Our Advanced Wound Care products includes two product categories: Tissue/Other and Cord products. We apply Current Good Tissue Practices (“</w:t>
      </w:r>
      <w:r>
        <w:rPr>
          <w:rFonts w:ascii="Arial" w:cs="Arial" w:eastAsia="Arial" w:hAnsi="Arial"/>
          <w:sz w:val="18"/>
          <w:szCs w:val="18"/>
          <w:b w:val="1"/>
          <w:bCs w:val="1"/>
          <w:i w:val="1"/>
          <w:iCs w:val="1"/>
          <w:color w:val="auto"/>
        </w:rPr>
        <w:t>CGTP</w:t>
      </w:r>
      <w:r>
        <w:rPr>
          <w:rFonts w:ascii="Arial" w:cs="Arial" w:eastAsia="Arial" w:hAnsi="Arial"/>
          <w:sz w:val="18"/>
          <w:szCs w:val="18"/>
          <w:color w:val="auto"/>
        </w:rPr>
        <w:t>”) and Current Good Manufacturing Practice (“</w:t>
      </w:r>
      <w:r>
        <w:rPr>
          <w:rFonts w:ascii="Arial" w:cs="Arial" w:eastAsia="Arial" w:hAnsi="Arial"/>
          <w:sz w:val="18"/>
          <w:szCs w:val="18"/>
          <w:b w:val="1"/>
          <w:bCs w:val="1"/>
          <w:i w:val="1"/>
          <w:iCs w:val="1"/>
          <w:color w:val="auto"/>
        </w:rPr>
        <w:t>CGMP</w:t>
      </w:r>
      <w:r>
        <w:rPr>
          <w:rFonts w:ascii="Arial" w:cs="Arial" w:eastAsia="Arial" w:hAnsi="Arial"/>
          <w:sz w:val="18"/>
          <w:szCs w:val="18"/>
          <w:color w:val="auto"/>
        </w:rPr>
        <w:t>”) standards in addition to terminal sterilization to produce our allografts.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2023, we operated under two defined internal business units: Wound &amp; Surgical and Regenerative Medicine.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Wound &amp; Surgical business focuses on the Advanced Wound Care and Surgical Recovery markets through sales of our existing product portfolio and product development to serve these primary end markets. This business unit is responsible for substantially all sales of our Advanced Wound Care products, as well as the sale of our Section 351 products internationally.</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Regenerative Medicine business was focused on progressing the Company’s placental biologics platform. Micronized dehydrated human amnion chorion membrane (“</w:t>
      </w:r>
      <w:r>
        <w:rPr>
          <w:rFonts w:ascii="Arial" w:cs="Arial" w:eastAsia="Arial" w:hAnsi="Arial"/>
          <w:sz w:val="17"/>
          <w:szCs w:val="17"/>
          <w:b w:val="1"/>
          <w:bCs w:val="1"/>
          <w:i w:val="1"/>
          <w:iCs w:val="1"/>
          <w:color w:val="auto"/>
        </w:rPr>
        <w:t>mDHACM</w:t>
      </w:r>
      <w:r>
        <w:rPr>
          <w:rFonts w:ascii="Arial" w:cs="Arial" w:eastAsia="Arial" w:hAnsi="Arial"/>
          <w:sz w:val="17"/>
          <w:szCs w:val="17"/>
          <w:color w:val="auto"/>
        </w:rPr>
        <w:t>”) was our injectable placental biologic product candidate targeted at achieving FDA approval to help decrease pain and improve function in patients suffering from knee osteoarthritis (</w:t>
      </w:r>
      <w:r>
        <w:rPr>
          <w:rFonts w:ascii="Arial" w:cs="Arial" w:eastAsia="Arial" w:hAnsi="Arial"/>
          <w:sz w:val="17"/>
          <w:szCs w:val="17"/>
          <w:b w:val="1"/>
          <w:bCs w:val="1"/>
          <w:i w:val="1"/>
          <w:iCs w:val="1"/>
          <w:color w:val="auto"/>
        </w:rPr>
        <w:t>“KOA”</w:t>
      </w:r>
      <w:r>
        <w:rPr>
          <w:rFonts w:ascii="Arial" w:cs="Arial" w:eastAsia="Arial" w:hAnsi="Arial"/>
          <w:sz w:val="17"/>
          <w:szCs w:val="17"/>
          <w:color w:val="auto"/>
        </w:rPr>
        <w:t>). On June 20, 2023, we announced a plan to disband our Regenerative Medicine business unit and the suspension of our KOA clinical trial program. We do not intend to pursue FDA approval for mDHACM at this time. The Regenerative Medicine business unit was not deemed to be abandoned as of June 30, 2023 as the Company has continuing run-off operations pursuant to certain regulatory requirements. We anticipate that such operations will materially conclude in the second half of 2023.</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discussion, which presents our results for the three and six months ended June 30, 2023 and 2022, should be read in conjunction with our financial statements and accompanying notes in this Form 10-Q and the financial statements and accompanying notes thereto and Management’s Discussion and Analysis of Financial Condition and Results of Operations included in our Annual Report on Form 10-K for the fiscal year ended December 31,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the Three Months Ended June 30,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4"/>
          </w:tcPr>
          <w:p>
            <w:pPr>
              <w:jc w:val="right"/>
              <w:ind w:right="250"/>
              <w:spacing w:after="0"/>
              <w:rPr>
                <w:sz w:val="20"/>
                <w:szCs w:val="20"/>
                <w:color w:val="auto"/>
              </w:rPr>
            </w:pPr>
            <w:r>
              <w:rPr>
                <w:rFonts w:ascii="Arial" w:cs="Arial" w:eastAsia="Arial" w:hAnsi="Arial"/>
                <w:sz w:val="18"/>
                <w:szCs w:val="18"/>
                <w:color w:val="auto"/>
                <w:w w:val="96"/>
              </w:rPr>
              <w:t>Three Months Ended June 30,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30"/>
        </w:trPr>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 Change</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81,257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66,883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14,374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21.5 %</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22.9 %</w:t>
            </w:r>
          </w:p>
        </w:tc>
      </w:tr>
      <w:tr>
        <w:trPr>
          <w:trHeight w:val="23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54.2 %</w:t>
            </w: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Investigation, restatement and related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39.3 %</w:t>
            </w:r>
          </w:p>
        </w:tc>
      </w:tr>
      <w:tr>
        <w:trPr>
          <w:trHeight w:val="23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 (expense)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12,068</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recorded net sales for the three months ended June 30, 2023 of $81.3 million, a $14.4 million, or 21.5%, increase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2022, in which we recognized net sales of $66.9 million. Net sales in all care settings had one fewer shipping day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2023 compared to the same period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sales by care setting were as follows (amounts in thousands):</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Change</w:t>
            </w:r>
          </w:p>
        </w:tc>
        <w:tc>
          <w:tcPr>
            <w:tcW w:w="1240" w:type="dxa"/>
            <w:vAlign w:val="bottom"/>
            <w:tcBorders>
              <w:bottom w:val="single" w:sz="8" w:color="auto"/>
            </w:tcBorders>
          </w:tcPr>
          <w:p>
            <w:pPr>
              <w:spacing w:after="0"/>
              <w:rPr>
                <w:sz w:val="20"/>
                <w:szCs w:val="20"/>
                <w:color w:val="auto"/>
              </w:rPr>
            </w:pPr>
          </w:p>
        </w:tc>
      </w:tr>
      <w:tr>
        <w:trPr>
          <w:trHeight w:val="230"/>
        </w:trPr>
        <w:tc>
          <w:tcPr>
            <w:tcW w:w="2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46,588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39,926</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Private Office</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23,750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19,039</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3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10,919</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8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37.9 %</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81,257</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66,883</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21.5 %</w:t>
            </w:r>
          </w:p>
        </w:tc>
      </w:tr>
      <w:tr>
        <w:trPr>
          <w:trHeight w:val="20"/>
        </w:trPr>
        <w:tc>
          <w:tcPr>
            <w:tcW w:w="2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Hospital care setting were $46.6 million for the three months ended June 30, 2023, a $6.7 million or 16.7% increase compared to $39.9 million for the three months ended June 30, 2022. The increase was primarily driven by sales of our new products that we introduced during the third quarter of 2022.</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in the Private Office care setting grew by $4.7 million, or 24.7%, to $23.8 million for the three months ended June 30, 2023, compared to $19.0 million for the three months ended June 30, 2022. The increase reflects general increases in sales volume, driven by strong commercial execution.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 Other care settings increased by $3.0 million, or 37.9%, year-over-year. The increase was the result of the addition of new customers and sales of EPIFIX in Japan during the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Profit Margin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Cost of sales for the three months ended June 30, 2023 and 2022 was $13.6 million and $11.8 million, respectively, an increase of $1.8 million, or 14.9%.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Increases in cost of sales were driven by increases in sales volume noted above.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margin for the three months ended June 30, 2023 was 83.3% compared to 82.3% for the three months ended June 30, 2022. Increases in gross profit margin were driven by continued execution on yield improvement projects, as well as year-over-year changes in sales mix, driven by execution in higher-margin care settings.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w:t>
      </w:r>
      <w:r>
        <w:rPr>
          <w:rFonts w:ascii="Arial" w:cs="Arial" w:eastAsia="Arial" w:hAnsi="Arial"/>
          <w:sz w:val="16"/>
          <w:szCs w:val="16"/>
          <w:b w:val="1"/>
          <w:bCs w:val="1"/>
          <w:i w:val="1"/>
          <w:iCs w:val="1"/>
          <w:color w:val="auto"/>
        </w:rPr>
        <w:t>SG&amp;A</w:t>
      </w:r>
      <w:r>
        <w:rPr>
          <w:rFonts w:ascii="Arial" w:cs="Arial" w:eastAsia="Arial" w:hAnsi="Arial"/>
          <w:sz w:val="16"/>
          <w:szCs w:val="16"/>
          <w:color w:val="auto"/>
        </w:rPr>
        <w:t>”) expense for the three months ended June 30, 2023 was $51.9 million, compared to $55.8 million for the three months ended June 30, 2022, a decrease of $3.9 million, or 6.9%. The decrease in SG&amp;A expense was due to decreases in professional service costs, personnel costs, and bad debt expense. The decrease in professional service expenses reflects $2.1 million in consulting and advisory expenses incurred in 2022 related to a withhold the vote campaign launched by a shareholder. There was no similar activity during 2023. The decrease in personnel costs reflect the results of our cost reduction efforts which began during the third quarter of 2022. Finally, the decrease in bad debt expense was the result of the deterioration of credit for certain specific customers in 2022. These decreases were offset by increases in commissions due to higher sales volumes.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expense increased by $3.0 million, or 54.2%, to $8.5 million for the three months ended June 30, 2023, compared to $5.5 million for the three months ended June 30, 2022. The increase reflects severance expenses of $2.1 million related to the disbanding of our Regenerative Medicine business unit. Prior to this disbanding, we incurred greater expenses related to our clinical trial activities, which also contributed to the increase. As a result of the disbanding of our Regenerative Medicine business unit and the suspension of our KOA clinical trial program, we anticipate that research and development expense will decrease in future quarters.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Restructuring expense of $3.3 million for the three months ended June 30, 2023 reflects certain charges related to the disbanding of our Regenerative Medicine business unit, including write-downs of prepaid clinical trial assets of $2.1 million, charges for the wind-down of our KOA clinical trial program of $0.6 million, and impairment of goodwill of $0.5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Investigation, restatement and related expense for the three months ended June 30, 2023 was $1.0 million compared to $3.2 million for the three months ended June 30, 2022. The decrease was primarily attributable to a decrease in legal fees advanced on behalf of a former officer, year-over-year.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98" w:lineRule="exact"/>
        <w:rPr>
          <w:sz w:val="20"/>
          <w:szCs w:val="20"/>
          <w:color w:val="auto"/>
        </w:rPr>
      </w:pPr>
    </w:p>
    <w:p>
      <w:pPr>
        <w:ind w:right="2100"/>
        <w:spacing w:after="0" w:line="446" w:lineRule="auto"/>
        <w:rPr>
          <w:sz w:val="20"/>
          <w:szCs w:val="20"/>
          <w:color w:val="auto"/>
        </w:rPr>
      </w:pPr>
      <w:r>
        <w:rPr>
          <w:rFonts w:ascii="Arial" w:cs="Arial" w:eastAsia="Arial" w:hAnsi="Arial"/>
          <w:sz w:val="18"/>
          <w:szCs w:val="18"/>
          <w:color w:val="auto"/>
        </w:rPr>
        <w:t xml:space="preserve">Amortization expense related to intangible assets was $0.2 million for each of the three months ended June 30, 2023 and 2022. </w:t>
      </w:r>
      <w:r>
        <w:rPr>
          <w:rFonts w:ascii="Arial" w:cs="Arial" w:eastAsia="Arial" w:hAnsi="Arial"/>
          <w:sz w:val="18"/>
          <w:szCs w:val="18"/>
          <w:i w:val="1"/>
          <w:iCs w:val="1"/>
          <w:color w:val="auto"/>
        </w:rPr>
        <w:t>Interest Expense, Net</w:t>
      </w:r>
    </w:p>
    <w:p>
      <w:pPr>
        <w:jc w:val="both"/>
        <w:spacing w:after="0" w:line="263" w:lineRule="auto"/>
        <w:rPr>
          <w:sz w:val="20"/>
          <w:szCs w:val="20"/>
          <w:color w:val="auto"/>
        </w:rPr>
      </w:pPr>
      <w:r>
        <w:rPr>
          <w:rFonts w:ascii="Arial" w:cs="Arial" w:eastAsia="Arial" w:hAnsi="Arial"/>
          <w:sz w:val="18"/>
          <w:szCs w:val="18"/>
          <w:color w:val="auto"/>
        </w:rPr>
        <w:t>Interest expense, net was $1.6 million for the three months ended June 30, 2023 compared to $1.2 million for the three months ended June 30, 2022, an increase of $0.5 million, or 39.3%. The increase was the result of year-over-year increases in the London Interbank Offered Rate (“</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which was the reference rate on our outstanding debt during both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 (Expense)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Company were (6.6)% and (0.6)% for the three months ended June 30, 2023 and June 30, 2022, respectively. There were no material discrete items affecting the effective tax rate in either period.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Wound &amp; Surgical</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right"/>
              <w:ind w:right="250"/>
              <w:spacing w:after="0"/>
              <w:rPr>
                <w:sz w:val="20"/>
                <w:szCs w:val="20"/>
                <w:color w:val="auto"/>
              </w:rPr>
            </w:pPr>
            <w:r>
              <w:rPr>
                <w:rFonts w:ascii="Arial" w:cs="Arial" w:eastAsia="Arial" w:hAnsi="Arial"/>
                <w:sz w:val="18"/>
                <w:szCs w:val="18"/>
                <w:color w:val="auto"/>
                <w:w w:val="96"/>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 Change</w:t>
            </w:r>
          </w:p>
        </w:tc>
      </w:tr>
      <w:tr>
        <w:trPr>
          <w:trHeight w:val="229"/>
        </w:trPr>
        <w:tc>
          <w:tcPr>
            <w:tcW w:w="58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30"/>
        </w:trPr>
        <w:tc>
          <w:tcPr>
            <w:tcW w:w="58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17.5 %</w:t>
            </w:r>
          </w:p>
        </w:tc>
      </w:tr>
      <w:tr>
        <w:trPr>
          <w:trHeight w:val="243"/>
        </w:trPr>
        <w:tc>
          <w:tcPr>
            <w:tcW w:w="580" w:type="dxa"/>
            <w:vAlign w:val="bottom"/>
          </w:tcPr>
          <w:p>
            <w:pPr>
              <w:spacing w:after="0"/>
              <w:rPr>
                <w:sz w:val="21"/>
                <w:szCs w:val="21"/>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8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58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contribution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94.8 %</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Wound &amp; Surgical business recorded $80.5 million of net sales for the three months ended June 30, 2023, a $14.4 million, or 21.7%, increase compared to the $66.1 million we recorded for the three months ended June 30, 2022. The increase in net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sales was driven primarily by strong commercial execution in the Private Office care setting, sales of our new products, addition of new customers in the Other care setting, and sales of EPIFIX in Japan.</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sales for the three months ended June 30, 2023 was $12.7 million, a $1.9 million, or 17.5%, increase compared to the $10.8 million recognized for the three months ended June 30, 2022. The increase was driven by increases in sales volumes, offset in part by year-over-year changes in sales mix.</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 was $38.5 million for the three months ended June 30, 2023, a $0.2 million, or 0.5%, decrease compared to the three months ended June 30, 2022, during which we incurred $38.7 million of expenses. The decrease was driven by year-over-year decreases in personnel costs and bad debt expense. The decrease in personnel costs reflects the results of our cost reduction efforts which began in the third quarter of 2022. The decrease in bad debt expense was the result of the deterioration of credit for certain specific customers in 2022. These decreases were offset by increases in commissions resulting from increases in sales volume.</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 was $1.6 million for the three months ended June 30, 2023, compared to $2.4 million for the three months ended June 30, 2022. The decrease reflects fewer product development costs, year-over-year, driven by the timing of our product launches.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contribution margin for Wound &amp; Surgical was 34.3% for the three months ended June 30, 2023, compared to 21.4% for the three months ended June 30,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Regenerative Medicine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4"/>
          </w:tcPr>
          <w:p>
            <w:pPr>
              <w:ind w:left="16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9"/>
                <w:szCs w:val="19"/>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 Change</w:t>
            </w:r>
          </w:p>
        </w:tc>
      </w:tr>
      <w:tr>
        <w:trPr>
          <w:trHeight w:val="223"/>
        </w:trPr>
        <w:tc>
          <w:tcPr>
            <w:tcW w:w="580" w:type="dxa"/>
            <w:vAlign w:val="bottom"/>
          </w:tcPr>
          <w:p>
            <w:pPr>
              <w:spacing w:after="0"/>
              <w:rPr>
                <w:sz w:val="19"/>
                <w:szCs w:val="19"/>
                <w:color w:val="auto"/>
              </w:rPr>
            </w:pPr>
          </w:p>
        </w:tc>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3,761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7"/>
              </w:rPr>
              <w:t>nm</w:t>
            </w:r>
          </w:p>
        </w:tc>
      </w:tr>
      <w:tr>
        <w:trPr>
          <w:trHeight w:val="229"/>
        </w:trPr>
        <w:tc>
          <w:tcPr>
            <w:tcW w:w="5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88"/>
              </w:rPr>
              <w:t>3,256</w:t>
            </w:r>
          </w:p>
        </w:tc>
        <w:tc>
          <w:tcPr>
            <w:tcW w:w="12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w w:val="87"/>
              </w:rPr>
              <w:t>nm</w:t>
            </w:r>
          </w:p>
        </w:tc>
      </w:tr>
      <w:tr>
        <w:trPr>
          <w:trHeight w:val="243"/>
        </w:trPr>
        <w:tc>
          <w:tcPr>
            <w:tcW w:w="58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contribution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4"/>
              </w:rPr>
              <w:t>(7,017)</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7"/>
              </w:rPr>
              <w:t>nm</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2023, we announced a plan to disband our Regenerative Medicine business unit and the suspension of our KOA clinical trial program. As a result of these actions, we incurred severance expense for former employees of $2.1 million.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was $6.9 million for the three months ended June 30, 2023, compared to $3.1 million for the three months ended June 30, 2022, an increase of $3.8 million. In addition to the severance expenses referenced above, we incurred greater expenses related to our clinical trial activities during the three months ended June 30, 2023.</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Restructuring reflects certain charges related to the disbanding of our Regenerative Medicine business unit, including write-downs of prepaid clinical trial assets of $2.1 million, charges for the wind-down of our KOA clinical trial program of $0.6 million, and impairment of goodwill of $0.5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expense for the Corporate function was $13.4 million, or 16.5% of total net sales, for the three months ended June 30, 2023, compared to $17.1 million for the three months ended June 30, 2022, reflecting 25.6% of total net sales. The decrease in SG&amp;A expense was primarily due to year-over-year decreases in professional services costs, primarily resulting from a withhold the vote campaign launched by a shareholder during 2022. There was no similar activity in 2023.</w:t>
      </w:r>
    </w:p>
    <w:p>
      <w:pPr>
        <w:spacing w:after="0" w:line="129" w:lineRule="exact"/>
        <w:rPr>
          <w:sz w:val="20"/>
          <w:szCs w:val="20"/>
          <w:color w:val="auto"/>
        </w:rPr>
      </w:pPr>
    </w:p>
    <w:p>
      <w:pPr>
        <w:ind w:right="4820"/>
        <w:spacing w:after="0" w:line="485" w:lineRule="auto"/>
        <w:rPr>
          <w:sz w:val="20"/>
          <w:szCs w:val="20"/>
          <w:color w:val="auto"/>
        </w:rPr>
      </w:pPr>
      <w:r>
        <w:rPr>
          <w:rFonts w:ascii="Arial" w:cs="Arial" w:eastAsia="Arial" w:hAnsi="Arial"/>
          <w:sz w:val="18"/>
          <w:szCs w:val="18"/>
          <w:b w:val="1"/>
          <w:bCs w:val="1"/>
          <w:color w:val="auto"/>
        </w:rPr>
        <w:t xml:space="preserve">Six Months Ended June 30, 2023 Compared to the Six Months Ended June 30, 2022 </w:t>
      </w:r>
      <w:r>
        <w:rPr>
          <w:rFonts w:ascii="Arial" w:cs="Arial" w:eastAsia="Arial" w:hAnsi="Arial"/>
          <w:sz w:val="18"/>
          <w:szCs w:val="18"/>
          <w:b w:val="1"/>
          <w:bCs w:val="1"/>
          <w:i w:val="1"/>
          <w:iCs w:val="1"/>
          <w:color w:val="auto"/>
        </w:rPr>
        <w:t>Total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tbl>
      <w:tblPr>
        <w:tblLayout w:type="fixed"/>
        <w:tblInd w:w="78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4"/>
          </w:tcPr>
          <w:p>
            <w:pPr>
              <w:jc w:val="right"/>
              <w:ind w:right="310"/>
              <w:spacing w:after="0"/>
              <w:rPr>
                <w:sz w:val="20"/>
                <w:szCs w:val="20"/>
                <w:color w:val="auto"/>
              </w:rPr>
            </w:pPr>
            <w:r>
              <w:rPr>
                <w:rFonts w:ascii="Arial" w:cs="Arial" w:eastAsia="Arial" w:hAnsi="Arial"/>
                <w:sz w:val="18"/>
                <w:szCs w:val="18"/>
                <w:color w:val="auto"/>
                <w:w w:val="98"/>
              </w:rPr>
              <w:t>Six Months Ended June 30,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30"/>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152,933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125,777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27,156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22.0 %</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30.6 %</w:t>
            </w: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Investigation, restatement and related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38.7 %</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Income tax provision benefit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net sales for the six months ended June 30, 2023 of $152.9 million, a $27.2 million, or 21.6%, increase compared to the six months ended June 30, 2022, for which we recorded net sales of $125.8 million. Net sales for the six months ended June 30, 2023 in all sites of service benefited from the alleviation of the Omicron wave of the Covid-19 Pandemic, which adversely impacted sales during the six months ended June 30, 2022. There was an equal number of shipping days in each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sales by care setting were as follows (amounts in thousands):</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Change</w:t>
            </w:r>
          </w:p>
        </w:tc>
        <w:tc>
          <w:tcPr>
            <w:tcW w:w="1240" w:type="dxa"/>
            <w:vAlign w:val="bottom"/>
            <w:tcBorders>
              <w:bottom w:val="single" w:sz="8" w:color="auto"/>
            </w:tcBorders>
          </w:tcPr>
          <w:p>
            <w:pPr>
              <w:spacing w:after="0"/>
              <w:rPr>
                <w:sz w:val="20"/>
                <w:szCs w:val="20"/>
                <w:color w:val="auto"/>
              </w:rPr>
            </w:pPr>
          </w:p>
        </w:tc>
      </w:tr>
      <w:tr>
        <w:trPr>
          <w:trHeight w:val="223"/>
        </w:trPr>
        <w:tc>
          <w:tcPr>
            <w:tcW w:w="2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37"/>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88,758</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75,907</w:t>
            </w:r>
          </w:p>
        </w:tc>
        <w:tc>
          <w:tcPr>
            <w:tcW w:w="11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Private Office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45,237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35,196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28.5 %</w:t>
            </w:r>
          </w:p>
        </w:tc>
      </w:tr>
      <w:tr>
        <w:trPr>
          <w:trHeight w:val="23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36"/>
        </w:trPr>
        <w:tc>
          <w:tcPr>
            <w:tcW w:w="234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152,933</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125,777</w:t>
            </w:r>
          </w:p>
        </w:tc>
        <w:tc>
          <w:tcPr>
            <w:tcW w:w="11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0"/>
        </w:trPr>
        <w:tc>
          <w:tcPr>
            <w:tcW w:w="2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Hospital care setting were $88.8 million for the six months ended June 30, 2023, a $12.9 million or 16.9% increase compared to $75.9 million for the six months ended June 30, 2022. The increase was primarily driven by sales of our new products that we introduced during the third quarter of 2022.</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Private Office care setting grew by $10.0 million, or 28.5%, to $45.2 million for the six months ended June 30, 2023, compared to $35.2 million for the six months ended June 30, 2022. The increase reflects general increases in sales volume, driven by strong commercial execution resulting from a prioritization of this site of service.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 Other care settings increased by $4.3 million, or 29.1%, year-over-year. The increase was primarily driven by our new products, addition of new customers in certain sites of service and sales of EPIFIX in Japan.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Profit Margin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for the six months ended June 30, 2023 was $26.0 million, an increase of $4.2 million, or 19.5%, compared to $21.8 million for the six months ended June 30, 2022. Increases in cost of sales were driven by increases in sales volume noted above.</w:t>
      </w:r>
    </w:p>
    <w:p>
      <w:pPr>
        <w:spacing w:after="0" w:line="130" w:lineRule="exact"/>
        <w:rPr>
          <w:sz w:val="20"/>
          <w:szCs w:val="20"/>
          <w:color w:val="auto"/>
        </w:rPr>
      </w:pPr>
    </w:p>
    <w:p>
      <w:pPr>
        <w:ind w:right="980"/>
        <w:spacing w:after="0" w:line="481" w:lineRule="auto"/>
        <w:rPr>
          <w:sz w:val="20"/>
          <w:szCs w:val="20"/>
          <w:color w:val="auto"/>
        </w:rPr>
      </w:pPr>
      <w:r>
        <w:rPr>
          <w:rFonts w:ascii="Arial" w:cs="Arial" w:eastAsia="Arial" w:hAnsi="Arial"/>
          <w:sz w:val="18"/>
          <w:szCs w:val="18"/>
          <w:color w:val="auto"/>
        </w:rPr>
        <w:t xml:space="preserve">Gross profit margin for six months ended June 30, 2023 was 83.0% and 82.7% for the six months ended June 30, 2023 and 2022, respectively. </w:t>
      </w:r>
      <w:r>
        <w:rPr>
          <w:rFonts w:ascii="Arial" w:cs="Arial" w:eastAsia="Arial" w:hAnsi="Arial"/>
          <w:sz w:val="18"/>
          <w:szCs w:val="18"/>
          <w:i w:val="1"/>
          <w:iCs w:val="1"/>
          <w:color w:val="auto"/>
        </w:rPr>
        <w:t>Selling, General and Administrative Expense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SG&amp;A expense for the six months ended June 30, 2023 decreased by $1.8 million, or 1.7%, to $104.2 million, compared to $105.4 million for the six months ended June 30, 2022. The decrease was driven by decreases in professional services expenses, personnel costs and bad debt expense. The decrease in professional services expenses reflects $2.1 million in consulting and advisory expenses incurred in 2022 related to a withhold the vote campaign launched by a shareholder. There was no similar activity during 2023. The decrease in personnel costs reflects the results of our cost reduction efforts that began in the third quarter of 2022. Finally, the decrease in bad debt expense was the result of the deterioration of credit for certain specific customers in 2022.</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was offset by increases in sales commissions, driven by increases in sales volumes. In addition, we incurred greater travel expenses, reflecting the removal of travel restrictions that were in place during the six months ended June 30, 2022 due to the Covid-19 Pandemic.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increased by $3.5 million, or 30.6%, to $15.0 million for the six months ended June 30, 2023, compared to $11.5 million for the six months ended June 30, 2022. The increase reflects severance expenses of $2.1 million related to the disbanding of our Regenerative Medicine business unit. Prior to this disbanding, we incurred greater personnel costs and clinical trial expenses to support clinical activities, which also contributed to the increase.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Investigation, restatement and related expenses for the six months ended June 30, 2023 decreased by $1.1 million, or 18.7%, to $4.7 million compared to $5.8 million for the six months ended June 30, 2022. The decrease was attributable to a decrease in legal fees advanced on behalf of a former officer.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increased from $0.3 million for the six months ended June 30, 2022 to $0.4 million for the six months ended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Restructuring expense of $3.3 million for the six months ended June 30, 2023 reflects certain charges related to the disbanding of our Regenerative Medicine business unit, including write-downs of prepaid clinical trial assets of $2.1 million, charges for the wind-down of our KOA clinical trial program of $0.6 million, and impairment of goodwill of $0.5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net was $3.2 million for the six months ended June 30, 2023 compared to $2.3 million for the six months ended June 30, 2022. The increase was the result of year-over-year increases in LIBOR, which was the reference rate on our outstanding debt during both periods.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 (Expense)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effective tax rates for the Company were 0.6% and (0.6)% for the six months ended June 30, 2023 and 2022, respectively. There were no material discrete items affecting the effective tax rate in either period. Net operating losses incurred during both periods were offset by a valuation allowance.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Wound &amp; Surgical</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9"/>
              </w:rPr>
              <w:t>Six Months Ended June 30,</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w w:val="82"/>
              </w:rPr>
              <w:t>Change</w:t>
            </w:r>
          </w:p>
        </w:tc>
        <w:tc>
          <w:tcPr>
            <w:tcW w:w="12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 Change</w:t>
            </w:r>
          </w:p>
        </w:tc>
        <w:tc>
          <w:tcPr>
            <w:tcW w:w="58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151,090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124,423</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26,667</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58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47,702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27,373</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20,329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74.3 %</w:t>
            </w:r>
          </w:p>
        </w:tc>
        <w:tc>
          <w:tcPr>
            <w:tcW w:w="580" w:type="dxa"/>
            <w:vAlign w:val="bottom"/>
          </w:tcPr>
          <w:p>
            <w:pPr>
              <w:spacing w:after="0"/>
              <w:rPr>
                <w:sz w:val="20"/>
                <w:szCs w:val="20"/>
                <w:color w:val="auto"/>
              </w:rPr>
            </w:pPr>
          </w:p>
        </w:tc>
      </w:tr>
      <w:tr>
        <w:trPr>
          <w:trHeight w:val="86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7"/>
        </w:trPr>
        <w:tc>
          <w:tcPr>
            <w:tcW w:w="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Our Wound &amp; Surgical business recorded $151.1 million of net sales for the six months ended June 30, 2023, a $26.7 million, or 21.4%, increase compared to the $124.4 million we recorded for the six months ended June 30, 2022. Net sales for the six months ended June 30, 2023 benefited from the alleviation of the Omicron wave of the Covid-19 Pandemic, which adversely impacted sales during the six months ended June 30, 2022. The increase in net sales was driven primarily by strong commercial execution in the Private Office care setting, sales of our new products, addition of new customers in the Other care setting, and sales of EPIFIX in Japan.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for the six months ended June 30, 2023 was $24.1 million, a $4.1 million, or 20.5%, increase compared to the $20.0 million recognized for six months ended June 30, 2022. Cost of sales increased due to increases in sales volumes.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SG&amp;A expense was $76.2 million for the six months ended June 30, 2023, a $3.4 million, or 4.7%, increase over the six months ended June 30, 2022, during which we incurred $72.7 million of expenses. The increase was driven by increases in commissions, driven by sales volumes. In addition, we incurred greater travel expenses, reflecting the removal of travel restrictions that were in place during the six months ended June 30, 2022 due to the Covid-19 Pandemic. These effects were offset by year-over-year decreases in personnel costs, which reflects the results of our cost reduction efforts that began in the third quarter of 2022, and in bad debt expense, which was the result of the deterioration of credit for certain specific customers in 2022.</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was $3.2 million for the six months ended June 30, 2023, compared to $4.4 million for the six months ended June 30, 2022, a decrease of $1.2 million, or 27.6%. The decrease reflects less product development costs during 2023, specifically as we were readying product launches in the third quarter of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Regenerative Medicine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9"/>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Six Months Ended June 30,</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9"/>
                <w:szCs w:val="19"/>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 Change</w:t>
            </w:r>
          </w:p>
        </w:tc>
      </w:tr>
      <w:tr>
        <w:trPr>
          <w:trHeight w:val="223"/>
        </w:trPr>
        <w:tc>
          <w:tcPr>
            <w:tcW w:w="58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center"/>
              <w:ind w:left="290"/>
              <w:spacing w:after="0"/>
              <w:rPr>
                <w:sz w:val="20"/>
                <w:szCs w:val="20"/>
                <w:color w:val="auto"/>
              </w:rPr>
            </w:pPr>
            <w:r>
              <w:rPr>
                <w:rFonts w:ascii="Arial" w:cs="Arial" w:eastAsia="Arial" w:hAnsi="Arial"/>
                <w:sz w:val="18"/>
                <w:szCs w:val="18"/>
                <w:color w:val="auto"/>
                <w:w w:val="93"/>
              </w:rPr>
              <w:t>4,721</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66.3 %</w:t>
            </w:r>
          </w:p>
        </w:tc>
      </w:tr>
      <w:tr>
        <w:trPr>
          <w:trHeight w:val="229"/>
        </w:trPr>
        <w:tc>
          <w:tcPr>
            <w:tcW w:w="58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3,256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8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(15,095)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(7,118)</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270"/>
              <w:spacing w:after="0"/>
              <w:rPr>
                <w:sz w:val="20"/>
                <w:szCs w:val="20"/>
                <w:color w:val="auto"/>
              </w:rPr>
            </w:pPr>
            <w:r>
              <w:rPr>
                <w:rFonts w:ascii="Arial" w:cs="Arial" w:eastAsia="Arial" w:hAnsi="Arial"/>
                <w:sz w:val="18"/>
                <w:szCs w:val="18"/>
                <w:color w:val="auto"/>
                <w:w w:val="91"/>
              </w:rPr>
              <w:t>(7,977)</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2023, we announced a plan to disband our Regenerative Medicine business unit and the suspension of our KOA clinical trial program. As a result of these actions, we incurred severance expense for former employees of $2.1 million.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was $11.8 million for the six months ended June 30, 2023, compared to $7.1 million for the six months ended June 30, 2022, an increase of $4.7 million. In addition to the one-time expenses referenced above, we incurred greater personnel costs and clinical trial expenses to support clinical activities during the three months ended June 30, 2023.</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Restructuring expense reflects certain charges related to the disbanding of our Regenerative Medicine business unit, including write-downs of prepaid clinical trial assets of $2.1 million, charges for the wind-down of our KOA clinical trial program of $0.6 million, and impairment of goodwill of $0.5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SG&amp;A expense for the Corporate function was $28.0 million, or 18.3% of total net sales, for the six months ended June 30, 2023, compared to $32.6 million for the six months ended June 30, 2022, reflecting 25.9% of total net sales. The decrease in SG&amp;A expense was primarily due to year-over-year decreases in professional services costs related to a withhold the vote campaign launched by a shareholder during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GAAP results, we provide certain Non-GAAP measures including Earnings Before Interest, Taxes, Depreciation and Amortization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and Adjusted EBITDA. We believe that the presentation of these measures provides important supplemental information to management and investors regarding our performance. These measurements are not a substitute for GAAP measurements, and the manner in which we calculate such metrics may not be identical to the manner in which other companies calculate and present similar metrics. Company management uses these Non-GAAP measures as aids in monitoring our ongoing financial performance from quarter-to-quarter and year-to-year on a regular basis and for benchmarking against comparable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GAAP results, we provide the following Non-GAAP measures: Earnings Before Interest, Taxes, Depreciation and Amortization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and Adjusted EBITDA. These measurements are not, and should not be used, as a substitute for GAAP measures. Company management uses these Non-GAAP measures as aids in monitoring our ongoing financial performance on a regular basis and for benchmarking against comparable companies.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EBITDA is intended to provide a measure of our operating performance as it eliminates the effects of financing and capital expenditures. EBITDA consists of GAAP net income or loss excluding: (i) depreciation, (ii) amortization of intangibles, (iii) interest expense, net, and (iv) income tax provision.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intended to provide an enduring, normalized view of EBITDA and our broader business operations that we expect to experience on an ongoing basis by removing certain non-cash items and items which may be irregular, one-time, or non-recurring from EBITDA. This includes share-based compensation, which is predominantly settled in shares. This enables us to identify underlying trends in our business that could otherwise be masked by such items.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consists of GAAP net income or loss excluding: (i) depreciation, (ii) amortization of intangibles, (iii) interest expense, (iv) income tax provision, (v) investigation, restatement and related expenses, (vi) share-based compensation, and (vii) expenses related to the disbanding of our Regenerative Medicine business unit.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related to the disbanding of our Regenerative Medicine business unit include (i) write-downs of our prepaid clinical trial assets, (ii) charges associated with the wind-down of contracts associated with our KOA clinical trial program, (iii) severance expenses incurred which were directly attributable to the disbanding, and (iv) impairment of goodwill.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also assesses EBITDA margin and Adjusted EBITDA margin to provide an additional layer of context to the Company’s profitability; indicating our ability to convert our sales into sustainable operating results. EBITDA margin is calculated as EBITDA divided by GAAP net sales. Similarly, Adjusted EBITDA margin is calculated as Adjusted EBITDA divided by GAAP net sales.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loss to EBITDA and Adjusted EBITDA appears in the table below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8"/>
                <w:szCs w:val="18"/>
                <w:color w:val="auto"/>
                <w:w w:val="98"/>
              </w:rPr>
              <w:t>Three Months Ended June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Net margin</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20"/>
                <w:szCs w:val="20"/>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line="196" w:lineRule="exact"/>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3,634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(8,605)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1,159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(16,874)</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EBITDA margin</w:t>
            </w: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4.5 %</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0.8 %</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(13.4)%</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Additional Non-GAAP Adjustments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Costs incurred in connection with Audit Committee</w:t>
            </w: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3,218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4,690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Investigation and Restatement</w:t>
            </w:r>
          </w:p>
        </w:tc>
        <w:tc>
          <w:tcPr>
            <w:tcW w:w="3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8,405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Expenses related to disbanding of Regenerative Medicine</w:t>
            </w: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5,391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business unit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14,102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(959)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19,645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17.4 %</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12.8 %</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0" w:type="dxa"/>
            <w:vAlign w:val="bottom"/>
          </w:tcPr>
          <w:p>
            <w:pPr>
              <w:spacing w:after="0"/>
              <w:rPr>
                <w:sz w:val="1"/>
                <w:szCs w:val="1"/>
                <w:color w:val="auto"/>
              </w:rPr>
            </w:pPr>
          </w:p>
        </w:tc>
      </w:tr>
      <w:tr>
        <w:trPr>
          <w:trHeight w:val="864"/>
        </w:trPr>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29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Discussion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during the six months ended June 30, 2023 was $3.7 million, compared to cash used of $13.2 million for the six months ended June 30, 2022. The change was primarily the result of year-over-year increases in net sales, which drove increases in collections from customers, as well as year-over-year decreases in operating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for investing activities during the six months ended June 30, 2023 was $1.0 million, compared to $0.6 million for the six months ended June 30, 2022. This increase reflects a $0.4 million year-over-year increase in capital expenditures.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did not have meaningful cash flows from financing activities during the six months ended June 30, 2023. Cash used in financing activities was $0.8 million during the six months ended June 30, 2022. We ceased withholding shares to satisfy employee tax obligations upon vesting of equity awards in 2022. Accordingly, we did not have any cash paid for tax withholdings during the six months ended June 30, 2023, compared to $1.2 million for the six months ended June 30, 2022. This effect was offset by $0.4 million of cash receipts from option exercises in the six months ended June 30, 2022, compared to immaterial proceeds from option exercises during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business requires capital for our operating activities, including costs associated with the sale of product through direct and indirect sales channels, the conduct of research and development activities, compliance costs, and legal and consulting fees in connection with ongoing litigation and other matters.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had $68.7 million of cash and cash equivalents, total current assets of $141.2 million and total current liabilities of $44.5 million, reflecting a current ratio of 3.2.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paying our obligations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cash requirements related to the following items within one year of the date of the filing of this Quarterly Report:</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to advance and expand our existing product portfolio;</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required to achieve necessary regulatory approval and establish operations in new markets deemed strategically important toward the enhancement of our global footprint;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wind-down certain contracts associated with our KOA clinical trial program;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payments related to certain former members of management and other employees.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analyzed our ability to address these commitments and potential liabilities for the 12 months extending from the date of the filing of this Quarterly Report. After completing this analysis, which included a review of expectations of revenue, margins, and expenses, we believe that our existing cash and cash from operations will be sufficient to meet our obligations as they come due.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we entered into a Loan Agreement with, among others, Hayfin Services, LLP,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an affiliate of Hayfin Capital Management, LLP (as amended,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under which Hayfin provided us with a senior secured term loan of $50 million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The Term Loan matures on June 30,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principal payments are due on the Term Loan until the Maturity Date. Interest is payable on the Term Loan for principal outstanding quarterly through the Maturity Date. Pursuant to Amendment No. 2 to the Loan Agreement entered into in June 2023, interest on any borrowings under the Term Loan is equal to the Secured Overnight Finance Rate (“</w:t>
      </w:r>
      <w:r>
        <w:rPr>
          <w:rFonts w:ascii="Arial" w:cs="Arial" w:eastAsia="Arial" w:hAnsi="Arial"/>
          <w:sz w:val="18"/>
          <w:szCs w:val="18"/>
          <w:b w:val="1"/>
          <w:bCs w:val="1"/>
          <w:i w:val="1"/>
          <w:iCs w:val="1"/>
          <w:color w:val="auto"/>
        </w:rPr>
        <w:t>SOFR</w:t>
      </w:r>
      <w:r>
        <w:rPr>
          <w:rFonts w:ascii="Arial" w:cs="Arial" w:eastAsia="Arial" w:hAnsi="Arial"/>
          <w:sz w:val="18"/>
          <w:szCs w:val="18"/>
          <w:color w:val="auto"/>
        </w:rPr>
        <w:t>”), plus a fallback provision of 0.15%, subject to a floor of 1.5%, plus a margin of 6.75%. An additional 3.0% margin would be applied to the interest rate upon the occurrence of an Event of Default, as defined in the Hayfin Loan Agreement. As of June 30, 2023, the Term Loan carried an interest rate of 12.1%.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The Hayfin Loan Agreement contains certain financial covenants, including a Minimum Consolidated Total Net Sales covenant, tested quarterly, and a Minimum Liquidity covenant, tested monthly (each as defined). In addition, the Hayfin Loan Agreement includes certain negative covenants and events of default customary for facilities of this type. Upon the occurrence of such events of default, all outstanding loans under the Hayfin Loan Agreement may be accelerated or the lenders’ commitments terminated. The Hayfin Loan Agreement also specifies mandatory prepayments based on a percentage of Excess Cash Flow (as defined in the Hayfin Loan Agreement, if such is generated), as well as upon the occurrence of other events specified in the Hayfin Loan Agreement.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we were in compliance with all financial covenants under the Hayfin Loan Agreement. A breach of a financial covenant in the Hayfin Loan Agreement, if uncured or unable to be cured, would likely result in an event of default that could trigger the lenders’ remedies, including acceleration of the entire principal balance of the loan as well as any applicable prepayment premiums.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100,000 shares of Series B Preferred Stock outstanding as of June 30,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Stock accumulates dividends at a rate of 6.0% per annum. Dividends are declared at the sole discretion of our Board of Directors. Dividends, if declared, are paid in cash at the end of each quarter based on dividend amounts that accumulate beginning on the last payment date through the day prior to the end of each quarter. In lieu of paying a dividend, we may elect to accrue the dividend owed to shareholders. Dividend balances accumulate at the prevailing dividend rate for each dividend period during which they are outstanding.</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share of Series B Preferred Stock, including any accrued and unpaid dividends, is convertible into our common stock at any time at the option of the holder at a conversion price of $3.85 per common share. The Series B Preferred Stock converts automatically at any time after July 2, 2023, provided that the common stock has traded at $7.70 or higher (i) for 20 out of 30 consecutive trading days, and (ii) on such date of conversion.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undergo a change of control, we will have the option to repurchase some or all then-outstanding shares of Series B Preferred Stock for cash in an amount equal to the liquidation preference and any accumulated and unpaid dividends. If we do not exercise this right, holders of the Series B Preferred Stock will have the option to (1) require us to repurchase any or all of our then-outstanding shares of Series B Preferred Stock in an amount equal to the liquidation preference plus unpaid dividends, or (2) convert the Series B Preferred stock into common stock and receive its pro rata consideration thereunder.</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declared or paid any cash dividends on our Series B Preferred Stock since issuance. Dividends accumulated but not paid as of June 30, 2023 were $17.2 million. The Series B Preferred Stock was convertible into 30,445,997 shares of common stock as of June 30, 2023.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repurchase any shares of our common stock during the three months ended June 30, 2023. The timing and amount of future repurchases, if any, will depend upon our stock price, economic and market conditions, regulatory requirements, and other corporate considerations. We may initiate, suspend or discontinue purchases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below and as previously disclosed in our Quarterly Report for the three months ended March 31, 2023, there were no significant changes to our contractual obligations during the six months ended June 30, 2023 from those disclosed in the section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from Operations</w:t>
      </w:r>
      <w:r>
        <w:rPr>
          <w:rFonts w:ascii="Arial" w:cs="Arial" w:eastAsia="Arial" w:hAnsi="Arial"/>
          <w:sz w:val="18"/>
          <w:szCs w:val="18"/>
          <w:color w:val="auto"/>
        </w:rPr>
        <w:t>”, in our 2022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Nordic Agreement</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2022, we entered into a collaboration agreement (the “</w:t>
      </w:r>
      <w:r>
        <w:rPr>
          <w:rFonts w:ascii="Arial" w:cs="Arial" w:eastAsia="Arial" w:hAnsi="Arial"/>
          <w:sz w:val="17"/>
          <w:szCs w:val="17"/>
          <w:b w:val="1"/>
          <w:bCs w:val="1"/>
          <w:i w:val="1"/>
          <w:iCs w:val="1"/>
          <w:color w:val="auto"/>
        </w:rPr>
        <w:t>Nordic Agreement</w:t>
      </w:r>
      <w:r>
        <w:rPr>
          <w:rFonts w:ascii="Arial" w:cs="Arial" w:eastAsia="Arial" w:hAnsi="Arial"/>
          <w:sz w:val="17"/>
          <w:szCs w:val="17"/>
          <w:color w:val="auto"/>
        </w:rPr>
        <w:t>”) with Nordic Bioscience Clinical Development A/S (“</w:t>
      </w:r>
      <w:r>
        <w:rPr>
          <w:rFonts w:ascii="Arial" w:cs="Arial" w:eastAsia="Arial" w:hAnsi="Arial"/>
          <w:sz w:val="17"/>
          <w:szCs w:val="17"/>
          <w:b w:val="1"/>
          <w:bCs w:val="1"/>
          <w:i w:val="1"/>
          <w:iCs w:val="1"/>
          <w:color w:val="auto"/>
        </w:rPr>
        <w:t>NBCD</w:t>
      </w:r>
      <w:r>
        <w:rPr>
          <w:rFonts w:ascii="Arial" w:cs="Arial" w:eastAsia="Arial" w:hAnsi="Arial"/>
          <w:sz w:val="17"/>
          <w:szCs w:val="17"/>
          <w:color w:val="auto"/>
        </w:rPr>
        <w:t>”) to provide full operational support for our KOA clinical trial program. Under the terms of the Nordic Agreement, we were obligated to pay $10.2 million upon the achievement of specified milestones over the course of the clinical trial. Pursuant to the Nordic Agreement, we are obligated to reimburse NBCD for services performed through the effective termination date and for non-cancelable obligations reasonably incurred prior to that date. If we have prepaid NBCD for services performed, we are entitled to reimbursement to the extent that such funds have not been consumed. In addition, we have certain regulatory obligations for all trial participants enrolled in the study prior to the suspension of clinical trial activities.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preparing financial statements, we follow accounting principles generally accepted in the United States, which require us to make certain estimates and apply judgments that affect our financial position and results of operations. We regularly review our accounting policies and financial information disclosures. A summary of critical accounting estimates in preparing the financial statements was provided in our 2022 Form 10-K.</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during the period covered by this Quarterly Report, we identified the following critical accounting estimates which were not material to the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measure stock options and other stock-based awards granted to employees based on their fair value on the date of the grant and recognize the assessed fair value as share-based compensation expense, straight-line, over the requisite service period to achieve the award based on the vesting requirements, to the extent that the achievement of performance conditions associated with such awards, as applicable, are determined to be “probable.”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Share-based payment arrangements are measured at fair value on the grant date. The fair value of equity incentive awards, which are usually shares of our common stock, are generally measured at the last trading price on the grant date.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stock options is calculated using an appropriate valuation technique. The valuation technique generally requires us to make certain assumptions, including (1) the fair value of the common stock, (2) the expected volatility of our stock price, (3) the expected term of the award, (4) the risk-free interest rate, and (5) expected dividends. Our expectation for volatility is generally based on historical daily share price movements, with certain adjustments for abnormal share price activity associated with events which are not expected to recur during the expected term. The expected term of the award requires us to make assumptions regarding the post-vesting behavior of the recipients, which is based off available evidence. Our assumption for the risk-free rate is derived from prevailing U.S. Treasuries with similar terms to the award on the grant date. Our assumption for dividends is derived from our own dividend history.</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that any such awards are subject to a market condition, the resolution of the market condition is reflected in the fair value of the grant date. Further, the requisite service period associated with an award containing a market condition must derive the service period over which the market condition is expected to be met. Fair value and derived service periods are generally determined using a Monte Carlo simulation.</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to the determination of fair value, we recognize expense to the extent we evaluate that performance conditions associated with share-based payment arrangements are probable of occurring. In certain cases where the extent of vesting is based on the extent of achievement, we are required to determine the extent to which achievement is probable. We determine probable performance based on actual performance to date, internally-developed budgets and forecasts for periods covered by the relevant performance condition, and other evidence deemed relevant to this determination. We re-evaluate our probability assessments at least quarterly, with any revisions reflected as a cumulative adjustment to expense. Because of the cumulative nature of adjustments, during any period in which we re-evaluate probability, the adjustments could significantly impact our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of Estimate to Change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we granted stock options with a fair value on the grant date of $7.0 million. This estimate was determined using a Monte Carlo simulation using the following inputs: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80" w:type="dxa"/>
            <w:vAlign w:val="bottom"/>
            <w:gridSpan w:val="2"/>
          </w:tcPr>
          <w:p>
            <w:pPr>
              <w:ind w:left="460"/>
              <w:spacing w:after="0"/>
              <w:rPr>
                <w:sz w:val="20"/>
                <w:szCs w:val="20"/>
                <w:color w:val="auto"/>
              </w:rPr>
            </w:pPr>
            <w:r>
              <w:rPr>
                <w:rFonts w:ascii="Arial" w:cs="Arial" w:eastAsia="Arial" w:hAnsi="Arial"/>
                <w:sz w:val="18"/>
                <w:szCs w:val="18"/>
                <w:color w:val="auto"/>
              </w:rPr>
              <w:t>Assumption</w:t>
            </w:r>
          </w:p>
        </w:tc>
      </w:tr>
      <w:tr>
        <w:trPr>
          <w:trHeight w:val="223"/>
        </w:trPr>
        <w:tc>
          <w:tcPr>
            <w:tcW w:w="1820" w:type="dxa"/>
            <w:vAlign w:val="bottom"/>
          </w:tcPr>
          <w:p>
            <w:pPr>
              <w:spacing w:after="0"/>
              <w:rPr>
                <w:sz w:val="19"/>
                <w:szCs w:val="19"/>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 on grant date</w:t>
            </w:r>
          </w:p>
        </w:tc>
        <w:tc>
          <w:tcPr>
            <w:tcW w:w="14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3.70</w:t>
            </w:r>
          </w:p>
        </w:tc>
        <w:tc>
          <w:tcPr>
            <w:tcW w:w="1800" w:type="dxa"/>
            <w:vAlign w:val="bottom"/>
          </w:tcPr>
          <w:p>
            <w:pPr>
              <w:spacing w:after="0"/>
              <w:rPr>
                <w:sz w:val="19"/>
                <w:szCs w:val="19"/>
                <w:color w:val="auto"/>
              </w:rPr>
            </w:pPr>
          </w:p>
        </w:tc>
      </w:tr>
      <w:tr>
        <w:trPr>
          <w:trHeight w:val="237"/>
        </w:trPr>
        <w:tc>
          <w:tcPr>
            <w:tcW w:w="18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9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130"/>
              <w:spacing w:after="0"/>
              <w:rPr>
                <w:sz w:val="20"/>
                <w:szCs w:val="20"/>
                <w:color w:val="auto"/>
              </w:rPr>
            </w:pPr>
            <w:r>
              <w:rPr>
                <w:rFonts w:ascii="Arial" w:cs="Arial" w:eastAsia="Arial" w:hAnsi="Arial"/>
                <w:sz w:val="18"/>
                <w:szCs w:val="18"/>
                <w:color w:val="auto"/>
              </w:rPr>
              <w:t>3.70</w:t>
            </w:r>
          </w:p>
        </w:tc>
        <w:tc>
          <w:tcPr>
            <w:tcW w:w="1800" w:type="dxa"/>
            <w:vAlign w:val="bottom"/>
          </w:tcPr>
          <w:p>
            <w:pPr>
              <w:spacing w:after="0"/>
              <w:rPr>
                <w:sz w:val="20"/>
                <w:szCs w:val="20"/>
                <w:color w:val="auto"/>
              </w:rPr>
            </w:pPr>
          </w:p>
        </w:tc>
      </w:tr>
      <w:tr>
        <w:trPr>
          <w:trHeight w:val="236"/>
        </w:trPr>
        <w:tc>
          <w:tcPr>
            <w:tcW w:w="1820" w:type="dxa"/>
            <w:vAlign w:val="bottom"/>
          </w:tcPr>
          <w:p>
            <w:pPr>
              <w:spacing w:after="0"/>
              <w:rPr>
                <w:sz w:val="20"/>
                <w:szCs w:val="20"/>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800" w:type="dxa"/>
            <w:vAlign w:val="bottom"/>
          </w:tcPr>
          <w:p>
            <w:pPr>
              <w:spacing w:after="0"/>
              <w:rPr>
                <w:sz w:val="20"/>
                <w:szCs w:val="20"/>
                <w:color w:val="auto"/>
              </w:rPr>
            </w:pPr>
          </w:p>
        </w:tc>
      </w:tr>
      <w:tr>
        <w:trPr>
          <w:trHeight w:val="230"/>
        </w:trPr>
        <w:tc>
          <w:tcPr>
            <w:tcW w:w="18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Expected volatility (annualized)</w:t>
            </w: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75.00 %</w:t>
            </w:r>
          </w:p>
        </w:tc>
        <w:tc>
          <w:tcPr>
            <w:tcW w:w="1800" w:type="dxa"/>
            <w:vAlign w:val="bottom"/>
          </w:tcPr>
          <w:p>
            <w:pPr>
              <w:spacing w:after="0"/>
              <w:rPr>
                <w:sz w:val="19"/>
                <w:szCs w:val="19"/>
                <w:color w:val="auto"/>
              </w:rPr>
            </w:pPr>
          </w:p>
        </w:tc>
      </w:tr>
      <w:tr>
        <w:trPr>
          <w:trHeight w:val="243"/>
        </w:trPr>
        <w:tc>
          <w:tcPr>
            <w:tcW w:w="1820" w:type="dxa"/>
            <w:vAlign w:val="bottom"/>
          </w:tcPr>
          <w:p>
            <w:pPr>
              <w:spacing w:after="0"/>
              <w:rPr>
                <w:sz w:val="21"/>
                <w:szCs w:val="21"/>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0" w:type="dxa"/>
            <w:vAlign w:val="bottom"/>
          </w:tcPr>
          <w:p>
            <w:pPr>
              <w:spacing w:after="0"/>
              <w:rPr>
                <w:sz w:val="21"/>
                <w:szCs w:val="21"/>
                <w:color w:val="auto"/>
              </w:rPr>
            </w:pPr>
          </w:p>
        </w:tc>
      </w:tr>
      <w:tr>
        <w:trPr>
          <w:trHeight w:val="230"/>
        </w:trPr>
        <w:tc>
          <w:tcPr>
            <w:tcW w:w="18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Weighted average grant date fair value</w:t>
            </w:r>
          </w:p>
        </w:tc>
        <w:tc>
          <w:tcPr>
            <w:tcW w:w="19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1800" w:type="dxa"/>
            <w:vAlign w:val="bottom"/>
          </w:tcPr>
          <w:p>
            <w:pPr>
              <w:spacing w:after="0"/>
              <w:rPr>
                <w:sz w:val="20"/>
                <w:szCs w:val="20"/>
                <w:color w:val="auto"/>
              </w:rPr>
            </w:pPr>
          </w:p>
        </w:tc>
      </w:tr>
      <w:tr>
        <w:trPr>
          <w:trHeight w:val="863"/>
        </w:trPr>
        <w:tc>
          <w:tcPr>
            <w:tcW w:w="1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7"/>
        </w:trPr>
        <w:tc>
          <w:tcPr>
            <w:tcW w:w="18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The granted stock options reflected an expected term based on our expectations for exercise activity. Changes in any of these assumptions could result in a revised estimate of fair value of the granted stock options, which would impact the amount of expense recognized over the requisite service period, and could materially affect the total fair value or the amount of expense recognized in a particular period.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cumulative expense recognized for unvested performance stock unit awards was $0.9 million as of June 30, 2023. This is based on determinations regarding probable resolution or the extent of probable resolution of relevant performance conditions to earn such awards. If it is subsequently determined that the performance conditions associated with these awards are no longer probable of being met, or performance conditions which were determined to be probable of occurring do not actually occur, we could reverse up to this amount of expense in the period such determination is made. Furthermore, if probable levels of achievement are later determined to be greater, or actual achievement exceeds the level of achievement assessed as probable, we could record increases to expense to reflect this level of achievement. The amount of any incremental expense recognition or reversal will depend on the magnitude and timing of such change in estimate.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effect of recent accounting pronouncements,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the unaudited condensed consolidated financial statements contained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risks associated with changes in interest rates that could adversely affect our results of operations and financial condition. We do not hedge against interest rate risk.</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on our Term Loan is determined quarterly based on the 3-month SOFR rate, subject to a floor of 1.5%. As of June 30, 2023, the interest rate on our Term Loan was 12.1%. A 100 basis point change in SOFR, to the extent that such change would not cause SOFR to be below the 1.5% floor, would change our interest expense by $0.5 million on an annualized basis.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2023, we incurred $0.5 million and $0.9 million in incremental interest expense compared to the equivalent periods in the prior year resulting from increases in the relevant reference rate during the intervening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and 15d-15(e)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effective at a reasonable assurance level in ensuring that information required to be disclosed by us in reports that we file or submit under the Exchange Act (i) is recorded, processed, summarized and reported within the time periods specified in the SEC’s rules and forms and (ii) accumulated and communicated to management, including our Chief Executive Officer and Chief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 13a-15(f) and 15d-15(f) of the Exchange Act) that occurred during the fiscal quarter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and its subsidiaries are parties to numerous claims and lawsuits arising in the ordinary course of its business activities, some of which involve claims for substantial amounts. The ultimate outcome of these suits cannot be ascertained at this time. The description of our securities class action and the </w:t>
      </w:r>
      <w:r>
        <w:rPr>
          <w:rFonts w:ascii="Arial" w:cs="Arial" w:eastAsia="Arial" w:hAnsi="Arial"/>
          <w:sz w:val="18"/>
          <w:szCs w:val="18"/>
          <w:i w:val="1"/>
          <w:iCs w:val="1"/>
          <w:color w:val="auto"/>
        </w:rPr>
        <w:t>Welker v. MiMedx, et. Al case</w:t>
      </w:r>
      <w:r>
        <w:rPr>
          <w:rFonts w:ascii="Arial" w:cs="Arial" w:eastAsia="Arial" w:hAnsi="Arial"/>
          <w:sz w:val="18"/>
          <w:szCs w:val="18"/>
          <w:color w:val="auto"/>
        </w:rPr>
        <w:t xml:space="preserve"> contained in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“Commitments and Contingencies</w:t>
      </w:r>
      <w:r>
        <w:rPr>
          <w:rFonts w:ascii="Arial" w:cs="Arial" w:eastAsia="Arial" w:hAnsi="Arial"/>
          <w:sz w:val="18"/>
          <w:szCs w:val="18"/>
          <w:u w:val="single" w:color="auto"/>
          <w:color w:val="0000FF"/>
        </w:rPr>
        <w:t>,</w:t>
      </w:r>
      <w:r>
        <w:rPr>
          <w:rFonts w:ascii="Arial" w:cs="Arial" w:eastAsia="Arial" w:hAnsi="Arial"/>
          <w:sz w:val="18"/>
          <w:szCs w:val="18"/>
          <w:color w:val="auto"/>
        </w:rPr>
        <w:t>” to the unaudited condensed consolidated financial statements included in Part I, Item 1 of this Quarterly Report,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risk factors included in its 2022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333333"/>
        </w:rPr>
      </w:pPr>
      <w:r>
        <w:rPr>
          <w:rFonts w:ascii="Arial" w:cs="Arial" w:eastAsia="Arial" w:hAnsi="Arial"/>
          <w:sz w:val="18"/>
          <w:szCs w:val="18"/>
          <w:color w:val="333333"/>
        </w:rPr>
        <w:t>None.</w:t>
      </w:r>
    </w:p>
    <w:p>
      <w:pPr>
        <w:spacing w:after="0" w:line="252" w:lineRule="exact"/>
        <w:rPr>
          <w:rFonts w:ascii="Arial" w:cs="Arial" w:eastAsia="Arial" w:hAnsi="Arial"/>
          <w:sz w:val="18"/>
          <w:szCs w:val="18"/>
          <w:color w:val="333333"/>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3"/>
              </w:rPr>
              <w:t>Item 6. Exhibits</w:t>
            </w: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6"/>
              </w:rPr>
              <w:t>Exhibit</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5"/>
              </w:rPr>
              <w:t>Number</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3"/>
            <w:shd w:val="clear" w:color="auto" w:fill="BFE4FF"/>
          </w:tcPr>
          <w:p>
            <w:pPr>
              <w:jc w:val="center"/>
              <w:ind w:left="270"/>
              <w:spacing w:after="0" w:line="189" w:lineRule="exact"/>
              <w:rPr>
                <w:sz w:val="20"/>
                <w:szCs w:val="20"/>
                <w:color w:val="auto"/>
              </w:rPr>
            </w:pPr>
            <w:r>
              <w:rPr>
                <w:rFonts w:ascii="Arial" w:cs="Arial" w:eastAsia="Arial" w:hAnsi="Arial"/>
                <w:sz w:val="18"/>
                <w:szCs w:val="18"/>
                <w:color w:val="auto"/>
                <w:w w:val="99"/>
              </w:rPr>
              <w:t>3.1*</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660" w:type="dxa"/>
            <w:vAlign w:val="bottom"/>
            <w:gridSpan w:val="11"/>
            <w:shd w:val="clear" w:color="auto" w:fill="BFE4FF"/>
          </w:tcPr>
          <w:p>
            <w:pPr>
              <w:spacing w:after="0" w:line="189" w:lineRule="exact"/>
              <w:rPr>
                <w:rFonts w:ascii="Arial" w:cs="Arial" w:eastAsia="Arial" w:hAnsi="Arial"/>
                <w:sz w:val="18"/>
                <w:szCs w:val="18"/>
                <w:color w:val="auto"/>
                <w:w w:val="94"/>
              </w:rPr>
            </w:pPr>
            <w:hyperlink r:id="rId53">
              <w:r>
                <w:rPr>
                  <w:rFonts w:ascii="Arial" w:cs="Arial" w:eastAsia="Arial" w:hAnsi="Arial"/>
                  <w:sz w:val="18"/>
                  <w:szCs w:val="18"/>
                  <w:color w:val="auto"/>
                  <w:w w:val="94"/>
                </w:rPr>
                <w:t>Articles of Amendment to the Restated Articles of Incorporation of MiMedx Group, Inc., effective June 13, 2023 (</w:t>
              </w:r>
              <w:r>
                <w:rPr>
                  <w:rFonts w:ascii="Arial" w:cs="Arial" w:eastAsia="Arial" w:hAnsi="Arial"/>
                  <w:sz w:val="18"/>
                  <w:szCs w:val="18"/>
                  <w:color w:val="0000FF"/>
                  <w:w w:val="94"/>
                </w:rPr>
                <w:t>incorporated by</w:t>
              </w:r>
            </w:hyperlink>
          </w:p>
        </w:tc>
        <w:tc>
          <w:tcPr>
            <w:tcW w:w="0" w:type="dxa"/>
            <w:vAlign w:val="bottom"/>
          </w:tcPr>
          <w:p>
            <w:pPr>
              <w:spacing w:after="0"/>
              <w:rPr>
                <w:sz w:val="1"/>
                <w:szCs w:val="1"/>
                <w:color w:val="auto"/>
              </w:rPr>
            </w:pPr>
          </w:p>
        </w:tc>
      </w:tr>
      <w:tr>
        <w:trPr>
          <w:trHeight w:val="156"/>
        </w:trPr>
        <w:tc>
          <w:tcPr>
            <w:tcW w:w="3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58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600" w:type="dxa"/>
            <w:vAlign w:val="bottom"/>
            <w:tcBorders>
              <w:top w:val="single" w:sz="8" w:color="BFE4FF"/>
            </w:tcBorders>
            <w:shd w:val="clear" w:color="auto" w:fill="BFE4FF"/>
          </w:tcPr>
          <w:p>
            <w:pPr>
              <w:spacing w:after="0"/>
              <w:rPr>
                <w:sz w:val="13"/>
                <w:szCs w:val="13"/>
                <w:color w:val="auto"/>
              </w:rPr>
            </w:pPr>
          </w:p>
        </w:tc>
        <w:tc>
          <w:tcPr>
            <w:tcW w:w="8240" w:type="dxa"/>
            <w:vAlign w:val="bottom"/>
            <w:tcBorders>
              <w:top w:val="single" w:sz="8" w:color="BFE4FF"/>
            </w:tcBorders>
            <w:gridSpan w:val="8"/>
            <w:shd w:val="clear" w:color="auto" w:fill="BFE4FF"/>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3.1 to the Registrant’s Current Report on Form 8-K filed on June 20, 202</w:t>
              </w:r>
              <w:r>
                <w:rPr>
                  <w:rFonts w:ascii="Arial" w:cs="Arial" w:eastAsia="Arial" w:hAnsi="Arial"/>
                  <w:sz w:val="18"/>
                  <w:szCs w:val="18"/>
                  <w:color w:val="000000"/>
                </w:rPr>
                <w:t>3).</w:t>
              </w:r>
            </w:hyperlink>
          </w:p>
        </w:tc>
        <w:tc>
          <w:tcPr>
            <w:tcW w:w="114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BFE4FF"/>
            </w:tcBorders>
            <w:shd w:val="clear" w:color="auto" w:fill="BFE4FF"/>
          </w:tcPr>
          <w:p>
            <w:pPr>
              <w:spacing w:after="0"/>
              <w:rPr>
                <w:sz w:val="13"/>
                <w:szCs w:val="13"/>
                <w:color w:val="auto"/>
              </w:rPr>
            </w:pPr>
          </w:p>
        </w:tc>
        <w:tc>
          <w:tcPr>
            <w:tcW w:w="20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900" w:type="dxa"/>
            <w:vAlign w:val="bottom"/>
            <w:tcBorders>
              <w:top w:val="single" w:sz="8" w:color="0000FF"/>
            </w:tcBorders>
            <w:shd w:val="clear" w:color="auto" w:fill="BFE4FF"/>
          </w:tcPr>
          <w:p>
            <w:pPr>
              <w:spacing w:after="0" w:line="20" w:lineRule="exact"/>
              <w:rPr>
                <w:sz w:val="1"/>
                <w:szCs w:val="1"/>
                <w:color w:val="auto"/>
              </w:rPr>
            </w:pPr>
          </w:p>
        </w:tc>
        <w:tc>
          <w:tcPr>
            <w:tcW w:w="182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760" w:type="dxa"/>
            <w:vAlign w:val="bottom"/>
            <w:tcBorders>
              <w:top w:val="single" w:sz="8" w:color="0000FF"/>
            </w:tcBorders>
            <w:shd w:val="clear" w:color="auto" w:fill="BFE4FF"/>
          </w:tcPr>
          <w:p>
            <w:pPr>
              <w:spacing w:after="0" w:line="20" w:lineRule="exact"/>
              <w:rPr>
                <w:sz w:val="1"/>
                <w:szCs w:val="1"/>
                <w:color w:val="auto"/>
              </w:rPr>
            </w:pPr>
          </w:p>
        </w:tc>
        <w:tc>
          <w:tcPr>
            <w:tcW w:w="1400" w:type="dxa"/>
            <w:vAlign w:val="bottom"/>
            <w:tcBorders>
              <w:top w:val="single" w:sz="8" w:color="0000FF"/>
            </w:tcBorders>
            <w:shd w:val="clear" w:color="auto" w:fill="BFE4FF"/>
          </w:tcPr>
          <w:p>
            <w:pPr>
              <w:spacing w:after="0" w:line="20" w:lineRule="exact"/>
              <w:rPr>
                <w:sz w:val="1"/>
                <w:szCs w:val="1"/>
                <w:color w:val="auto"/>
              </w:rPr>
            </w:pPr>
          </w:p>
        </w:tc>
        <w:tc>
          <w:tcPr>
            <w:tcW w:w="700" w:type="dxa"/>
            <w:vAlign w:val="bottom"/>
            <w:tcBorders>
              <w:top w:val="single" w:sz="8" w:color="0000FF"/>
            </w:tcBorders>
            <w:shd w:val="clear" w:color="auto" w:fill="BFE4FF"/>
          </w:tcPr>
          <w:p>
            <w:pPr>
              <w:spacing w:after="0" w:line="20" w:lineRule="exact"/>
              <w:rPr>
                <w:sz w:val="1"/>
                <w:szCs w:val="1"/>
                <w:color w:val="auto"/>
              </w:rPr>
            </w:pPr>
          </w:p>
        </w:tc>
        <w:tc>
          <w:tcPr>
            <w:tcW w:w="1500" w:type="dxa"/>
            <w:vAlign w:val="bottom"/>
            <w:tcBorders>
              <w:top w:val="single" w:sz="8" w:color="BFE4FF"/>
            </w:tcBorders>
            <w:shd w:val="clear" w:color="auto" w:fill="BFE4FF"/>
          </w:tcPr>
          <w:p>
            <w:pPr>
              <w:spacing w:after="0" w:line="20" w:lineRule="exact"/>
              <w:rPr>
                <w:sz w:val="1"/>
                <w:szCs w:val="1"/>
                <w:color w:val="auto"/>
              </w:rPr>
            </w:pPr>
          </w:p>
        </w:tc>
        <w:tc>
          <w:tcPr>
            <w:tcW w:w="11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3"/>
          </w:tcPr>
          <w:p>
            <w:pPr>
              <w:jc w:val="center"/>
              <w:ind w:left="270"/>
              <w:spacing w:after="0" w:line="189" w:lineRule="exact"/>
              <w:rPr>
                <w:sz w:val="20"/>
                <w:szCs w:val="20"/>
                <w:color w:val="auto"/>
              </w:rPr>
            </w:pPr>
            <w:r>
              <w:rPr>
                <w:rFonts w:ascii="Arial" w:cs="Arial" w:eastAsia="Arial" w:hAnsi="Arial"/>
                <w:sz w:val="18"/>
                <w:szCs w:val="18"/>
                <w:color w:val="auto"/>
                <w:w w:val="95"/>
              </w:rPr>
              <w:t>10.1*</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60" w:type="dxa"/>
            <w:vAlign w:val="bottom"/>
            <w:gridSpan w:val="11"/>
          </w:tcPr>
          <w:p>
            <w:pPr>
              <w:spacing w:after="0" w:line="189" w:lineRule="exact"/>
              <w:rPr>
                <w:rFonts w:ascii="Arial" w:cs="Arial" w:eastAsia="Arial" w:hAnsi="Arial"/>
                <w:sz w:val="18"/>
                <w:szCs w:val="18"/>
                <w:color w:val="auto"/>
                <w:w w:val="92"/>
              </w:rPr>
            </w:pPr>
            <w:hyperlink r:id="rId54">
              <w:r>
                <w:rPr>
                  <w:rFonts w:ascii="Arial" w:cs="Arial" w:eastAsia="Arial" w:hAnsi="Arial"/>
                  <w:sz w:val="18"/>
                  <w:szCs w:val="18"/>
                  <w:color w:val="auto"/>
                  <w:w w:val="92"/>
                </w:rPr>
                <w:t>Amended and Restated MiMedx Group, Inc. 2016 Equity and Cash Incentive Plan (</w:t>
              </w:r>
              <w:r>
                <w:rPr>
                  <w:rFonts w:ascii="Arial" w:cs="Arial" w:eastAsia="Arial" w:hAnsi="Arial"/>
                  <w:sz w:val="18"/>
                  <w:szCs w:val="18"/>
                  <w:color w:val="0000FF"/>
                  <w:w w:val="92"/>
                </w:rPr>
                <w:t>incorporated by reference to Exhibit 10.5 to the</w:t>
              </w:r>
            </w:hyperlink>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40" w:type="dxa"/>
            <w:vAlign w:val="bottom"/>
            <w:gridSpan w:val="6"/>
          </w:tcPr>
          <w:p>
            <w:pPr>
              <w:spacing w:after="0" w:line="169" w:lineRule="exact"/>
              <w:rPr>
                <w:rFonts w:ascii="Arial" w:cs="Arial" w:eastAsia="Arial" w:hAnsi="Arial"/>
                <w:sz w:val="18"/>
                <w:szCs w:val="18"/>
                <w:color w:val="0000FF"/>
              </w:rPr>
            </w:pPr>
            <w:hyperlink r:id="rId54">
              <w:r>
                <w:rPr>
                  <w:rFonts w:ascii="Arial" w:cs="Arial" w:eastAsia="Arial" w:hAnsi="Arial"/>
                  <w:sz w:val="18"/>
                  <w:szCs w:val="18"/>
                  <w:color w:val="0000FF"/>
                </w:rPr>
                <w:t>Registrant’s Current Report on Form 8-K filed on June 20, 2023</w:t>
              </w:r>
              <w:r>
                <w:rPr>
                  <w:rFonts w:ascii="Arial" w:cs="Arial" w:eastAsia="Arial" w:hAnsi="Arial"/>
                  <w:sz w:val="18"/>
                  <w:szCs w:val="18"/>
                  <w:color w:val="000000"/>
                </w:rPr>
                <w:t>).</w:t>
              </w:r>
            </w:hyperlink>
          </w:p>
        </w:tc>
        <w:tc>
          <w:tcPr>
            <w:tcW w:w="3420" w:type="dxa"/>
            <w:vAlign w:val="bottom"/>
            <w:tcBorders>
              <w:top w:val="single" w:sz="8" w:color="0000FF"/>
            </w:tcBorders>
            <w:gridSpan w:val="4"/>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gridSpan w:val="3"/>
            <w:shd w:val="clear" w:color="auto" w:fill="BFE4FF"/>
          </w:tcPr>
          <w:p>
            <w:pPr>
              <w:jc w:val="center"/>
              <w:ind w:left="270"/>
              <w:spacing w:after="0" w:line="189" w:lineRule="exact"/>
              <w:rPr>
                <w:sz w:val="20"/>
                <w:szCs w:val="20"/>
                <w:color w:val="auto"/>
              </w:rPr>
            </w:pPr>
            <w:r>
              <w:rPr>
                <w:rFonts w:ascii="Arial" w:cs="Arial" w:eastAsia="Arial" w:hAnsi="Arial"/>
                <w:sz w:val="18"/>
                <w:szCs w:val="18"/>
                <w:color w:val="auto"/>
                <w:w w:val="88"/>
              </w:rPr>
              <w:t>10.2#</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660" w:type="dxa"/>
            <w:vAlign w:val="bottom"/>
            <w:gridSpan w:val="11"/>
            <w:shd w:val="clear" w:color="auto" w:fill="BFE4FF"/>
          </w:tcPr>
          <w:p>
            <w:pPr>
              <w:spacing w:after="0" w:line="189" w:lineRule="exact"/>
              <w:rPr>
                <w:sz w:val="20"/>
                <w:szCs w:val="20"/>
                <w:color w:val="auto"/>
              </w:rPr>
            </w:pPr>
            <w:r>
              <w:rPr>
                <w:rFonts w:ascii="Arial" w:cs="Arial" w:eastAsia="Arial" w:hAnsi="Arial"/>
                <w:sz w:val="18"/>
                <w:szCs w:val="18"/>
                <w:color w:val="0000FF"/>
                <w:w w:val="92"/>
              </w:rPr>
              <w:t>Amendment No. 2 to Loan Agreement dated as of June 15, 2023</w:t>
            </w:r>
            <w:r>
              <w:rPr>
                <w:rFonts w:ascii="Arial" w:cs="Arial" w:eastAsia="Arial" w:hAnsi="Arial"/>
                <w:sz w:val="18"/>
                <w:szCs w:val="18"/>
                <w:color w:val="000000"/>
                <w:w w:val="92"/>
              </w:rPr>
              <w:t>, which amends that certain Loan Agreement dated as of June 30,</w:t>
            </w:r>
          </w:p>
        </w:tc>
        <w:tc>
          <w:tcPr>
            <w:tcW w:w="0" w:type="dxa"/>
            <w:vAlign w:val="bottom"/>
          </w:tcPr>
          <w:p>
            <w:pPr>
              <w:spacing w:after="0"/>
              <w:rPr>
                <w:sz w:val="1"/>
                <w:szCs w:val="1"/>
                <w:color w:val="auto"/>
              </w:rPr>
            </w:pPr>
          </w:p>
        </w:tc>
      </w:tr>
      <w:tr>
        <w:trPr>
          <w:trHeight w:val="155"/>
        </w:trPr>
        <w:tc>
          <w:tcPr>
            <w:tcW w:w="3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58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600" w:type="dxa"/>
            <w:vAlign w:val="bottom"/>
            <w:tcBorders>
              <w:top w:val="single" w:sz="8" w:color="BFE4FF"/>
            </w:tcBorders>
            <w:shd w:val="clear" w:color="auto" w:fill="BFE4FF"/>
          </w:tcPr>
          <w:p>
            <w:pPr>
              <w:spacing w:after="0"/>
              <w:rPr>
                <w:sz w:val="13"/>
                <w:szCs w:val="13"/>
                <w:color w:val="auto"/>
              </w:rPr>
            </w:pPr>
          </w:p>
        </w:tc>
        <w:tc>
          <w:tcPr>
            <w:tcW w:w="4640" w:type="dxa"/>
            <w:vAlign w:val="bottom"/>
            <w:tcBorders>
              <w:top w:val="single" w:sz="8" w:color="0000FF"/>
            </w:tcBorders>
            <w:gridSpan w:val="5"/>
            <w:shd w:val="clear" w:color="auto" w:fill="BFE4FF"/>
          </w:tcPr>
          <w:p>
            <w:pPr>
              <w:spacing w:after="0" w:line="154" w:lineRule="exact"/>
              <w:rPr>
                <w:sz w:val="20"/>
                <w:szCs w:val="20"/>
                <w:color w:val="auto"/>
              </w:rPr>
            </w:pPr>
            <w:r>
              <w:rPr>
                <w:rFonts w:ascii="Arial" w:cs="Arial" w:eastAsia="Arial" w:hAnsi="Arial"/>
                <w:sz w:val="17"/>
                <w:szCs w:val="17"/>
                <w:color w:val="auto"/>
                <w:w w:val="96"/>
              </w:rPr>
              <w:t>2020 by and among MiMedx Group, Inc., certain subsidiaries of</w:t>
            </w:r>
          </w:p>
        </w:tc>
        <w:tc>
          <w:tcPr>
            <w:tcW w:w="5020" w:type="dxa"/>
            <w:vAlign w:val="bottom"/>
            <w:tcBorders>
              <w:top w:val="single" w:sz="8" w:color="BFE4FF"/>
            </w:tcBorders>
            <w:gridSpan w:val="6"/>
            <w:shd w:val="clear" w:color="auto" w:fill="BFE4FF"/>
          </w:tcPr>
          <w:p>
            <w:pPr>
              <w:ind w:left="40"/>
              <w:spacing w:after="0" w:line="154" w:lineRule="exact"/>
              <w:rPr>
                <w:sz w:val="20"/>
                <w:szCs w:val="20"/>
                <w:color w:val="auto"/>
              </w:rPr>
            </w:pPr>
            <w:r>
              <w:rPr>
                <w:rFonts w:ascii="Arial" w:cs="Arial" w:eastAsia="Arial" w:hAnsi="Arial"/>
                <w:sz w:val="17"/>
                <w:szCs w:val="17"/>
                <w:color w:val="auto"/>
              </w:rPr>
              <w:t>MiMedx Group, Inc. parties thereto, the Lenders from time to time</w:t>
            </w:r>
          </w:p>
        </w:tc>
        <w:tc>
          <w:tcPr>
            <w:tcW w:w="0" w:type="dxa"/>
            <w:vAlign w:val="bottom"/>
          </w:tcPr>
          <w:p>
            <w:pPr>
              <w:spacing w:after="0"/>
              <w:rPr>
                <w:sz w:val="1"/>
                <w:szCs w:val="1"/>
                <w:color w:val="auto"/>
              </w:rPr>
            </w:pPr>
          </w:p>
        </w:tc>
      </w:tr>
      <w:tr>
        <w:trPr>
          <w:trHeight w:val="230"/>
        </w:trPr>
        <w:tc>
          <w:tcPr>
            <w:tcW w:w="320" w:type="dxa"/>
            <w:vAlign w:val="bottom"/>
            <w:shd w:val="clear" w:color="auto" w:fill="BFE4FF"/>
          </w:tcPr>
          <w:p>
            <w:pPr>
              <w:spacing w:after="0"/>
              <w:rPr>
                <w:sz w:val="20"/>
                <w:szCs w:val="20"/>
                <w:color w:val="auto"/>
              </w:rPr>
            </w:pPr>
          </w:p>
        </w:tc>
        <w:tc>
          <w:tcPr>
            <w:tcW w:w="20" w:type="dxa"/>
            <w:vAlign w:val="bottom"/>
            <w:shd w:val="clear" w:color="auto" w:fill="BFE4FF"/>
          </w:tcPr>
          <w:p>
            <w:pPr>
              <w:spacing w:after="0"/>
              <w:rPr>
                <w:sz w:val="20"/>
                <w:szCs w:val="20"/>
                <w:color w:val="auto"/>
              </w:rPr>
            </w:pPr>
          </w:p>
        </w:tc>
        <w:tc>
          <w:tcPr>
            <w:tcW w:w="580" w:type="dxa"/>
            <w:vAlign w:val="bottom"/>
            <w:shd w:val="clear" w:color="auto" w:fill="BFE4FF"/>
          </w:tcPr>
          <w:p>
            <w:pPr>
              <w:spacing w:after="0"/>
              <w:rPr>
                <w:sz w:val="20"/>
                <w:szCs w:val="20"/>
                <w:color w:val="auto"/>
              </w:rPr>
            </w:pPr>
          </w:p>
        </w:tc>
        <w:tc>
          <w:tcPr>
            <w:tcW w:w="40" w:type="dxa"/>
            <w:vAlign w:val="bottom"/>
            <w:shd w:val="clear" w:color="auto" w:fill="BFE4FF"/>
          </w:tcPr>
          <w:p>
            <w:pPr>
              <w:spacing w:after="0"/>
              <w:rPr>
                <w:sz w:val="20"/>
                <w:szCs w:val="20"/>
                <w:color w:val="auto"/>
              </w:rPr>
            </w:pPr>
          </w:p>
        </w:tc>
        <w:tc>
          <w:tcPr>
            <w:tcW w:w="600" w:type="dxa"/>
            <w:vAlign w:val="bottom"/>
            <w:shd w:val="clear" w:color="auto" w:fill="BFE4FF"/>
          </w:tcPr>
          <w:p>
            <w:pPr>
              <w:spacing w:after="0"/>
              <w:rPr>
                <w:sz w:val="20"/>
                <w:szCs w:val="20"/>
                <w:color w:val="auto"/>
              </w:rPr>
            </w:pPr>
          </w:p>
        </w:tc>
        <w:tc>
          <w:tcPr>
            <w:tcW w:w="9660" w:type="dxa"/>
            <w:vAlign w:val="bottom"/>
            <w:gridSpan w:val="11"/>
            <w:shd w:val="clear" w:color="auto" w:fill="BFE4FF"/>
          </w:tcPr>
          <w:p>
            <w:pPr>
              <w:spacing w:after="0"/>
              <w:rPr>
                <w:sz w:val="20"/>
                <w:szCs w:val="20"/>
                <w:color w:val="auto"/>
              </w:rPr>
            </w:pPr>
            <w:r>
              <w:rPr>
                <w:rFonts w:ascii="Arial" w:cs="Arial" w:eastAsia="Arial" w:hAnsi="Arial"/>
                <w:sz w:val="18"/>
                <w:szCs w:val="18"/>
                <w:color w:val="auto"/>
                <w:w w:val="99"/>
              </w:rPr>
              <w:t>party hereto, Hayfin Services LLP, as administrative agent for the Lenders and as collateral agent for the Secured Parties.</w:t>
            </w:r>
          </w:p>
        </w:tc>
        <w:tc>
          <w:tcPr>
            <w:tcW w:w="0" w:type="dxa"/>
            <w:vAlign w:val="bottom"/>
          </w:tcPr>
          <w:p>
            <w:pPr>
              <w:spacing w:after="0"/>
              <w:rPr>
                <w:sz w:val="1"/>
                <w:szCs w:val="1"/>
                <w:color w:val="auto"/>
              </w:rPr>
            </w:pPr>
          </w:p>
        </w:tc>
      </w:tr>
      <w:tr>
        <w:trPr>
          <w:trHeight w:val="486"/>
        </w:trPr>
        <w:tc>
          <w:tcPr>
            <w:tcW w:w="320" w:type="dxa"/>
            <w:vAlign w:val="bottom"/>
            <w:shd w:val="clear" w:color="auto" w:fill="BFE4FF"/>
          </w:tcPr>
          <w:p>
            <w:pPr>
              <w:spacing w:after="0"/>
              <w:rPr>
                <w:sz w:val="24"/>
                <w:szCs w:val="24"/>
                <w:color w:val="auto"/>
              </w:rPr>
            </w:pPr>
          </w:p>
        </w:tc>
        <w:tc>
          <w:tcPr>
            <w:tcW w:w="20" w:type="dxa"/>
            <w:vAlign w:val="bottom"/>
            <w:shd w:val="clear" w:color="auto" w:fill="BFE4FF"/>
          </w:tcPr>
          <w:p>
            <w:pPr>
              <w:spacing w:after="0"/>
              <w:rPr>
                <w:sz w:val="24"/>
                <w:szCs w:val="24"/>
                <w:color w:val="auto"/>
              </w:rPr>
            </w:pPr>
          </w:p>
        </w:tc>
        <w:tc>
          <w:tcPr>
            <w:tcW w:w="5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600" w:type="dxa"/>
            <w:vAlign w:val="bottom"/>
            <w:shd w:val="clear" w:color="auto" w:fill="BFE4FF"/>
          </w:tcPr>
          <w:p>
            <w:pPr>
              <w:spacing w:after="0"/>
              <w:rPr>
                <w:sz w:val="24"/>
                <w:szCs w:val="24"/>
                <w:color w:val="auto"/>
              </w:rPr>
            </w:pPr>
          </w:p>
        </w:tc>
        <w:tc>
          <w:tcPr>
            <w:tcW w:w="900" w:type="dxa"/>
            <w:vAlign w:val="bottom"/>
            <w:shd w:val="clear" w:color="auto" w:fill="BFE4FF"/>
          </w:tcPr>
          <w:p>
            <w:pPr>
              <w:spacing w:after="0"/>
              <w:rPr>
                <w:sz w:val="24"/>
                <w:szCs w:val="24"/>
                <w:color w:val="auto"/>
              </w:rPr>
            </w:pPr>
          </w:p>
        </w:tc>
        <w:tc>
          <w:tcPr>
            <w:tcW w:w="18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760" w:type="dxa"/>
            <w:vAlign w:val="bottom"/>
            <w:shd w:val="clear" w:color="auto" w:fill="BFE4FF"/>
          </w:tcPr>
          <w:p>
            <w:pPr>
              <w:spacing w:after="0"/>
              <w:rPr>
                <w:sz w:val="24"/>
                <w:szCs w:val="24"/>
                <w:color w:val="auto"/>
              </w:rPr>
            </w:pPr>
          </w:p>
        </w:tc>
        <w:tc>
          <w:tcPr>
            <w:tcW w:w="1400" w:type="dxa"/>
            <w:vAlign w:val="bottom"/>
            <w:shd w:val="clear" w:color="auto" w:fill="BFE4FF"/>
          </w:tcPr>
          <w:p>
            <w:pPr>
              <w:spacing w:after="0"/>
              <w:rPr>
                <w:sz w:val="24"/>
                <w:szCs w:val="24"/>
                <w:color w:val="auto"/>
              </w:rPr>
            </w:pPr>
          </w:p>
        </w:tc>
        <w:tc>
          <w:tcPr>
            <w:tcW w:w="700" w:type="dxa"/>
            <w:vAlign w:val="bottom"/>
            <w:shd w:val="clear" w:color="auto" w:fill="BFE4FF"/>
          </w:tcPr>
          <w:p>
            <w:pPr>
              <w:spacing w:after="0"/>
              <w:rPr>
                <w:sz w:val="24"/>
                <w:szCs w:val="24"/>
                <w:color w:val="auto"/>
              </w:rPr>
            </w:pPr>
          </w:p>
        </w:tc>
        <w:tc>
          <w:tcPr>
            <w:tcW w:w="1500" w:type="dxa"/>
            <w:vAlign w:val="bottom"/>
            <w:shd w:val="clear" w:color="auto" w:fill="BFE4FF"/>
          </w:tcPr>
          <w:p>
            <w:pPr>
              <w:spacing w:after="0"/>
              <w:rPr>
                <w:sz w:val="24"/>
                <w:szCs w:val="24"/>
                <w:color w:val="auto"/>
              </w:rPr>
            </w:pPr>
          </w:p>
        </w:tc>
        <w:tc>
          <w:tcPr>
            <w:tcW w:w="114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2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91"/>
              </w:rPr>
              <w:t>31.1 #</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60" w:type="dxa"/>
            <w:vAlign w:val="bottom"/>
            <w:gridSpan w:val="11"/>
          </w:tcPr>
          <w:p>
            <w:pPr>
              <w:spacing w:after="0" w:line="189" w:lineRule="exact"/>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pursuant to Section 302 of the Sarbanes-Oxley Act of 2002.</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91"/>
              </w:rPr>
              <w:t>31.2 #</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660" w:type="dxa"/>
            <w:vAlign w:val="bottom"/>
            <w:gridSpan w:val="11"/>
            <w:shd w:val="clear" w:color="auto" w:fill="BFE4FF"/>
          </w:tcPr>
          <w:p>
            <w:pPr>
              <w:spacing w:after="0" w:line="189" w:lineRule="exact"/>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rPr>
              <w:t>pursuant to Section 302 of the Sarbanes-Oxley Act of 2002.</w:t>
            </w:r>
          </w:p>
        </w:tc>
        <w:tc>
          <w:tcPr>
            <w:tcW w:w="0" w:type="dxa"/>
            <w:vAlign w:val="bottom"/>
          </w:tcPr>
          <w:p>
            <w:pPr>
              <w:spacing w:after="0"/>
              <w:rPr>
                <w:sz w:val="1"/>
                <w:szCs w:val="1"/>
                <w:color w:val="auto"/>
              </w:rPr>
            </w:pPr>
          </w:p>
        </w:tc>
      </w:tr>
      <w:tr>
        <w:trPr>
          <w:trHeight w:val="34"/>
        </w:trPr>
        <w:tc>
          <w:tcPr>
            <w:tcW w:w="320" w:type="dxa"/>
            <w:vAlign w:val="bottom"/>
            <w:tcBorders>
              <w:top w:val="single" w:sz="8" w:color="BFE4FF"/>
            </w:tcBorders>
            <w:shd w:val="clear" w:color="auto" w:fill="BFE4FF"/>
          </w:tcPr>
          <w:p>
            <w:pPr>
              <w:spacing w:after="0"/>
              <w:rPr>
                <w:sz w:val="2"/>
                <w:szCs w:val="2"/>
                <w:color w:val="auto"/>
              </w:rPr>
            </w:pPr>
          </w:p>
        </w:tc>
        <w:tc>
          <w:tcPr>
            <w:tcW w:w="20" w:type="dxa"/>
            <w:vAlign w:val="bottom"/>
            <w:tcBorders>
              <w:top w:val="single" w:sz="8" w:color="BFE4FF"/>
            </w:tcBorders>
            <w:shd w:val="clear" w:color="auto" w:fill="BFE4FF"/>
          </w:tcPr>
          <w:p>
            <w:pPr>
              <w:spacing w:after="0"/>
              <w:rPr>
                <w:sz w:val="2"/>
                <w:szCs w:val="2"/>
                <w:color w:val="auto"/>
              </w:rPr>
            </w:pPr>
          </w:p>
        </w:tc>
        <w:tc>
          <w:tcPr>
            <w:tcW w:w="580" w:type="dxa"/>
            <w:vAlign w:val="bottom"/>
            <w:tcBorders>
              <w:top w:val="single" w:sz="8" w:color="BFE4FF"/>
            </w:tcBorders>
            <w:shd w:val="clear" w:color="auto" w:fill="BFE4FF"/>
          </w:tcPr>
          <w:p>
            <w:pPr>
              <w:spacing w:after="0"/>
              <w:rPr>
                <w:sz w:val="2"/>
                <w:szCs w:val="2"/>
                <w:color w:val="auto"/>
              </w:rPr>
            </w:pPr>
          </w:p>
        </w:tc>
        <w:tc>
          <w:tcPr>
            <w:tcW w:w="40" w:type="dxa"/>
            <w:vAlign w:val="bottom"/>
            <w:tcBorders>
              <w:top w:val="single" w:sz="8" w:color="BFE4FF"/>
            </w:tcBorders>
            <w:shd w:val="clear" w:color="auto" w:fill="BFE4FF"/>
          </w:tcPr>
          <w:p>
            <w:pPr>
              <w:spacing w:after="0"/>
              <w:rPr>
                <w:sz w:val="2"/>
                <w:szCs w:val="2"/>
                <w:color w:val="auto"/>
              </w:rPr>
            </w:pPr>
          </w:p>
        </w:tc>
        <w:tc>
          <w:tcPr>
            <w:tcW w:w="600" w:type="dxa"/>
            <w:vAlign w:val="bottom"/>
            <w:tcBorders>
              <w:top w:val="single" w:sz="8" w:color="BFE4FF"/>
            </w:tcBorders>
            <w:shd w:val="clear" w:color="auto" w:fill="BFE4FF"/>
          </w:tcPr>
          <w:p>
            <w:pPr>
              <w:spacing w:after="0"/>
              <w:rPr>
                <w:sz w:val="2"/>
                <w:szCs w:val="2"/>
                <w:color w:val="auto"/>
              </w:rPr>
            </w:pPr>
          </w:p>
        </w:tc>
        <w:tc>
          <w:tcPr>
            <w:tcW w:w="900" w:type="dxa"/>
            <w:vAlign w:val="bottom"/>
            <w:tcBorders>
              <w:top w:val="single" w:sz="8" w:color="0000FF"/>
            </w:tcBorders>
            <w:shd w:val="clear" w:color="auto" w:fill="BFE4FF"/>
          </w:tcPr>
          <w:p>
            <w:pPr>
              <w:spacing w:after="0"/>
              <w:rPr>
                <w:sz w:val="2"/>
                <w:szCs w:val="2"/>
                <w:color w:val="auto"/>
              </w:rPr>
            </w:pPr>
          </w:p>
        </w:tc>
        <w:tc>
          <w:tcPr>
            <w:tcW w:w="1820" w:type="dxa"/>
            <w:vAlign w:val="bottom"/>
            <w:tcBorders>
              <w:top w:val="single" w:sz="8" w:color="0000FF"/>
            </w:tcBorders>
            <w:shd w:val="clear" w:color="auto" w:fill="BFE4FF"/>
          </w:tcPr>
          <w:p>
            <w:pPr>
              <w:spacing w:after="0"/>
              <w:rPr>
                <w:sz w:val="2"/>
                <w:szCs w:val="2"/>
                <w:color w:val="auto"/>
              </w:rPr>
            </w:pPr>
          </w:p>
        </w:tc>
        <w:tc>
          <w:tcPr>
            <w:tcW w:w="120" w:type="dxa"/>
            <w:vAlign w:val="bottom"/>
            <w:tcBorders>
              <w:top w:val="single" w:sz="8" w:color="0000FF"/>
            </w:tcBorders>
            <w:shd w:val="clear" w:color="auto" w:fill="BFE4FF"/>
          </w:tcPr>
          <w:p>
            <w:pPr>
              <w:spacing w:after="0"/>
              <w:rPr>
                <w:sz w:val="2"/>
                <w:szCs w:val="2"/>
                <w:color w:val="auto"/>
              </w:rPr>
            </w:pPr>
          </w:p>
        </w:tc>
        <w:tc>
          <w:tcPr>
            <w:tcW w:w="40" w:type="dxa"/>
            <w:vAlign w:val="bottom"/>
            <w:tcBorders>
              <w:top w:val="single" w:sz="8" w:color="BFE4FF"/>
            </w:tcBorders>
            <w:shd w:val="clear" w:color="auto" w:fill="BFE4FF"/>
          </w:tcPr>
          <w:p>
            <w:pPr>
              <w:spacing w:after="0"/>
              <w:rPr>
                <w:sz w:val="2"/>
                <w:szCs w:val="2"/>
                <w:color w:val="auto"/>
              </w:rPr>
            </w:pPr>
          </w:p>
        </w:tc>
        <w:tc>
          <w:tcPr>
            <w:tcW w:w="1760" w:type="dxa"/>
            <w:vAlign w:val="bottom"/>
            <w:tcBorders>
              <w:top w:val="single" w:sz="8" w:color="BFE4FF"/>
            </w:tcBorders>
            <w:shd w:val="clear" w:color="auto" w:fill="BFE4FF"/>
          </w:tcPr>
          <w:p>
            <w:pPr>
              <w:spacing w:after="0"/>
              <w:rPr>
                <w:sz w:val="2"/>
                <w:szCs w:val="2"/>
                <w:color w:val="auto"/>
              </w:rPr>
            </w:pPr>
          </w:p>
        </w:tc>
        <w:tc>
          <w:tcPr>
            <w:tcW w:w="1400" w:type="dxa"/>
            <w:vAlign w:val="bottom"/>
            <w:tcBorders>
              <w:top w:val="single" w:sz="8" w:color="BFE4FF"/>
            </w:tcBorders>
            <w:shd w:val="clear" w:color="auto" w:fill="BFE4FF"/>
          </w:tcPr>
          <w:p>
            <w:pPr>
              <w:spacing w:after="0"/>
              <w:rPr>
                <w:sz w:val="2"/>
                <w:szCs w:val="2"/>
                <w:color w:val="auto"/>
              </w:rPr>
            </w:pPr>
          </w:p>
        </w:tc>
        <w:tc>
          <w:tcPr>
            <w:tcW w:w="700" w:type="dxa"/>
            <w:vAlign w:val="bottom"/>
            <w:tcBorders>
              <w:top w:val="single" w:sz="8" w:color="BFE4FF"/>
            </w:tcBorders>
            <w:shd w:val="clear" w:color="auto" w:fill="BFE4FF"/>
          </w:tcPr>
          <w:p>
            <w:pPr>
              <w:spacing w:after="0"/>
              <w:rPr>
                <w:sz w:val="2"/>
                <w:szCs w:val="2"/>
                <w:color w:val="auto"/>
              </w:rPr>
            </w:pPr>
          </w:p>
        </w:tc>
        <w:tc>
          <w:tcPr>
            <w:tcW w:w="1500" w:type="dxa"/>
            <w:vAlign w:val="bottom"/>
            <w:tcBorders>
              <w:top w:val="single" w:sz="8" w:color="BFE4FF"/>
            </w:tcBorders>
            <w:shd w:val="clear" w:color="auto" w:fill="BFE4FF"/>
          </w:tcPr>
          <w:p>
            <w:pPr>
              <w:spacing w:after="0"/>
              <w:rPr>
                <w:sz w:val="2"/>
                <w:szCs w:val="2"/>
                <w:color w:val="auto"/>
              </w:rPr>
            </w:pPr>
          </w:p>
        </w:tc>
        <w:tc>
          <w:tcPr>
            <w:tcW w:w="1140" w:type="dxa"/>
            <w:vAlign w:val="bottom"/>
            <w:tcBorders>
              <w:top w:val="single" w:sz="8" w:color="BFE4FF"/>
            </w:tcBorders>
            <w:shd w:val="clear" w:color="auto" w:fill="BFE4FF"/>
          </w:tcPr>
          <w:p>
            <w:pPr>
              <w:spacing w:after="0"/>
              <w:rPr>
                <w:sz w:val="2"/>
                <w:szCs w:val="2"/>
                <w:color w:val="auto"/>
              </w:rPr>
            </w:pPr>
          </w:p>
        </w:tc>
        <w:tc>
          <w:tcPr>
            <w:tcW w:w="80" w:type="dxa"/>
            <w:vAlign w:val="bottom"/>
            <w:tcBorders>
              <w:top w:val="single" w:sz="8" w:color="BFE4FF"/>
            </w:tcBorders>
            <w:shd w:val="clear" w:color="auto" w:fill="BFE4FF"/>
          </w:tcPr>
          <w:p>
            <w:pPr>
              <w:spacing w:after="0"/>
              <w:rPr>
                <w:sz w:val="2"/>
                <w:szCs w:val="2"/>
                <w:color w:val="auto"/>
              </w:rPr>
            </w:pPr>
          </w:p>
        </w:tc>
        <w:tc>
          <w:tcPr>
            <w:tcW w:w="200" w:type="dxa"/>
            <w:vAlign w:val="bottom"/>
            <w:tcBorders>
              <w:top w:val="single" w:sz="8" w:color="BFE4FF"/>
            </w:tcBorders>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91"/>
              </w:rPr>
              <w:t>32.1 #</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60" w:type="dxa"/>
            <w:vAlign w:val="bottom"/>
            <w:gridSpan w:val="11"/>
          </w:tcPr>
          <w:p>
            <w:pPr>
              <w:spacing w:after="0" w:line="189" w:lineRule="exact"/>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pursuant to Section 906 of the Sarbanes-Oxley Act of 2002.</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91"/>
              </w:rPr>
              <w:t>32.2 #</w:t>
            </w:r>
          </w:p>
        </w:tc>
        <w:tc>
          <w:tcPr>
            <w:tcW w:w="4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9660" w:type="dxa"/>
            <w:vAlign w:val="bottom"/>
            <w:gridSpan w:val="11"/>
            <w:shd w:val="clear" w:color="auto" w:fill="BFE4FF"/>
          </w:tcPr>
          <w:p>
            <w:pPr>
              <w:spacing w:after="0" w:line="189" w:lineRule="exact"/>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rPr>
              <w:t>pursuant to Section 906 of the Sarbanes-Oxley Act of 2002.</w:t>
            </w:r>
          </w:p>
        </w:tc>
        <w:tc>
          <w:tcPr>
            <w:tcW w:w="0" w:type="dxa"/>
            <w:vAlign w:val="bottom"/>
          </w:tcPr>
          <w:p>
            <w:pPr>
              <w:spacing w:after="0"/>
              <w:rPr>
                <w:sz w:val="1"/>
                <w:szCs w:val="1"/>
                <w:color w:val="auto"/>
              </w:rPr>
            </w:pPr>
          </w:p>
        </w:tc>
      </w:tr>
      <w:tr>
        <w:trPr>
          <w:trHeight w:val="237"/>
        </w:trPr>
        <w:tc>
          <w:tcPr>
            <w:tcW w:w="1560" w:type="dxa"/>
            <w:vAlign w:val="bottom"/>
            <w:tcBorders>
              <w:top w:val="single" w:sz="8" w:color="BFE4FF"/>
            </w:tcBorders>
            <w:gridSpan w:val="5"/>
          </w:tcPr>
          <w:p>
            <w:pPr>
              <w:jc w:val="center"/>
              <w:ind w:right="300"/>
              <w:spacing w:after="0"/>
              <w:rPr>
                <w:sz w:val="20"/>
                <w:szCs w:val="20"/>
                <w:color w:val="auto"/>
              </w:rPr>
            </w:pPr>
            <w:r>
              <w:rPr>
                <w:rFonts w:ascii="Arial" w:cs="Arial" w:eastAsia="Arial" w:hAnsi="Arial"/>
                <w:sz w:val="18"/>
                <w:szCs w:val="18"/>
                <w:color w:val="auto"/>
                <w:w w:val="92"/>
              </w:rPr>
              <w:t>101.INS #</w:t>
            </w:r>
          </w:p>
        </w:tc>
        <w:tc>
          <w:tcPr>
            <w:tcW w:w="28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6820" w:type="dxa"/>
            <w:vAlign w:val="bottom"/>
            <w:tcBorders>
              <w:top w:val="single" w:sz="8" w:color="BFE4FF"/>
            </w:tcBorders>
            <w:gridSpan w:val="8"/>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60" w:type="dxa"/>
            <w:vAlign w:val="bottom"/>
            <w:gridSpan w:val="5"/>
            <w:shd w:val="clear" w:color="auto" w:fill="BFE4FF"/>
          </w:tcPr>
          <w:p>
            <w:pPr>
              <w:jc w:val="center"/>
              <w:ind w:right="280"/>
              <w:spacing w:after="0"/>
              <w:rPr>
                <w:sz w:val="20"/>
                <w:szCs w:val="20"/>
                <w:color w:val="auto"/>
              </w:rPr>
            </w:pPr>
            <w:r>
              <w:rPr>
                <w:rFonts w:ascii="Arial" w:cs="Arial" w:eastAsia="Arial" w:hAnsi="Arial"/>
                <w:sz w:val="18"/>
                <w:szCs w:val="18"/>
                <w:color w:val="auto"/>
                <w:w w:val="90"/>
              </w:rPr>
              <w:t>101.SCH #</w:t>
            </w:r>
          </w:p>
        </w:tc>
        <w:tc>
          <w:tcPr>
            <w:tcW w:w="9660" w:type="dxa"/>
            <w:vAlign w:val="bottom"/>
            <w:gridSpan w:val="11"/>
            <w:shd w:val="clear" w:color="auto" w:fill="BFE4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560" w:type="dxa"/>
            <w:vAlign w:val="bottom"/>
            <w:gridSpan w:val="5"/>
          </w:tcPr>
          <w:p>
            <w:pPr>
              <w:jc w:val="center"/>
              <w:ind w:right="280"/>
              <w:spacing w:after="0"/>
              <w:rPr>
                <w:sz w:val="20"/>
                <w:szCs w:val="20"/>
                <w:color w:val="auto"/>
              </w:rPr>
            </w:pPr>
            <w:r>
              <w:rPr>
                <w:rFonts w:ascii="Arial" w:cs="Arial" w:eastAsia="Arial" w:hAnsi="Arial"/>
                <w:sz w:val="18"/>
                <w:szCs w:val="18"/>
                <w:color w:val="auto"/>
                <w:w w:val="94"/>
              </w:rPr>
              <w:t>101.CAL #</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560" w:type="dxa"/>
            <w:vAlign w:val="bottom"/>
            <w:gridSpan w:val="5"/>
            <w:shd w:val="clear" w:color="auto" w:fill="BFE4FF"/>
          </w:tcPr>
          <w:p>
            <w:pPr>
              <w:jc w:val="center"/>
              <w:ind w:right="300"/>
              <w:spacing w:after="0"/>
              <w:rPr>
                <w:sz w:val="20"/>
                <w:szCs w:val="20"/>
                <w:color w:val="auto"/>
              </w:rPr>
            </w:pPr>
            <w:r>
              <w:rPr>
                <w:rFonts w:ascii="Arial" w:cs="Arial" w:eastAsia="Arial" w:hAnsi="Arial"/>
                <w:sz w:val="18"/>
                <w:szCs w:val="18"/>
                <w:color w:val="auto"/>
                <w:w w:val="90"/>
              </w:rPr>
              <w:t>101.DEF #</w:t>
            </w:r>
          </w:p>
        </w:tc>
        <w:tc>
          <w:tcPr>
            <w:tcW w:w="9660" w:type="dxa"/>
            <w:vAlign w:val="bottom"/>
            <w:gridSpan w:val="11"/>
            <w:shd w:val="clear" w:color="auto" w:fill="BFE4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560" w:type="dxa"/>
            <w:vAlign w:val="bottom"/>
            <w:gridSpan w:val="5"/>
          </w:tcPr>
          <w:p>
            <w:pPr>
              <w:jc w:val="center"/>
              <w:ind w:right="300"/>
              <w:spacing w:after="0"/>
              <w:rPr>
                <w:sz w:val="20"/>
                <w:szCs w:val="20"/>
                <w:color w:val="auto"/>
              </w:rPr>
            </w:pPr>
            <w:r>
              <w:rPr>
                <w:rFonts w:ascii="Arial" w:cs="Arial" w:eastAsia="Arial" w:hAnsi="Arial"/>
                <w:sz w:val="18"/>
                <w:szCs w:val="18"/>
                <w:color w:val="auto"/>
                <w:w w:val="97"/>
              </w:rPr>
              <w:t>101.LAB #</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1560" w:type="dxa"/>
            <w:vAlign w:val="bottom"/>
            <w:gridSpan w:val="5"/>
            <w:shd w:val="clear" w:color="auto" w:fill="BFE4FF"/>
          </w:tcPr>
          <w:p>
            <w:pPr>
              <w:jc w:val="center"/>
              <w:ind w:right="300"/>
              <w:spacing w:after="0"/>
              <w:rPr>
                <w:sz w:val="20"/>
                <w:szCs w:val="20"/>
                <w:color w:val="auto"/>
              </w:rPr>
            </w:pPr>
            <w:r>
              <w:rPr>
                <w:rFonts w:ascii="Arial" w:cs="Arial" w:eastAsia="Arial" w:hAnsi="Arial"/>
                <w:sz w:val="18"/>
                <w:szCs w:val="18"/>
                <w:color w:val="auto"/>
                <w:w w:val="89"/>
              </w:rPr>
              <w:t>101.PRE #</w:t>
            </w:r>
          </w:p>
        </w:tc>
        <w:tc>
          <w:tcPr>
            <w:tcW w:w="9660" w:type="dxa"/>
            <w:vAlign w:val="bottom"/>
            <w:gridSpan w:val="11"/>
            <w:shd w:val="clear" w:color="auto" w:fill="BFE4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31"/>
        </w:trPr>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0" w:hanging="574"/>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and incorporated herein by reference</w:t>
      </w:r>
    </w:p>
    <w:p>
      <w:pPr>
        <w:spacing w:after="0" w:line="36"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6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August 1, 2023</w:t>
      </w:r>
      <w:r>
        <w:rPr>
          <w:sz w:val="20"/>
          <w:szCs w:val="20"/>
          <w:color w:val="auto"/>
        </w:rPr>
        <w:tab/>
      </w:r>
      <w:r>
        <w:rPr>
          <w:rFonts w:ascii="Arial" w:cs="Arial" w:eastAsia="Arial" w:hAnsi="Arial"/>
          <w:sz w:val="17"/>
          <w:szCs w:val="17"/>
          <w:color w:val="auto"/>
        </w:rPr>
        <w:t>MIMEDX GROUP, INC.</w:t>
      </w:r>
    </w:p>
    <w:p>
      <w:pPr>
        <w:spacing w:after="0" w:line="252"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tab/>
        <w:t>/s/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2918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Doug Rice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40" w:right="359" w:bottom="1440" w:gutter="0" w:footer="0" w:header="0"/>
        </w:sectPr>
      </w:pPr>
    </w:p>
    <w:bookmarkStart w:id="40" w:name="page41"/>
    <w:bookmarkEnd w:id="40"/>
    <w:p>
      <w:pPr>
        <w:jc w:val="center"/>
        <w:ind w:left="640"/>
        <w:spacing w:after="0"/>
        <w:rPr>
          <w:sz w:val="20"/>
          <w:szCs w:val="20"/>
          <w:color w:val="auto"/>
        </w:rPr>
      </w:pPr>
      <w:r>
        <w:rPr>
          <w:rFonts w:ascii="Arial" w:cs="Arial" w:eastAsia="Arial" w:hAnsi="Arial"/>
          <w:sz w:val="20"/>
          <w:szCs w:val="20"/>
          <w:b w:val="1"/>
          <w:bCs w:val="1"/>
          <w:color w:val="auto"/>
        </w:rPr>
        <w:t>AMENDMENT NO. 2 TO LOAN AGREEMENT</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THIS AMENDMENT NO. 2 TO LOAN AGREEMENT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June 15, 2023,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among </w:t>
      </w:r>
      <w:r>
        <w:rPr>
          <w:rFonts w:ascii="Arial" w:cs="Arial" w:eastAsia="Arial" w:hAnsi="Arial"/>
          <w:sz w:val="18"/>
          <w:szCs w:val="18"/>
          <w:b w:val="1"/>
          <w:bCs w:val="1"/>
          <w:color w:val="auto"/>
        </w:rPr>
        <w:t>MIMEDX GROUP,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the Guarantors, the Lenders party hereto (who, as of the</w:t>
      </w:r>
    </w:p>
    <w:p>
      <w:pPr>
        <w:spacing w:after="0" w:line="223" w:lineRule="auto"/>
        <w:rPr>
          <w:sz w:val="20"/>
          <w:szCs w:val="20"/>
          <w:color w:val="auto"/>
        </w:rPr>
      </w:pPr>
      <w:r>
        <w:rPr>
          <w:rFonts w:ascii="Arial" w:cs="Arial" w:eastAsia="Arial" w:hAnsi="Arial"/>
          <w:sz w:val="19"/>
          <w:szCs w:val="19"/>
          <w:color w:val="auto"/>
        </w:rPr>
        <w:t xml:space="preserve">date hereof, constitute all Lenders) and </w:t>
      </w:r>
      <w:r>
        <w:rPr>
          <w:rFonts w:ascii="Arial" w:cs="Arial" w:eastAsia="Arial" w:hAnsi="Arial"/>
          <w:sz w:val="19"/>
          <w:szCs w:val="19"/>
          <w:b w:val="1"/>
          <w:bCs w:val="1"/>
          <w:color w:val="auto"/>
        </w:rPr>
        <w:t>HAYFIN SERVICES LLP</w:t>
      </w:r>
      <w:r>
        <w:rPr>
          <w:rFonts w:ascii="Arial" w:cs="Arial" w:eastAsia="Arial" w:hAnsi="Arial"/>
          <w:sz w:val="19"/>
          <w:szCs w:val="19"/>
          <w:color w:val="auto"/>
        </w:rPr>
        <w:t xml:space="preserve"> (in its individual capacity, “</w:t>
      </w:r>
      <w:r>
        <w:rPr>
          <w:rFonts w:ascii="Arial" w:cs="Arial" w:eastAsia="Arial" w:hAnsi="Arial"/>
          <w:sz w:val="19"/>
          <w:szCs w:val="19"/>
          <w:b w:val="1"/>
          <w:bCs w:val="1"/>
          <w:color w:val="auto"/>
        </w:rPr>
        <w:t>HFS</w:t>
      </w:r>
      <w:r>
        <w:rPr>
          <w:rFonts w:ascii="Arial" w:cs="Arial" w:eastAsia="Arial" w:hAnsi="Arial"/>
          <w:sz w:val="19"/>
          <w:szCs w:val="19"/>
          <w:color w:val="auto"/>
        </w:rPr>
        <w:t>”), as administrative agent for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Lenders (in such capacity, including any successor thereto, the “</w:t>
      </w:r>
      <w:r>
        <w:rPr>
          <w:rFonts w:ascii="Arial" w:cs="Arial" w:eastAsia="Arial" w:hAnsi="Arial"/>
          <w:sz w:val="20"/>
          <w:szCs w:val="20"/>
          <w:b w:val="1"/>
          <w:bCs w:val="1"/>
          <w:color w:val="auto"/>
        </w:rPr>
        <w:t>Administrative Agent</w:t>
      </w:r>
      <w:r>
        <w:rPr>
          <w:rFonts w:ascii="Arial" w:cs="Arial" w:eastAsia="Arial" w:hAnsi="Arial"/>
          <w:sz w:val="20"/>
          <w:szCs w:val="20"/>
          <w:color w:val="auto"/>
        </w:rPr>
        <w:t>”) and as collateral agent (in such capacity, including any successor thereto, the “</w:t>
      </w:r>
      <w:r>
        <w:rPr>
          <w:rFonts w:ascii="Arial" w:cs="Arial" w:eastAsia="Arial" w:hAnsi="Arial"/>
          <w:sz w:val="20"/>
          <w:szCs w:val="20"/>
          <w:b w:val="1"/>
          <w:bCs w:val="1"/>
          <w:color w:val="auto"/>
        </w:rPr>
        <w:t>Collateral Agent</w:t>
      </w:r>
      <w:r>
        <w:rPr>
          <w:rFonts w:ascii="Arial" w:cs="Arial" w:eastAsia="Arial" w:hAnsi="Arial"/>
          <w:sz w:val="20"/>
          <w:szCs w:val="20"/>
          <w:color w:val="auto"/>
        </w:rPr>
        <w:t>”) for the Secured Parties.</w:t>
      </w:r>
    </w:p>
    <w:p>
      <w:pPr>
        <w:spacing w:after="0" w:line="16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PRELIMINARY STATEMENT</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Loan Agreement, dated as of June 30, 2020 (as amended by that certain Amendment No. 1 to</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 dated as of February 28, 2022, and as further amended, restated, amended and restated, extended, supplemented and/or</w:t>
      </w:r>
    </w:p>
    <w:p>
      <w:pPr>
        <w:spacing w:after="0" w:line="236" w:lineRule="auto"/>
        <w:rPr>
          <w:sz w:val="20"/>
          <w:szCs w:val="20"/>
          <w:color w:val="auto"/>
        </w:rPr>
      </w:pPr>
      <w:r>
        <w:rPr>
          <w:rFonts w:ascii="Arial" w:cs="Arial" w:eastAsia="Arial" w:hAnsi="Arial"/>
          <w:sz w:val="18"/>
          <w:szCs w:val="18"/>
          <w:color w:val="auto"/>
        </w:rPr>
        <w:t>otherwise modified from time to time, the “</w:t>
      </w:r>
      <w:r>
        <w:rPr>
          <w:rFonts w:ascii="Arial" w:cs="Arial" w:eastAsia="Arial" w:hAnsi="Arial"/>
          <w:sz w:val="18"/>
          <w:szCs w:val="18"/>
          <w:b w:val="1"/>
          <w:bCs w:val="1"/>
          <w:color w:val="auto"/>
        </w:rPr>
        <w:t>Existing Loan Agreement</w:t>
      </w:r>
      <w:r>
        <w:rPr>
          <w:rFonts w:ascii="Arial" w:cs="Arial" w:eastAsia="Arial" w:hAnsi="Arial"/>
          <w:sz w:val="18"/>
          <w:szCs w:val="18"/>
          <w:color w:val="auto"/>
        </w:rPr>
        <w:t>”; the Existing Loan Agreement as amended by this Amendment, and</w:t>
      </w:r>
    </w:p>
    <w:p>
      <w:pPr>
        <w:spacing w:after="0" w:line="226" w:lineRule="auto"/>
        <w:rPr>
          <w:sz w:val="20"/>
          <w:szCs w:val="20"/>
          <w:color w:val="auto"/>
        </w:rPr>
      </w:pPr>
      <w:r>
        <w:rPr>
          <w:rFonts w:ascii="Arial" w:cs="Arial" w:eastAsia="Arial" w:hAnsi="Arial"/>
          <w:sz w:val="18"/>
          <w:szCs w:val="18"/>
          <w:color w:val="auto"/>
        </w:rPr>
        <w:t>as the same may be further amended, restated, amended and restated, extended, supplemented and/or otherwise modified from time to time prior to the date hereof,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herein but not defined herein shall have the meaning given to them in</w:t>
      </w:r>
    </w:p>
    <w:p>
      <w:pPr>
        <w:spacing w:after="0" w:line="236" w:lineRule="auto"/>
        <w:rPr>
          <w:sz w:val="20"/>
          <w:szCs w:val="20"/>
          <w:color w:val="auto"/>
        </w:rPr>
      </w:pPr>
      <w:r>
        <w:rPr>
          <w:rFonts w:ascii="Arial" w:cs="Arial" w:eastAsia="Arial" w:hAnsi="Arial"/>
          <w:sz w:val="18"/>
          <w:szCs w:val="18"/>
          <w:color w:val="auto"/>
        </w:rPr>
        <w:t>the Loan Agreement), by and among the Borrower, the Lenders from time to time party thereto, the Administrative Agent and the Collateral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Agent, the Lenders committed to make certain loans and other financial accommodations to the Borrower upon the terms and conditions set forth therein;</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Section 2.06(c) (in the case of amendments related to an Alternative Interest Rate Election Event)</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and Section 12.01 (in the case of all other amendments) of the Existing Loan Agreement, the Borrower, the Administrative Agent and the Lenders party hereto have agreed to make certain amendments to the Existing Loan Agreement (as more fully described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each case, upon the terms and subject to the condition set forth therein; and</w:t>
      </w:r>
    </w:p>
    <w:p>
      <w:pPr>
        <w:spacing w:after="0" w:line="153"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the covenants and agreements contained herein,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pursuant to Sections 2.06(c) and 12.01 of the Existing</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Loan Agreement, the Borrower, the Guarantors, the Lenders party hereto, the Administrative Agent and the Collateral Agent do hereby agree as follows:</w:t>
      </w:r>
    </w:p>
    <w:p>
      <w:pPr>
        <w:spacing w:after="0" w:line="177" w:lineRule="exact"/>
        <w:rPr>
          <w:sz w:val="20"/>
          <w:szCs w:val="20"/>
          <w:color w:val="auto"/>
        </w:rPr>
      </w:pPr>
    </w:p>
    <w:p>
      <w:pPr>
        <w:jc w:val="both"/>
        <w:ind w:firstLine="656"/>
        <w:spacing w:after="0" w:line="215" w:lineRule="auto"/>
        <w:tabs>
          <w:tab w:leader="none" w:pos="1050" w:val="left"/>
        </w:tabs>
        <w:numPr>
          <w:ilvl w:val="0"/>
          <w:numId w:val="19"/>
        </w:numPr>
        <w:rPr>
          <w:rFonts w:ascii="Arial" w:cs="Arial" w:eastAsia="Arial" w:hAnsi="Arial"/>
          <w:sz w:val="22"/>
          <w:szCs w:val="22"/>
          <w:color w:val="auto"/>
        </w:rPr>
      </w:pPr>
      <w:r>
        <w:rPr>
          <w:rFonts w:ascii="Arial" w:cs="Arial" w:eastAsia="Arial" w:hAnsi="Arial"/>
          <w:sz w:val="20"/>
          <w:szCs w:val="20"/>
          <w:b w:val="1"/>
          <w:bCs w:val="1"/>
          <w:color w:val="auto"/>
        </w:rPr>
        <w:t>AMENDMENTS TO EXISTING LOAN AGREEMENT</w:t>
      </w:r>
      <w:r>
        <w:rPr>
          <w:rFonts w:ascii="Arial" w:cs="Arial" w:eastAsia="Arial" w:hAnsi="Arial"/>
          <w:sz w:val="20"/>
          <w:szCs w:val="20"/>
          <w:color w:val="auto"/>
        </w:rPr>
        <w:t>. Subject to the terms and conditions of this Amendment,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without limitation, the satisfaction of the conditions precedent specified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Existing Loan Agreement is hereby amended to delete the struck text (indicated textually in the same manner as the following example: </w:t>
      </w:r>
      <w:r>
        <w:rPr>
          <w:rFonts w:ascii="Arial" w:cs="Arial" w:eastAsia="Arial" w:hAnsi="Arial"/>
          <w:sz w:val="20"/>
          <w:szCs w:val="20"/>
          <w:color w:val="FF0000"/>
          <w:strike w:val="1"/>
        </w:rPr>
        <w:t>struck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changed pages of the Loan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0"/>
          <w:numId w:val="19"/>
        </w:numPr>
        <w:rPr>
          <w:rFonts w:ascii="Arial" w:cs="Arial" w:eastAsia="Arial" w:hAnsi="Arial"/>
          <w:sz w:val="22"/>
          <w:szCs w:val="22"/>
          <w:color w:val="auto"/>
        </w:rPr>
      </w:pPr>
      <w:r>
        <w:rPr>
          <w:rFonts w:ascii="Arial" w:cs="Arial" w:eastAsia="Arial" w:hAnsi="Arial"/>
          <w:sz w:val="20"/>
          <w:szCs w:val="20"/>
          <w:b w:val="1"/>
          <w:bCs w:val="1"/>
          <w:color w:val="auto"/>
        </w:rPr>
        <w:t>EXISTING LOANS.</w:t>
      </w:r>
    </w:p>
    <w:p>
      <w:pPr>
        <w:spacing w:after="0" w:line="185" w:lineRule="exact"/>
        <w:rPr>
          <w:rFonts w:ascii="Arial" w:cs="Arial" w:eastAsia="Arial" w:hAnsi="Arial"/>
          <w:sz w:val="22"/>
          <w:szCs w:val="22"/>
          <w:color w:val="auto"/>
        </w:rPr>
      </w:pPr>
    </w:p>
    <w:p>
      <w:pPr>
        <w:jc w:val="both"/>
        <w:ind w:firstLine="1304"/>
        <w:spacing w:after="0" w:line="222" w:lineRule="auto"/>
        <w:tabs>
          <w:tab w:leader="none" w:pos="1796" w:val="left"/>
        </w:tabs>
        <w:numPr>
          <w:ilvl w:val="1"/>
          <w:numId w:val="19"/>
        </w:numPr>
        <w:rPr>
          <w:rFonts w:ascii="Arial" w:cs="Arial" w:eastAsia="Arial" w:hAnsi="Arial"/>
          <w:sz w:val="21"/>
          <w:szCs w:val="21"/>
          <w:color w:val="auto"/>
        </w:rPr>
      </w:pPr>
      <w:r>
        <w:rPr>
          <w:rFonts w:ascii="Arial" w:cs="Arial" w:eastAsia="Arial" w:hAnsi="Arial"/>
          <w:sz w:val="19"/>
          <w:szCs w:val="19"/>
          <w:color w:val="auto"/>
        </w:rPr>
        <w:t>Notwithstanding anything to the contrary herein, all LIBOR Rate Loans (as defined in the Existing Loan Agreement) outstanding under the Existing Loan Agreement as of the date hereof (collectively, the “</w:t>
      </w:r>
      <w:r>
        <w:rPr>
          <w:rFonts w:ascii="Arial" w:cs="Arial" w:eastAsia="Arial" w:hAnsi="Arial"/>
          <w:sz w:val="19"/>
          <w:szCs w:val="19"/>
          <w:b w:val="1"/>
          <w:bCs w:val="1"/>
          <w:color w:val="auto"/>
        </w:rPr>
        <w:t>Existing LIBOR Rate Loans</w:t>
      </w:r>
      <w:r>
        <w:rPr>
          <w:rFonts w:ascii="Arial" w:cs="Arial" w:eastAsia="Arial" w:hAnsi="Arial"/>
          <w:sz w:val="19"/>
          <w:szCs w:val="19"/>
          <w:color w:val="auto"/>
        </w:rPr>
        <w:t>”) shall continue to bear interest at the LIBOR Rate and remain outstanding under the Existing Loan Agreement as LIBOR Rate Loans until the expiration of the current Interest Period applicable to such Existing LIBOR Rate Loans (the “</w:t>
      </w:r>
      <w:r>
        <w:rPr>
          <w:rFonts w:ascii="Arial" w:cs="Arial" w:eastAsia="Arial" w:hAnsi="Arial"/>
          <w:sz w:val="19"/>
          <w:szCs w:val="19"/>
          <w:b w:val="1"/>
          <w:bCs w:val="1"/>
          <w:color w:val="auto"/>
        </w:rPr>
        <w:t>Existing Expiration Date</w:t>
      </w:r>
      <w:r>
        <w:rPr>
          <w:rFonts w:ascii="Arial" w:cs="Arial" w:eastAsia="Arial" w:hAnsi="Arial"/>
          <w:sz w:val="19"/>
          <w:szCs w:val="19"/>
          <w:color w:val="auto"/>
        </w:rPr>
        <w:t>”). Any such Existing LIBOR Rate Loans shall continue to be governed by the relevant provisions of the Existing Loan Agreement (as in effect immediately prior to the effectiveness of this Agreement) applicable to LIBOR Rate Loans until the earlier of (x) the repayment of such Loans or (y) the effective date of any conversion of such Loans pursuant to the Specified Conversion (as defined below).</w:t>
      </w:r>
    </w:p>
    <w:p>
      <w:pPr>
        <w:spacing w:after="0" w:line="184" w:lineRule="exact"/>
        <w:rPr>
          <w:rFonts w:ascii="Arial" w:cs="Arial" w:eastAsia="Arial" w:hAnsi="Arial"/>
          <w:sz w:val="21"/>
          <w:szCs w:val="21"/>
          <w:color w:val="auto"/>
        </w:rPr>
      </w:pPr>
    </w:p>
    <w:p>
      <w:pPr>
        <w:jc w:val="both"/>
        <w:ind w:firstLine="1304"/>
        <w:spacing w:after="0" w:line="216" w:lineRule="auto"/>
        <w:tabs>
          <w:tab w:leader="none" w:pos="1801" w:val="left"/>
        </w:tabs>
        <w:numPr>
          <w:ilvl w:val="1"/>
          <w:numId w:val="19"/>
        </w:numPr>
        <w:rPr>
          <w:rFonts w:ascii="Arial" w:cs="Arial" w:eastAsia="Arial" w:hAnsi="Arial"/>
          <w:sz w:val="22"/>
          <w:szCs w:val="22"/>
          <w:color w:val="auto"/>
        </w:rPr>
      </w:pPr>
      <w:r>
        <w:rPr>
          <w:rFonts w:ascii="Arial" w:cs="Arial" w:eastAsia="Arial" w:hAnsi="Arial"/>
          <w:sz w:val="20"/>
          <w:szCs w:val="20"/>
          <w:color w:val="auto"/>
        </w:rPr>
        <w:t>Upon the Existing Expiration Date, the Existing LIBOR Rate Loans shall be automatically converted in full to SOFR Loans under the Loan Agreement with a three-month Interest Period effective as of the Existing Expiration Date (the “</w:t>
      </w:r>
      <w:r>
        <w:rPr>
          <w:rFonts w:ascii="Arial" w:cs="Arial" w:eastAsia="Arial" w:hAnsi="Arial"/>
          <w:sz w:val="20"/>
          <w:szCs w:val="20"/>
          <w:b w:val="1"/>
          <w:bCs w:val="1"/>
          <w:color w:val="auto"/>
        </w:rPr>
        <w:t>Specified</w:t>
      </w:r>
      <w:r>
        <w:rPr>
          <w:rFonts w:ascii="Arial" w:cs="Arial" w:eastAsia="Arial" w:hAnsi="Arial"/>
          <w:sz w:val="20"/>
          <w:szCs w:val="20"/>
          <w:color w:val="auto"/>
        </w:rPr>
        <w:t xml:space="preserve"> </w:t>
      </w:r>
      <w:r>
        <w:rPr>
          <w:rFonts w:ascii="Arial" w:cs="Arial" w:eastAsia="Arial" w:hAnsi="Arial"/>
          <w:sz w:val="20"/>
          <w:szCs w:val="20"/>
          <w:b w:val="1"/>
          <w:bCs w:val="1"/>
          <w:color w:val="auto"/>
        </w:rPr>
        <w:t>Conversion</w:t>
      </w:r>
      <w:r>
        <w:rPr>
          <w:rFonts w:ascii="Arial" w:cs="Arial" w:eastAsia="Arial" w:hAnsi="Arial"/>
          <w:sz w:val="20"/>
          <w:szCs w:val="20"/>
          <w:color w:val="auto"/>
        </w:rPr>
        <w:t>”).</w:t>
      </w:r>
    </w:p>
    <w:p>
      <w:pPr>
        <w:sectPr>
          <w:pgSz w:w="11900" w:h="16838" w:orient="portrait"/>
          <w:cols w:equalWidth="0" w:num="1">
            <w:col w:w="11240"/>
          </w:cols>
          <w:pgMar w:left="320" w:top="1399" w:right="339" w:bottom="1440" w:gutter="0" w:footer="0" w:header="0"/>
        </w:sectPr>
      </w:pPr>
    </w:p>
    <w:bookmarkStart w:id="41" w:name="page42"/>
    <w:bookmarkEnd w:id="41"/>
    <w:p>
      <w:pPr>
        <w:jc w:val="both"/>
        <w:ind w:left="-8" w:firstLine="656"/>
        <w:spacing w:after="0" w:line="233" w:lineRule="auto"/>
        <w:tabs>
          <w:tab w:leader="none" w:pos="1111" w:val="left"/>
        </w:tabs>
        <w:numPr>
          <w:ilvl w:val="1"/>
          <w:numId w:val="20"/>
        </w:numPr>
        <w:rPr>
          <w:rFonts w:ascii="Arial" w:cs="Arial" w:eastAsia="Arial" w:hAnsi="Arial"/>
          <w:sz w:val="21"/>
          <w:szCs w:val="21"/>
          <w:color w:val="auto"/>
        </w:rPr>
      </w:pPr>
      <w:r>
        <w:rPr>
          <w:rFonts w:ascii="Arial" w:cs="Arial" w:eastAsia="Arial" w:hAnsi="Arial"/>
          <w:sz w:val="19"/>
          <w:szCs w:val="19"/>
          <w:b w:val="1"/>
          <w:bCs w:val="1"/>
          <w:color w:val="auto"/>
        </w:rPr>
        <w:t>CONDITIONS PRECEDENT TO EFFECTIVENESS OF THIS AMENDMENT</w:t>
      </w:r>
      <w:r>
        <w:rPr>
          <w:rFonts w:ascii="Arial" w:cs="Arial" w:eastAsia="Arial" w:hAnsi="Arial"/>
          <w:sz w:val="19"/>
          <w:szCs w:val="19"/>
          <w:color w:val="auto"/>
        </w:rPr>
        <w:t>. The effectiveness of this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without limitation, the amendments provided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above, is subject to the satisfaction of the following conditions precedent (the date on which such conditions are satisfied is herein referred to as the “</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w:t>
      </w:r>
    </w:p>
    <w:p>
      <w:pPr>
        <w:spacing w:after="0" w:line="170" w:lineRule="exact"/>
        <w:rPr>
          <w:rFonts w:ascii="Arial" w:cs="Arial" w:eastAsia="Arial" w:hAnsi="Arial"/>
          <w:sz w:val="21"/>
          <w:szCs w:val="21"/>
          <w:color w:val="auto"/>
        </w:rPr>
      </w:pPr>
    </w:p>
    <w:p>
      <w:pPr>
        <w:jc w:val="both"/>
        <w:ind w:left="-8" w:firstLine="1304"/>
        <w:spacing w:after="0" w:line="236" w:lineRule="auto"/>
        <w:tabs>
          <w:tab w:leader="none" w:pos="1759" w:val="left"/>
        </w:tabs>
        <w:numPr>
          <w:ilvl w:val="2"/>
          <w:numId w:val="20"/>
        </w:numPr>
        <w:rPr>
          <w:rFonts w:ascii="Arial" w:cs="Arial" w:eastAsia="Arial" w:hAnsi="Arial"/>
          <w:sz w:val="19"/>
          <w:szCs w:val="19"/>
          <w:color w:val="auto"/>
        </w:rPr>
      </w:pPr>
      <w:r>
        <w:rPr>
          <w:rFonts w:ascii="Arial" w:cs="Arial" w:eastAsia="Arial" w:hAnsi="Arial"/>
          <w:sz w:val="18"/>
          <w:szCs w:val="18"/>
          <w:color w:val="auto"/>
        </w:rPr>
        <w:t>The Administrative Agent’s receipt of one or more counterparts of this Amendment duly executed and delivered by the Borrower, the Guarantors, all of the Lenders (as of the date hereof), the Administrative Agent and the Collateral Agent, in form and substance acceptable to the Administrative Agent, each of which shall be (x) originals or telecopies or “.pdf” or “.tif” copies unless otherwise specified,</w:t>
      </w:r>
    </w:p>
    <w:p>
      <w:pPr>
        <w:spacing w:after="0" w:line="1" w:lineRule="exact"/>
        <w:rPr>
          <w:rFonts w:ascii="Arial" w:cs="Arial" w:eastAsia="Arial" w:hAnsi="Arial"/>
          <w:sz w:val="19"/>
          <w:szCs w:val="19"/>
          <w:color w:val="auto"/>
        </w:rPr>
      </w:pPr>
    </w:p>
    <w:p>
      <w:pPr>
        <w:ind w:left="272" w:hanging="272"/>
        <w:spacing w:after="0"/>
        <w:tabs>
          <w:tab w:leader="none" w:pos="272" w:val="left"/>
        </w:tabs>
        <w:numPr>
          <w:ilvl w:val="0"/>
          <w:numId w:val="21"/>
        </w:numPr>
        <w:rPr>
          <w:rFonts w:ascii="Arial" w:cs="Arial" w:eastAsia="Arial" w:hAnsi="Arial"/>
          <w:sz w:val="19"/>
          <w:szCs w:val="19"/>
          <w:color w:val="auto"/>
        </w:rPr>
      </w:pPr>
      <w:r>
        <w:rPr>
          <w:rFonts w:ascii="Arial" w:cs="Arial" w:eastAsia="Arial" w:hAnsi="Arial"/>
          <w:sz w:val="19"/>
          <w:szCs w:val="19"/>
          <w:color w:val="auto"/>
        </w:rPr>
        <w:t>properly executed by a Responsible Officer of the signing Loan Party and (z) dated the Amendment No. 2 Effective Date; and</w:t>
      </w:r>
    </w:p>
    <w:p>
      <w:pPr>
        <w:spacing w:after="0" w:line="184" w:lineRule="exact"/>
        <w:rPr>
          <w:rFonts w:ascii="Arial" w:cs="Arial" w:eastAsia="Arial" w:hAnsi="Arial"/>
          <w:sz w:val="19"/>
          <w:szCs w:val="19"/>
          <w:color w:val="auto"/>
        </w:rPr>
      </w:pPr>
    </w:p>
    <w:p>
      <w:pPr>
        <w:jc w:val="both"/>
        <w:ind w:left="-8" w:firstLine="1304"/>
        <w:spacing w:after="0" w:line="246" w:lineRule="auto"/>
        <w:tabs>
          <w:tab w:leader="none" w:pos="1771" w:val="left"/>
        </w:tabs>
        <w:numPr>
          <w:ilvl w:val="2"/>
          <w:numId w:val="21"/>
        </w:numPr>
        <w:rPr>
          <w:rFonts w:ascii="Arial" w:cs="Arial" w:eastAsia="Arial" w:hAnsi="Arial"/>
          <w:sz w:val="19"/>
          <w:szCs w:val="19"/>
          <w:color w:val="auto"/>
        </w:rPr>
      </w:pPr>
      <w:r>
        <w:rPr>
          <w:rFonts w:ascii="Arial" w:cs="Arial" w:eastAsia="Arial" w:hAnsi="Arial"/>
          <w:sz w:val="18"/>
          <w:szCs w:val="18"/>
          <w:color w:val="auto"/>
        </w:rPr>
        <w:t>All representations and warranties by any Loan Party contained in Section 4 of this Amendment are true and correct in all material respects (without duplication of any materiality qualifier contained therein) as of the Amendment No. 2 Effective Date, except to the extent that such representation or warranty expressly relates to an earlier date (in which event such representations and warranties were true and correct in all material respects (without duplication of any materiality qualifier contained therein) as of such earlier date).</w:t>
      </w:r>
    </w:p>
    <w:p>
      <w:pPr>
        <w:spacing w:after="0" w:line="159" w:lineRule="exact"/>
        <w:rPr>
          <w:rFonts w:ascii="Arial" w:cs="Arial" w:eastAsia="Arial" w:hAnsi="Arial"/>
          <w:sz w:val="19"/>
          <w:szCs w:val="19"/>
          <w:color w:val="auto"/>
        </w:rPr>
      </w:pPr>
    </w:p>
    <w:p>
      <w:pPr>
        <w:ind w:left="-8" w:firstLine="656"/>
        <w:spacing w:after="0" w:line="228" w:lineRule="auto"/>
        <w:tabs>
          <w:tab w:leader="none" w:pos="1039" w:val="left"/>
        </w:tabs>
        <w:numPr>
          <w:ilvl w:val="1"/>
          <w:numId w:val="21"/>
        </w:numPr>
        <w:rPr>
          <w:rFonts w:ascii="Arial" w:cs="Arial" w:eastAsia="Arial" w:hAnsi="Arial"/>
          <w:sz w:val="22"/>
          <w:szCs w:val="22"/>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The Borrower and each other Loan Party hereby represents and warrants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and the Lenders as follows:</w:t>
      </w:r>
    </w:p>
    <w:p>
      <w:pPr>
        <w:spacing w:after="0" w:line="181" w:lineRule="exact"/>
        <w:rPr>
          <w:rFonts w:ascii="Arial" w:cs="Arial" w:eastAsia="Arial" w:hAnsi="Arial"/>
          <w:sz w:val="22"/>
          <w:szCs w:val="22"/>
          <w:color w:val="auto"/>
        </w:rPr>
      </w:pPr>
    </w:p>
    <w:p>
      <w:pPr>
        <w:jc w:val="both"/>
        <w:ind w:left="-8" w:firstLine="1304"/>
        <w:spacing w:after="0"/>
        <w:tabs>
          <w:tab w:leader="none" w:pos="1764" w:val="left"/>
        </w:tabs>
        <w:numPr>
          <w:ilvl w:val="2"/>
          <w:numId w:val="22"/>
        </w:numPr>
        <w:rPr>
          <w:rFonts w:ascii="Arial" w:cs="Arial" w:eastAsia="Arial" w:hAnsi="Arial"/>
          <w:sz w:val="19"/>
          <w:szCs w:val="19"/>
          <w:color w:val="auto"/>
        </w:rPr>
      </w:pPr>
      <w:r>
        <w:rPr>
          <w:rFonts w:ascii="Arial" w:cs="Arial" w:eastAsia="Arial" w:hAnsi="Arial"/>
          <w:sz w:val="18"/>
          <w:szCs w:val="18"/>
          <w:u w:val="single" w:color="auto"/>
          <w:color w:val="auto"/>
        </w:rPr>
        <w:t>Binding Effect of Documents</w:t>
      </w:r>
      <w:r>
        <w:rPr>
          <w:rFonts w:ascii="Arial" w:cs="Arial" w:eastAsia="Arial" w:hAnsi="Arial"/>
          <w:sz w:val="18"/>
          <w:szCs w:val="18"/>
          <w:color w:val="auto"/>
        </w:rPr>
        <w:t>. This Amendment has been duly executed and delivered to the Administrative Agent, for the benefit of the Administrative Agent and the Lenders, by the Borrower and each other Loan Party party hereto and, this Amendment and the Loan Documents, as amended by this Amendment, constitute, legal, valid and binding obligations of such Loan Party enforceable against such Loan Party in accordance with its terms, subject to applicable bankruptcy, insolvency, fraudulent conveyance, reorganization and other similar laws relating to or affecting creditors’ rights generally, concepts of reasonableness and general equitable principles.</w:t>
      </w:r>
    </w:p>
    <w:p>
      <w:pPr>
        <w:spacing w:after="0" w:line="182" w:lineRule="exact"/>
        <w:rPr>
          <w:rFonts w:ascii="Arial" w:cs="Arial" w:eastAsia="Arial" w:hAnsi="Arial"/>
          <w:sz w:val="19"/>
          <w:szCs w:val="19"/>
          <w:color w:val="auto"/>
        </w:rPr>
      </w:pPr>
    </w:p>
    <w:p>
      <w:pPr>
        <w:jc w:val="both"/>
        <w:ind w:left="-8" w:firstLine="1304"/>
        <w:spacing w:after="0" w:line="232" w:lineRule="auto"/>
        <w:tabs>
          <w:tab w:leader="none" w:pos="1922" w:val="left"/>
        </w:tabs>
        <w:numPr>
          <w:ilvl w:val="2"/>
          <w:numId w:val="22"/>
        </w:numPr>
        <w:rPr>
          <w:rFonts w:ascii="Arial" w:cs="Arial" w:eastAsia="Arial" w:hAnsi="Arial"/>
          <w:sz w:val="19"/>
          <w:szCs w:val="19"/>
          <w:color w:val="auto"/>
        </w:rPr>
      </w:pP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The execution and delivery of this Amendment, and the performance of this Amendment, the Existing Loan Agreement as amended hereby and any other Loan Document otherwise modified by this Amendment, by the Borrower and each other Loan Party party hereto or thereto (i) have been duly authorized by all requisite corporate or other organizational powers and, if required under the laws of the jurisdiction of its organization, any provision of the certificate or articles of incorporation or articles of association or other constitutive documents or by-laws, as applicable, stockholder action with respect to the Loan Parties and their Subsidiaries and (ii) will not (A) violate (I) any provision of law, statute, rule or regulation, (II) any provision of the certificate or articles of incorporation or articles of association or other constitutive documents or by-laws, as applicable, of the Borrower, any Loan Party or any Subsidiary, (III) any applicable order of any Governmental Authority or (IV) any provision of any indenture, agreement or other instrument to which the Borrower or any Subsidiary is a party or by which any of them or any of their property is or may be bound, (B) be in conflict with, result in a material breach of or constitute (alone or with notice or lapse of time or both) a default under, or give rise to any right to accelerate or to require the prepayment, repurchase or redemption of any obligation under any such material indenture, agreement or other instrument governing Indebtedness or (C) result in the creation or imposition of any Lien upon or with respect to any property or assets now owned or hereafter acquired by the Borrower or any Subsidiary (other than any Lien created hereunder or under the Security Documents), except (1) in the case of clauses (ii)(A)(I), (ii)(A)(III) and (ii)(A)(IV) to the extent such violation would not, individually or in the aggregate, reasonably be expected to have a Material Adverse Effect and (2) in the case of clause (ii)(C), to the extent such Lien is expressly permitted under the Loan Agreement.</w:t>
      </w:r>
    </w:p>
    <w:p>
      <w:pPr>
        <w:spacing w:after="0" w:line="176" w:lineRule="exact"/>
        <w:rPr>
          <w:rFonts w:ascii="Arial" w:cs="Arial" w:eastAsia="Arial" w:hAnsi="Arial"/>
          <w:sz w:val="19"/>
          <w:szCs w:val="19"/>
          <w:color w:val="auto"/>
        </w:rPr>
      </w:pPr>
    </w:p>
    <w:p>
      <w:pPr>
        <w:jc w:val="both"/>
        <w:ind w:left="-8" w:firstLine="1304"/>
        <w:spacing w:after="0" w:line="218" w:lineRule="auto"/>
        <w:tabs>
          <w:tab w:leader="none" w:pos="1751" w:val="left"/>
        </w:tabs>
        <w:numPr>
          <w:ilvl w:val="2"/>
          <w:numId w:val="22"/>
        </w:numPr>
        <w:rPr>
          <w:rFonts w:ascii="Arial" w:cs="Arial" w:eastAsia="Arial" w:hAnsi="Arial"/>
          <w:sz w:val="22"/>
          <w:szCs w:val="22"/>
          <w:color w:val="auto"/>
        </w:rPr>
      </w:pP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Other Consents. No action, consent or approval of, registration or filing with or any other action by any Governmental Authority is or will be required in connection with the execution and delivery of this Amendment and the other Loan Documents delivered in connection herewith, or the performance by, or enforcement against, any Loan Party of this Amendment, the Existing Loan Agreement, as amended hereby, or any of the Loan Documents, as</w:t>
      </w:r>
    </w:p>
    <w:p>
      <w:pPr>
        <w:sectPr>
          <w:pgSz w:w="11900" w:h="16838" w:orient="portrait"/>
          <w:cols w:equalWidth="0" w:num="1">
            <w:col w:w="11232"/>
          </w:cols>
          <w:pgMar w:left="328" w:top="1413"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amended by this Amendment, other than those that have already been obtained and are in full force and effect.</w:t>
      </w:r>
    </w:p>
    <w:p>
      <w:pPr>
        <w:spacing w:after="0" w:line="196"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22"/>
          <w:szCs w:val="22"/>
          <w:color w:val="auto"/>
        </w:rPr>
      </w:pPr>
      <w:r>
        <w:rPr>
          <w:rFonts w:ascii="Arial" w:cs="Arial" w:eastAsia="Arial" w:hAnsi="Arial"/>
          <w:sz w:val="20"/>
          <w:szCs w:val="20"/>
          <w:b w:val="1"/>
          <w:bCs w:val="1"/>
          <w:color w:val="auto"/>
        </w:rPr>
        <w:t>PROVISIONS OF GENERAL APPLICATION.</w:t>
      </w:r>
    </w:p>
    <w:p>
      <w:pPr>
        <w:spacing w:after="0" w:line="185" w:lineRule="exact"/>
        <w:rPr>
          <w:rFonts w:ascii="Arial" w:cs="Arial" w:eastAsia="Arial" w:hAnsi="Arial"/>
          <w:sz w:val="22"/>
          <w:szCs w:val="22"/>
          <w:color w:val="auto"/>
        </w:rPr>
      </w:pPr>
    </w:p>
    <w:p>
      <w:pPr>
        <w:ind w:firstLine="1304"/>
        <w:spacing w:after="0" w:line="225" w:lineRule="auto"/>
        <w:tabs>
          <w:tab w:leader="none" w:pos="1859" w:val="left"/>
        </w:tabs>
        <w:numPr>
          <w:ilvl w:val="1"/>
          <w:numId w:val="23"/>
        </w:numPr>
        <w:rPr>
          <w:rFonts w:ascii="Arial" w:cs="Arial" w:eastAsia="Arial" w:hAnsi="Arial"/>
          <w:sz w:val="22"/>
          <w:szCs w:val="22"/>
          <w:color w:val="auto"/>
        </w:rPr>
      </w:pPr>
      <w:r>
        <w:rPr>
          <w:rFonts w:ascii="Arial" w:cs="Arial" w:eastAsia="Arial" w:hAnsi="Arial"/>
          <w:sz w:val="20"/>
          <w:szCs w:val="20"/>
          <w:u w:val="single" w:color="auto"/>
          <w:color w:val="auto"/>
        </w:rPr>
        <w:t>Loan Document</w:t>
      </w:r>
      <w:r>
        <w:rPr>
          <w:rFonts w:ascii="Arial" w:cs="Arial" w:eastAsia="Arial" w:hAnsi="Arial"/>
          <w:sz w:val="20"/>
          <w:szCs w:val="20"/>
          <w:color w:val="auto"/>
        </w:rPr>
        <w:t>. The parties hereto acknowledge, confirm and agree that this Amendment shall constitute a Loan Document under the Loan Agreement.</w:t>
      </w:r>
    </w:p>
    <w:p>
      <w:pPr>
        <w:spacing w:after="0" w:line="168" w:lineRule="exact"/>
        <w:rPr>
          <w:rFonts w:ascii="Arial" w:cs="Arial" w:eastAsia="Arial" w:hAnsi="Arial"/>
          <w:sz w:val="22"/>
          <w:szCs w:val="22"/>
          <w:color w:val="auto"/>
        </w:rPr>
      </w:pPr>
    </w:p>
    <w:p>
      <w:pPr>
        <w:jc w:val="both"/>
        <w:ind w:firstLine="1304"/>
        <w:spacing w:after="0" w:line="233" w:lineRule="auto"/>
        <w:tabs>
          <w:tab w:leader="none" w:pos="1769" w:val="left"/>
        </w:tabs>
        <w:numPr>
          <w:ilvl w:val="1"/>
          <w:numId w:val="23"/>
        </w:numPr>
        <w:rPr>
          <w:rFonts w:ascii="Arial" w:cs="Arial" w:eastAsia="Arial" w:hAnsi="Arial"/>
          <w:sz w:val="19"/>
          <w:szCs w:val="19"/>
          <w:color w:val="auto"/>
        </w:rPr>
      </w:pPr>
      <w:r>
        <w:rPr>
          <w:rFonts w:ascii="Arial" w:cs="Arial" w:eastAsia="Arial" w:hAnsi="Arial"/>
          <w:sz w:val="18"/>
          <w:szCs w:val="18"/>
          <w:u w:val="single" w:color="auto"/>
          <w:color w:val="auto"/>
        </w:rPr>
        <w:t>Effect of this Amendment</w:t>
      </w:r>
      <w:r>
        <w:rPr>
          <w:rFonts w:ascii="Arial" w:cs="Arial" w:eastAsia="Arial" w:hAnsi="Arial"/>
          <w:sz w:val="18"/>
          <w:szCs w:val="18"/>
          <w:color w:val="auto"/>
        </w:rPr>
        <w:t>. On and after the Amendment No. 2 Effective Date, each reference in the Loan Agreement to “this Agreement,” “herein,” “hereto”, “hereof” and “hereunder” or words of like import referring to the Loan Agreement, and each reference in each of the other Loan Documents to “the Loan Agreement”, “thereunder”, “thereof” or words of like import referring to the Loan Agreement, shall mean and be a reference to the Existing Loan Agreement, as amended by this Amendment. Except as expressly amended or modified pursuant hereto, no amendments, modifications, forbearances, consents or waivers to the Existing Loan Agreement or other Loan Documents are intended or implied to constitute the consent of the Administrative Agent or any Lender to any other transaction, consent, forbearance or the waiver by the Administrative Agent, the Collateral Agent or any Lender of any Default or Event of Default. No forbearances, consents, amendments or modifications to the Loan Documents are intended or implied and in all other respects the Loan Documents are hereby specifically ratified, restated and confirmed by the Borrower and each other Loan Party and other parties hereto as of the Amendment No. 2 Effective Date. Nothing in this Amendment is intended, or shall be construed, to constitute a novation or an accord and satisfaction of any Loan Party’s Obligations under or in connection with the Loan Agreement or any of the other Loan Documents or to modify, affect or impair the perfection or continuity of the Collateral Agent’s security interests in, security titles to or other liens on any Collateral for the Obligations. The Existing Loan Agreement and this Amendment shall be read and construed as one agreement. To the extent of conflict between the terms of this Amendment and the Loan Agreement, the terms of the Loan Agreement shall control.</w:t>
      </w:r>
    </w:p>
    <w:p>
      <w:pPr>
        <w:spacing w:after="0" w:line="186" w:lineRule="exact"/>
        <w:rPr>
          <w:rFonts w:ascii="Arial" w:cs="Arial" w:eastAsia="Arial" w:hAnsi="Arial"/>
          <w:sz w:val="19"/>
          <w:szCs w:val="19"/>
          <w:color w:val="auto"/>
        </w:rPr>
      </w:pPr>
    </w:p>
    <w:p>
      <w:pPr>
        <w:jc w:val="both"/>
        <w:ind w:firstLine="1304"/>
        <w:spacing w:after="0" w:line="233" w:lineRule="auto"/>
        <w:tabs>
          <w:tab w:leader="none" w:pos="1807" w:val="left"/>
        </w:tabs>
        <w:numPr>
          <w:ilvl w:val="1"/>
          <w:numId w:val="23"/>
        </w:numPr>
        <w:rPr>
          <w:rFonts w:ascii="Arial" w:cs="Arial" w:eastAsia="Arial" w:hAnsi="Arial"/>
          <w:sz w:val="19"/>
          <w:szCs w:val="19"/>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In connection with the execution and delivery of this Amendment, the Borrower and each other Loan Party, as debtors, grantors, pledgors, guarantors, or in other similar capacities in which such Loan Parties grant liens or security interests in their properties, in each case under the Loan Documents, hereby (i) acknowledges, ratifies and reaffirms all of its payment and performance Obligations, contingent or otherwise, under each Loan Document to which it is a party and all such payment Obligations are without offset, defense (other than payment in full in cash of the Obligations excluding contingent and indemnification obligations for which no claim has been asserted) or counterclaim of any kind, nature or description whatsoever; (ii) to the extent such Loan Party granted Liens on or security interests in any of its property pursuant to any such Loan Document (including, but not limited to, the Guaranty and Security Agreement) which has not heretofore been released, hereby ratifies, reaffirms, and re-grants such grant of security and confirms that such Liens and security interests continue to secure the Obligations, and hereby acknowledges and agrees that Collateral Agent, on behalf of itself and the Secured Parties, has and shall continue to have valid, enforceable and perfected first priority liens (subject to certain Permitted Liens) upon and security interests in the Collateral (except as the result of any act or omission or failure to maintain physical possession of such Collateral by the Collateral Agent). Without limiting the foregoing sentence, each Guarantor hereby acknowledges, ratifies and reaffirms the guaranty of the Obligations contained in the Guaranty and Security Agreement.</w:t>
      </w:r>
    </w:p>
    <w:p>
      <w:pPr>
        <w:spacing w:after="0" w:line="184" w:lineRule="exact"/>
        <w:rPr>
          <w:rFonts w:ascii="Arial" w:cs="Arial" w:eastAsia="Arial" w:hAnsi="Arial"/>
          <w:sz w:val="19"/>
          <w:szCs w:val="19"/>
          <w:color w:val="auto"/>
        </w:rPr>
      </w:pPr>
    </w:p>
    <w:p>
      <w:pPr>
        <w:jc w:val="both"/>
        <w:ind w:firstLine="1304"/>
        <w:spacing w:after="0" w:line="236" w:lineRule="auto"/>
        <w:tabs>
          <w:tab w:leader="none" w:pos="1767" w:val="left"/>
        </w:tabs>
        <w:numPr>
          <w:ilvl w:val="1"/>
          <w:numId w:val="23"/>
        </w:numPr>
        <w:rPr>
          <w:rFonts w:ascii="Arial" w:cs="Arial" w:eastAsia="Arial" w:hAnsi="Arial"/>
          <w:sz w:val="19"/>
          <w:szCs w:val="19"/>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agrees to pay to the Administrative Agent and each Lender, from time to time, upon presentation of a reasonably detailed statement, whether or not all or any of the transactions contemplated by this Amendment are consummated, all reasonable and documented out-of-pocket costs and expenses of the Administrative Agent and the Lenders (including the reasonable and documented fees and expenses of one primary external legal counsel, one regulatory counsel and one local counsel in each jurisdiction and, solely in the case of a conflict of interest, one additional counsel in each applicable jurisdiction to each affected group similarly situated taken as a whole, to the Administrative Agent and the Lenders) in connection with the preparation, negotiation, execution, delivery or administration of this Amendment and any agreements prepared, negotiated, executed or delivered in connection with the transactions contemplated hereby, all in accordance with the terms and conditions set forth in Section 12.05 of the Loan Agreement.</w:t>
      </w:r>
    </w:p>
    <w:p>
      <w:pPr>
        <w:sectPr>
          <w:pgSz w:w="11900" w:h="16838" w:orient="portrait"/>
          <w:cols w:equalWidth="0" w:num="1">
            <w:col w:w="11240"/>
          </w:cols>
          <w:pgMar w:left="320" w:top="1405" w:right="339" w:bottom="1440" w:gutter="0" w:footer="0" w:header="0"/>
        </w:sectPr>
      </w:pPr>
    </w:p>
    <w:bookmarkStart w:id="43" w:name="page44"/>
    <w:bookmarkEnd w:id="43"/>
    <w:p>
      <w:pPr>
        <w:ind w:firstLine="1304"/>
        <w:spacing w:after="0" w:line="225" w:lineRule="auto"/>
        <w:tabs>
          <w:tab w:leader="none" w:pos="1756"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Amendment shall be binding upon and inure to the benefit of each of the Borrower, the other Loan Parties and other parties hereto and their respective successors and assigns.</w:t>
      </w:r>
    </w:p>
    <w:p>
      <w:pPr>
        <w:spacing w:after="0" w:line="181" w:lineRule="exact"/>
        <w:rPr>
          <w:rFonts w:ascii="Arial" w:cs="Arial" w:eastAsia="Arial" w:hAnsi="Arial"/>
          <w:sz w:val="22"/>
          <w:szCs w:val="22"/>
          <w:color w:val="auto"/>
        </w:rPr>
      </w:pPr>
    </w:p>
    <w:p>
      <w:pPr>
        <w:jc w:val="both"/>
        <w:ind w:firstLine="1304"/>
        <w:spacing w:after="0" w:line="236" w:lineRule="auto"/>
        <w:tabs>
          <w:tab w:leader="none" w:pos="1847" w:val="left"/>
        </w:tabs>
        <w:numPr>
          <w:ilvl w:val="0"/>
          <w:numId w:val="24"/>
        </w:numPr>
        <w:rPr>
          <w:rFonts w:ascii="Arial" w:cs="Arial" w:eastAsia="Arial" w:hAnsi="Arial"/>
          <w:sz w:val="19"/>
          <w:szCs w:val="19"/>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All provisions of this Amendment are severable, and the unenforceability or invalidity of any of the provisions of this Amendment shall not affect the validity or enforceability of the remaining provisions of this Amendment. Should any part of this Amendment be held invalid or unenforceable in any jurisdiction, the invalid or unenforceable portion or portions shall be removed (and no more) only in that jurisdiction, and the remainder shall be enforced as fully as possible (removing the minimum amount possible) in that jurisdiction. In lieu of such invalid or unenforceable provision, the parties hereto will negotiate in good faith to add as a part of this Amendment a legal, valid and enforceable provision as similar in terms to such invalid or unenforceable provision as may be possible.</w:t>
      </w:r>
    </w:p>
    <w:p>
      <w:pPr>
        <w:spacing w:after="0" w:line="184" w:lineRule="exact"/>
        <w:rPr>
          <w:rFonts w:ascii="Arial" w:cs="Arial" w:eastAsia="Arial" w:hAnsi="Arial"/>
          <w:sz w:val="19"/>
          <w:szCs w:val="19"/>
          <w:color w:val="auto"/>
        </w:rPr>
      </w:pPr>
    </w:p>
    <w:p>
      <w:pPr>
        <w:jc w:val="both"/>
        <w:ind w:firstLine="1304"/>
        <w:spacing w:after="0" w:line="214" w:lineRule="auto"/>
        <w:tabs>
          <w:tab w:leader="none" w:pos="1767"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Reviewed by Attorneys</w:t>
      </w:r>
      <w:r>
        <w:rPr>
          <w:rFonts w:ascii="Arial" w:cs="Arial" w:eastAsia="Arial" w:hAnsi="Arial"/>
          <w:sz w:val="20"/>
          <w:szCs w:val="20"/>
          <w:color w:val="auto"/>
        </w:rPr>
        <w:t>. This Amendment is the result of negotiations among and have been reviewed by counsel to the Administrative Agent, Loan Parties, Lenders and the other parties hereto and are the products of all parties; accordingly, they shall not be construed against the Administrative Agent or Lenders merely because of the Administrative Agent’s or Lenders’ involvement in their preparation.</w:t>
      </w:r>
    </w:p>
    <w:p>
      <w:pPr>
        <w:spacing w:after="0" w:line="185" w:lineRule="exact"/>
        <w:rPr>
          <w:rFonts w:ascii="Arial" w:cs="Arial" w:eastAsia="Arial" w:hAnsi="Arial"/>
          <w:sz w:val="22"/>
          <w:szCs w:val="22"/>
          <w:color w:val="auto"/>
        </w:rPr>
      </w:pPr>
    </w:p>
    <w:p>
      <w:pPr>
        <w:jc w:val="both"/>
        <w:ind w:firstLine="1304"/>
        <w:spacing w:after="0" w:line="214" w:lineRule="auto"/>
        <w:tabs>
          <w:tab w:leader="none" w:pos="1980"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VALIDITY, INTERPRETATION, CONSTRUCTION AND PERFORMANCE HEREOF SHALL BE GOVERNED BY AND CONSTRUED AND ENFORCED IN ACCORDANCE WITH, AND ANY CLAIM BY ANY PARTY HERETO AGAINST ANY OTHER PARTY HERETO SHALL BE DETERMINED IN ACCORDANCE WITH, THE INTERNAL LAWS OF THE STATE OF NEW YORK.</w:t>
      </w:r>
    </w:p>
    <w:p>
      <w:pPr>
        <w:spacing w:after="0" w:line="185" w:lineRule="exact"/>
        <w:rPr>
          <w:rFonts w:ascii="Arial" w:cs="Arial" w:eastAsia="Arial" w:hAnsi="Arial"/>
          <w:sz w:val="22"/>
          <w:szCs w:val="22"/>
          <w:color w:val="auto"/>
        </w:rPr>
      </w:pPr>
    </w:p>
    <w:p>
      <w:pPr>
        <w:ind w:firstLine="1304"/>
        <w:spacing w:after="0" w:line="271" w:lineRule="auto"/>
        <w:tabs>
          <w:tab w:leader="none" w:pos="1788" w:val="left"/>
        </w:tabs>
        <w:numPr>
          <w:ilvl w:val="0"/>
          <w:numId w:val="24"/>
        </w:numPr>
        <w:rPr>
          <w:rFonts w:ascii="Arial" w:cs="Arial" w:eastAsia="Arial" w:hAnsi="Arial"/>
          <w:sz w:val="19"/>
          <w:szCs w:val="19"/>
          <w:color w:val="auto"/>
        </w:rPr>
      </w:pPr>
      <w:r>
        <w:rPr>
          <w:rFonts w:ascii="Arial" w:cs="Arial" w:eastAsia="Arial" w:hAnsi="Arial"/>
          <w:sz w:val="18"/>
          <w:szCs w:val="18"/>
          <w:u w:val="single" w:color="auto"/>
          <w:color w:val="auto"/>
        </w:rPr>
        <w:t>Incorporation of Loan Agreement Provisions</w:t>
      </w:r>
      <w:r>
        <w:rPr>
          <w:rFonts w:ascii="Arial" w:cs="Arial" w:eastAsia="Arial" w:hAnsi="Arial"/>
          <w:sz w:val="18"/>
          <w:szCs w:val="18"/>
          <w:color w:val="auto"/>
        </w:rPr>
        <w:t>. The provisions contained in Sections 1.02, 12.04, 12.14, 13.01, 13.02, 13.03 and 13.04 of the Loan Agreement are incorporated herein by reference to the same extent as if reproduced herein in their entirety.</w:t>
      </w:r>
    </w:p>
    <w:p>
      <w:pPr>
        <w:spacing w:after="0" w:line="154" w:lineRule="exact"/>
        <w:rPr>
          <w:rFonts w:ascii="Arial" w:cs="Arial" w:eastAsia="Arial" w:hAnsi="Arial"/>
          <w:sz w:val="19"/>
          <w:szCs w:val="19"/>
          <w:color w:val="auto"/>
        </w:rPr>
      </w:pPr>
    </w:p>
    <w:p>
      <w:pPr>
        <w:jc w:val="both"/>
        <w:ind w:firstLine="1304"/>
        <w:spacing w:after="0" w:line="216" w:lineRule="auto"/>
        <w:tabs>
          <w:tab w:leader="none" w:pos="1888"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Any number of counterparts of this Amendment, including facsimiles and other electronic copies (including .pdf), may be executed by the parties hereto. Each such counterpart shall be, and shall be deemed to be, an original instrument, but all such counterparts taken together shall constitute one and the same agreement.</w:t>
      </w:r>
    </w:p>
    <w:p>
      <w:pPr>
        <w:spacing w:after="0" w:line="181" w:lineRule="exact"/>
        <w:rPr>
          <w:rFonts w:ascii="Arial" w:cs="Arial" w:eastAsia="Arial" w:hAnsi="Arial"/>
          <w:sz w:val="22"/>
          <w:szCs w:val="22"/>
          <w:color w:val="auto"/>
        </w:rPr>
      </w:pPr>
    </w:p>
    <w:p>
      <w:pPr>
        <w:jc w:val="both"/>
        <w:ind w:firstLine="1304"/>
        <w:spacing w:after="0" w:line="211" w:lineRule="auto"/>
        <w:tabs>
          <w:tab w:leader="none" w:pos="1786"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the Loan Agreement and the other Loan Documents contain the entire agreement of the parties with respect to the subject matter hereof and thereof and supersede all prior negotiations, agreements and understandings with respect thereto, both written and oral. This Amendment may not be contradicted by evidence of prior, contemporaneous or subsequent oral agreements of the parties. There are no unwritten or oral agreements between the parties. By executing and delivering this Amendment, each Loan Party hereby fully and irrevocably releases and agrees not to assert in any manner any and all claims which such Loan Party may have at law or in equity in relation to all prior written and oral discussions and understandings relating to this Amendment and the subject matter 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blank; signature pages follow]</w:t>
      </w:r>
    </w:p>
    <w:p>
      <w:pPr>
        <w:ind w:firstLine="648"/>
        <w:spacing w:after="0" w:line="227" w:lineRule="auto"/>
        <w:rPr>
          <w:sz w:val="20"/>
          <w:szCs w:val="20"/>
          <w:color w:val="auto"/>
        </w:rPr>
      </w:pPr>
      <w:r>
        <w:rPr>
          <w:rFonts w:ascii="Arial" w:cs="Arial" w:eastAsia="Arial" w:hAnsi="Arial"/>
          <w:sz w:val="20"/>
          <w:szCs w:val="20"/>
          <w:color w:val="auto"/>
        </w:rPr>
        <w:t>IN WITNESS WHEREOF, the parties have caused this Amendment to be duly executed by their respective officers thereunto duly authorized, as of the date first above written.</w:t>
      </w:r>
    </w:p>
    <w:p>
      <w:pPr>
        <w:spacing w:after="0" w:line="380"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b w:val="1"/>
          <w:bCs w:val="1"/>
          <w:color w:val="auto"/>
        </w:rPr>
        <w:t>BORROWER:</w:t>
        <w:tab/>
        <w:t>MIMEDX GROUP, INC.</w:t>
      </w:r>
    </w:p>
    <w:p>
      <w:pPr>
        <w:spacing w:after="0" w:line="3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1309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3900"/>
        <w:spacing w:after="0" w:line="211" w:lineRule="auto"/>
        <w:rPr>
          <w:sz w:val="20"/>
          <w:szCs w:val="20"/>
          <w:color w:val="auto"/>
        </w:rPr>
      </w:pPr>
      <w:r>
        <w:rPr>
          <w:rFonts w:ascii="Arial" w:cs="Arial" w:eastAsia="Arial" w:hAnsi="Arial"/>
          <w:sz w:val="20"/>
          <w:szCs w:val="20"/>
          <w:color w:val="auto"/>
        </w:rPr>
        <w:t>Name: Peter M. Carlson</w:t>
      </w:r>
    </w:p>
    <w:p>
      <w:pPr>
        <w:ind w:left="39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19" w:right="339"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660" w:val="left"/>
        </w:tabs>
        <w:rPr>
          <w:sz w:val="20"/>
          <w:szCs w:val="20"/>
          <w:color w:val="auto"/>
        </w:rPr>
      </w:pPr>
      <w:r>
        <w:rPr>
          <w:rFonts w:ascii="Arial" w:cs="Arial" w:eastAsia="Arial" w:hAnsi="Arial"/>
          <w:sz w:val="20"/>
          <w:szCs w:val="20"/>
          <w:b w:val="1"/>
          <w:bCs w:val="1"/>
          <w:color w:val="auto"/>
        </w:rPr>
        <w:t>GUARANTORS:</w:t>
        <w:tab/>
        <w:t>MIMEDX TISSUE SERVICES, LLC</w:t>
      </w:r>
    </w:p>
    <w:p>
      <w:pPr>
        <w:spacing w:after="0" w:line="3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Peter M. Carlson</w:t>
      </w:r>
    </w:p>
    <w:p>
      <w:pPr>
        <w:ind w:left="3900"/>
        <w:spacing w:after="0" w:line="211" w:lineRule="auto"/>
        <w:rPr>
          <w:sz w:val="20"/>
          <w:szCs w:val="20"/>
          <w:color w:val="auto"/>
        </w:rPr>
      </w:pPr>
      <w:r>
        <w:rPr>
          <w:rFonts w:ascii="Arial" w:cs="Arial" w:eastAsia="Arial" w:hAnsi="Arial"/>
          <w:sz w:val="20"/>
          <w:szCs w:val="20"/>
          <w:color w:val="auto"/>
        </w:rPr>
        <w:t>Name: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11309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MIMEDX PROCESSING SERVICES, LLC</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130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3900"/>
        <w:spacing w:after="0" w:line="211" w:lineRule="auto"/>
        <w:rPr>
          <w:sz w:val="20"/>
          <w:szCs w:val="20"/>
          <w:color w:val="auto"/>
        </w:rPr>
      </w:pPr>
      <w:r>
        <w:rPr>
          <w:rFonts w:ascii="Arial" w:cs="Arial" w:eastAsia="Arial" w:hAnsi="Arial"/>
          <w:sz w:val="20"/>
          <w:szCs w:val="20"/>
          <w:color w:val="auto"/>
        </w:rPr>
        <w:t>Name: Peter M. Carlson</w:t>
      </w:r>
    </w:p>
    <w:p>
      <w:pPr>
        <w:ind w:left="3900"/>
        <w:spacing w:after="0" w:line="197" w:lineRule="auto"/>
        <w:rPr>
          <w:sz w:val="20"/>
          <w:szCs w:val="20"/>
          <w:color w:val="auto"/>
        </w:rPr>
      </w:pPr>
      <w:r>
        <w:rPr>
          <w:rFonts w:ascii="Arial" w:cs="Arial" w:eastAsia="Arial" w:hAnsi="Arial"/>
          <w:sz w:val="20"/>
          <w:szCs w:val="20"/>
          <w:color w:val="auto"/>
        </w:rPr>
        <w:t>Title: Chief Financial Officer</w:t>
      </w:r>
    </w:p>
    <w:p>
      <w:pPr>
        <w:ind w:left="3900"/>
        <w:spacing w:after="0" w:line="211"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spacing w:after="0"/>
        <w:tabs>
          <w:tab w:leader="none" w:pos="2740" w:val="left"/>
        </w:tabs>
        <w:rPr>
          <w:sz w:val="20"/>
          <w:szCs w:val="20"/>
          <w:color w:val="auto"/>
        </w:rPr>
      </w:pPr>
      <w:r>
        <w:rPr>
          <w:rFonts w:ascii="Arial" w:cs="Arial" w:eastAsia="Arial" w:hAnsi="Arial"/>
          <w:sz w:val="20"/>
          <w:szCs w:val="20"/>
          <w:b w:val="1"/>
          <w:bCs w:val="1"/>
          <w:color w:val="auto"/>
        </w:rPr>
        <w:t>ADMINISTRATIVE AGENT:</w:t>
      </w:r>
      <w:r>
        <w:rPr>
          <w:sz w:val="20"/>
          <w:szCs w:val="20"/>
          <w:color w:val="auto"/>
        </w:rPr>
        <w:tab/>
      </w:r>
      <w:r>
        <w:rPr>
          <w:rFonts w:ascii="Arial" w:cs="Arial" w:eastAsia="Arial" w:hAnsi="Arial"/>
          <w:sz w:val="18"/>
          <w:szCs w:val="18"/>
          <w:b w:val="1"/>
          <w:bCs w:val="1"/>
          <w:color w:val="auto"/>
        </w:rPr>
        <w:t>HAYFIN SERVICES LLP</w:t>
      </w:r>
      <w:r>
        <w:rPr>
          <w:rFonts w:ascii="Arial" w:cs="Arial" w:eastAsia="Arial" w:hAnsi="Arial"/>
          <w:sz w:val="18"/>
          <w:szCs w:val="18"/>
          <w:color w:val="auto"/>
        </w:rPr>
        <w:t>, as Administrative Agent and Collateral Agent</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t>
      </w:r>
    </w:p>
    <w:p>
      <w:pPr>
        <w:ind w:left="3900"/>
        <w:spacing w:after="0" w:line="211" w:lineRule="auto"/>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3975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97510"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Authorised Signatory</w:t>
      </w:r>
    </w:p>
    <w:p>
      <w:pPr>
        <w:sectPr>
          <w:pgSz w:w="11900" w:h="16838" w:orient="portrait"/>
          <w:cols w:equalWidth="0" w:num="1">
            <w:col w:w="10139"/>
          </w:cols>
          <w:pgMar w:left="320" w:top="1399" w:right="1440" w:bottom="1440" w:gutter="0" w:footer="0" w:header="0"/>
        </w:sectPr>
      </w:pPr>
    </w:p>
    <w:bookmarkStart w:id="46" w:name="page47"/>
    <w:bookmarkEnd w:id="46"/>
    <w:p>
      <w:pPr>
        <w:spacing w:after="0" w:line="200" w:lineRule="exact"/>
        <w:rPr>
          <w:sz w:val="20"/>
          <w:szCs w:val="20"/>
          <w:color w:val="auto"/>
        </w:rPr>
      </w:pPr>
    </w:p>
    <w:p>
      <w:pPr>
        <w:spacing w:after="0" w:line="241"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19"/>
          <w:szCs w:val="19"/>
          <w:b w:val="1"/>
          <w:bCs w:val="1"/>
          <w:color w:val="auto"/>
        </w:rPr>
        <w:t>Hayfin DLF III Luxco 1 S.àr.l</w:t>
      </w:r>
      <w:r>
        <w:rPr>
          <w:rFonts w:ascii="Arial" w:cs="Arial" w:eastAsia="Arial" w:hAnsi="Arial"/>
          <w:sz w:val="17"/>
          <w:szCs w:val="17"/>
          <w:color w:val="auto"/>
        </w:rPr>
        <w:t>, as a Lender</w:t>
      </w: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 [***]</w:t>
      </w:r>
    </w:p>
    <w:p>
      <w:pPr>
        <w:ind w:left="3900"/>
        <w:spacing w:after="0" w:line="211" w:lineRule="auto"/>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701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20"/>
          <w:szCs w:val="20"/>
          <w:color w:val="auto"/>
        </w:rPr>
        <w:t>Title: Manager Manager</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Hayfin Sapphire IV Luxco SCA</w:t>
      </w:r>
      <w:r>
        <w:rPr>
          <w:rFonts w:ascii="Arial" w:cs="Arial" w:eastAsia="Arial" w:hAnsi="Arial"/>
          <w:sz w:val="17"/>
          <w:szCs w:val="17"/>
          <w:color w:val="auto"/>
        </w:rPr>
        <w:t>, as a Lender, acting by its managing shareholder Hayfin Saphirre IV Luxco Sarl</w:t>
      </w: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 [***]</w:t>
      </w:r>
    </w:p>
    <w:p>
      <w:pPr>
        <w:ind w:left="3900"/>
        <w:spacing w:after="0" w:line="225" w:lineRule="auto"/>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-135890</wp:posOffset>
            </wp:positionV>
            <wp:extent cx="701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20"/>
          <w:szCs w:val="20"/>
          <w:color w:val="auto"/>
        </w:rPr>
        <w:t>Title: Manager Manager</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Hayfin PT Luxco 2 S.àr.l</w:t>
      </w:r>
      <w:r>
        <w:rPr>
          <w:rFonts w:ascii="Arial" w:cs="Arial" w:eastAsia="Arial" w:hAnsi="Arial"/>
          <w:sz w:val="19"/>
          <w:szCs w:val="19"/>
          <w:color w:val="auto"/>
        </w:rPr>
        <w:t>, as a Lender</w:t>
      </w:r>
    </w:p>
    <w:p>
      <w:pPr>
        <w:spacing w:after="0" w:line="39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 [***]</w:t>
      </w:r>
    </w:p>
    <w:p>
      <w:pPr>
        <w:ind w:left="3900"/>
        <w:spacing w:after="0" w:line="211" w:lineRule="auto"/>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701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Manager Manager B</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Infinity Holdco Private Debt II S.àr.l</w:t>
      </w:r>
      <w:r>
        <w:rPr>
          <w:rFonts w:ascii="Arial" w:cs="Arial" w:eastAsia="Arial" w:hAnsi="Arial"/>
          <w:sz w:val="19"/>
          <w:szCs w:val="19"/>
          <w:color w:val="auto"/>
        </w:rPr>
        <w:t>, as a Lender</w:t>
      </w:r>
    </w:p>
    <w:p>
      <w:pPr>
        <w:spacing w:after="0" w:line="39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701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ind w:left="3900"/>
        <w:spacing w:after="0" w:line="197" w:lineRule="auto"/>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 [***]</w:t>
      </w:r>
    </w:p>
    <w:p>
      <w:pPr>
        <w:jc w:val="center"/>
        <w:ind w:right="419"/>
        <w:spacing w:after="0"/>
        <w:rPr>
          <w:sz w:val="20"/>
          <w:szCs w:val="20"/>
          <w:color w:val="auto"/>
        </w:rPr>
      </w:pPr>
      <w:r>
        <w:rPr>
          <w:rFonts w:ascii="Arial" w:cs="Arial" w:eastAsia="Arial" w:hAnsi="Arial"/>
          <w:sz w:val="20"/>
          <w:szCs w:val="20"/>
          <w:color w:val="auto"/>
        </w:rPr>
        <w:t>Title: Manager Manager</w:t>
      </w:r>
    </w:p>
    <w:p>
      <w:pPr>
        <w:sectPr>
          <w:pgSz w:w="11900" w:h="16838" w:orient="portrait"/>
          <w:cols w:equalWidth="0" w:num="1">
            <w:col w:w="10139"/>
          </w:cols>
          <w:pgMar w:left="320" w:top="1440"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Loan Agreement Changed Pages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764540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LOAN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June 30,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amended by that certain Amendment No. 1 to Loan Agreement, dated as of February 28, 2022</w:t>
      </w:r>
      <w:r>
        <w:rPr>
          <w:rFonts w:ascii="Arial" w:cs="Arial" w:eastAsia="Arial" w:hAnsi="Arial"/>
          <w:sz w:val="19"/>
          <w:szCs w:val="19"/>
          <w:u w:val="single" w:color="auto"/>
          <w:color w:val="0000FF"/>
        </w:rPr>
        <w:t>, and that certain Amendment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rPr>
        <w:t>No. 2 to Loan Agreement, dated as of June 15, 2023</w:t>
      </w:r>
      <w:r>
        <w:rPr>
          <w:rFonts w:ascii="Arial" w:cs="Arial" w:eastAsia="Arial" w:hAnsi="Arial"/>
          <w:sz w:val="22"/>
          <w:szCs w:val="22"/>
          <w:color w:val="000000"/>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MIMEDX GROUP, INC.,</w:t>
      </w:r>
    </w:p>
    <w:p>
      <w:pPr>
        <w:jc w:val="center"/>
        <w:spacing w:after="0"/>
        <w:rPr>
          <w:sz w:val="20"/>
          <w:szCs w:val="20"/>
          <w:color w:val="auto"/>
        </w:rPr>
      </w:pPr>
      <w:r>
        <w:rPr>
          <w:rFonts w:ascii="Arial" w:cs="Arial" w:eastAsia="Arial" w:hAnsi="Arial"/>
          <w:sz w:val="22"/>
          <w:szCs w:val="22"/>
          <w:color w:val="auto"/>
        </w:rPr>
        <w:t>as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the other GUARANTORS from time to time party hereto,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from time to time party hereto,</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HAYFIN SERVICES LLP,</w:t>
      </w:r>
    </w:p>
    <w:p>
      <w:pPr>
        <w:jc w:val="center"/>
        <w:spacing w:after="0"/>
        <w:rPr>
          <w:sz w:val="20"/>
          <w:szCs w:val="20"/>
          <w:color w:val="auto"/>
        </w:rPr>
      </w:pPr>
      <w:r>
        <w:rPr>
          <w:rFonts w:ascii="Arial" w:cs="Arial" w:eastAsia="Arial" w:hAnsi="Arial"/>
          <w:sz w:val="22"/>
          <w:szCs w:val="22"/>
          <w:color w:val="auto"/>
        </w:rPr>
        <w:t>as Administrative Agent,</w:t>
      </w:r>
    </w:p>
    <w:p>
      <w:pPr>
        <w:spacing w:after="0" w:line="37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HAYFIN SERVICES LLP,</w:t>
      </w:r>
    </w:p>
    <w:p>
      <w:pPr>
        <w:jc w:val="center"/>
        <w:spacing w:after="0"/>
        <w:rPr>
          <w:sz w:val="20"/>
          <w:szCs w:val="20"/>
          <w:color w:val="auto"/>
        </w:rPr>
      </w:pPr>
      <w:r>
        <w:rPr>
          <w:rFonts w:ascii="Arial" w:cs="Arial" w:eastAsia="Arial" w:hAnsi="Arial"/>
          <w:sz w:val="22"/>
          <w:szCs w:val="22"/>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347345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60" w:top="1432" w:right="459" w:bottom="1440" w:gutter="0" w:footer="0" w:header="0"/>
        </w:sectPr>
      </w:pPr>
    </w:p>
    <w:bookmarkStart w:id="48" w:name="page49"/>
    <w:bookmarkEnd w:id="48"/>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Article I</w:t>
      </w:r>
    </w:p>
    <w:p>
      <w:pPr>
        <w:spacing w:after="0" w:line="179"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22"/>
          <w:szCs w:val="22"/>
          <w:color w:val="auto"/>
        </w:rPr>
        <w:t>DEFINITIONS</w:t>
      </w:r>
      <w:r>
        <w:rPr>
          <w:sz w:val="20"/>
          <w:szCs w:val="20"/>
          <w:color w:val="auto"/>
        </w:rPr>
        <w:tab/>
      </w:r>
      <w:r>
        <w:rPr>
          <w:rFonts w:ascii="Arial" w:cs="Arial" w:eastAsia="Arial" w:hAnsi="Arial"/>
          <w:sz w:val="21"/>
          <w:szCs w:val="21"/>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-17780</wp:posOffset>
            </wp:positionV>
            <wp:extent cx="205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1.01</w:t>
            </w:r>
          </w:p>
        </w:tc>
        <w:tc>
          <w:tcPr>
            <w:tcW w:w="100" w:type="dxa"/>
            <w:vAlign w:val="bottom"/>
          </w:tcPr>
          <w:p>
            <w:pPr>
              <w:spacing w:after="0"/>
              <w:rPr>
                <w:sz w:val="21"/>
                <w:szCs w:val="21"/>
                <w:color w:val="auto"/>
              </w:rPr>
            </w:pPr>
          </w:p>
        </w:tc>
        <w:tc>
          <w:tcPr>
            <w:tcW w:w="1400" w:type="dxa"/>
            <w:vAlign w:val="bottom"/>
            <w:gridSpan w:val="15"/>
          </w:tcPr>
          <w:p>
            <w:pPr>
              <w:spacing w:after="0"/>
              <w:rPr>
                <w:sz w:val="20"/>
                <w:szCs w:val="20"/>
                <w:color w:val="auto"/>
              </w:rPr>
            </w:pPr>
            <w:r>
              <w:rPr>
                <w:rFonts w:ascii="Arial" w:cs="Arial" w:eastAsia="Arial" w:hAnsi="Arial"/>
                <w:sz w:val="22"/>
                <w:szCs w:val="22"/>
                <w:color w:val="auto"/>
                <w:w w:val="95"/>
              </w:rPr>
              <w:t>Defined Terms</w:t>
            </w:r>
          </w:p>
        </w:tc>
        <w:tc>
          <w:tcPr>
            <w:tcW w:w="220" w:type="dxa"/>
            <w:vAlign w:val="bottom"/>
            <w:gridSpan w:val="3"/>
          </w:tcPr>
          <w:p>
            <w:pPr>
              <w:jc w:val="right"/>
              <w:spacing w:after="0"/>
              <w:rPr>
                <w:sz w:val="20"/>
                <w:szCs w:val="20"/>
                <w:color w:val="auto"/>
              </w:rPr>
            </w:pPr>
            <w:r>
              <w:rPr>
                <w:rFonts w:ascii="Arial" w:cs="Arial" w:eastAsia="Arial" w:hAnsi="Arial"/>
                <w:sz w:val="22"/>
                <w:szCs w:val="22"/>
                <w:color w:val="auto"/>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00" w:type="dxa"/>
            <w:vAlign w:val="bottom"/>
            <w:gridSpan w:val="2"/>
          </w:tcPr>
          <w:p>
            <w:pPr>
              <w:spacing w:after="0" w:line="224" w:lineRule="exact"/>
              <w:rPr>
                <w:sz w:val="20"/>
                <w:szCs w:val="20"/>
                <w:color w:val="auto"/>
              </w:rPr>
            </w:pPr>
            <w:r>
              <w:rPr>
                <w:rFonts w:ascii="Arial" w:cs="Arial" w:eastAsia="Arial" w:hAnsi="Arial"/>
                <w:sz w:val="22"/>
                <w:szCs w:val="22"/>
                <w:color w:val="auto"/>
                <w:w w:val="96"/>
              </w:rPr>
              <w:t>Section 1.02</w:t>
            </w:r>
          </w:p>
        </w:tc>
        <w:tc>
          <w:tcPr>
            <w:tcW w:w="100" w:type="dxa"/>
            <w:vAlign w:val="bottom"/>
          </w:tcPr>
          <w:p>
            <w:pPr>
              <w:spacing w:after="0"/>
              <w:rPr>
                <w:sz w:val="19"/>
                <w:szCs w:val="19"/>
                <w:color w:val="auto"/>
              </w:rPr>
            </w:pPr>
          </w:p>
        </w:tc>
        <w:tc>
          <w:tcPr>
            <w:tcW w:w="2660" w:type="dxa"/>
            <w:vAlign w:val="bottom"/>
            <w:gridSpan w:val="35"/>
          </w:tcPr>
          <w:p>
            <w:pPr>
              <w:spacing w:after="0" w:line="224" w:lineRule="exact"/>
              <w:rPr>
                <w:sz w:val="20"/>
                <w:szCs w:val="20"/>
                <w:color w:val="auto"/>
              </w:rPr>
            </w:pPr>
            <w:r>
              <w:rPr>
                <w:rFonts w:ascii="Arial" w:cs="Arial" w:eastAsia="Arial" w:hAnsi="Arial"/>
                <w:sz w:val="22"/>
                <w:szCs w:val="22"/>
                <w:color w:val="auto"/>
                <w:w w:val="94"/>
              </w:rPr>
              <w:t>Other Interpretive Provisions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spacing w:after="0" w:line="224" w:lineRule="exact"/>
              <w:rPr>
                <w:sz w:val="20"/>
                <w:szCs w:val="20"/>
                <w:color w:val="auto"/>
              </w:rPr>
            </w:pPr>
            <w:r>
              <w:rPr>
                <w:rFonts w:ascii="Arial" w:cs="Arial" w:eastAsia="Arial" w:hAnsi="Arial"/>
                <w:sz w:val="22"/>
                <w:szCs w:val="22"/>
                <w:color w:val="FF0000"/>
                <w:strike w:val="1"/>
                <w:w w:val="73"/>
              </w:rPr>
              <w:t>47</w:t>
            </w:r>
          </w:p>
        </w:tc>
        <w:tc>
          <w:tcPr>
            <w:tcW w:w="220" w:type="dxa"/>
            <w:vAlign w:val="bottom"/>
            <w:tcBorders>
              <w:bottom w:val="single" w:sz="8" w:color="0000FF"/>
            </w:tcBorders>
            <w:gridSpan w:val="5"/>
          </w:tcPr>
          <w:p>
            <w:pPr>
              <w:jc w:val="right"/>
              <w:spacing w:after="0" w:line="224" w:lineRule="exact"/>
              <w:rPr>
                <w:sz w:val="20"/>
                <w:szCs w:val="20"/>
                <w:color w:val="auto"/>
              </w:rPr>
            </w:pPr>
            <w:r>
              <w:rPr>
                <w:rFonts w:ascii="Arial" w:cs="Arial" w:eastAsia="Arial" w:hAnsi="Arial"/>
                <w:sz w:val="22"/>
                <w:szCs w:val="22"/>
                <w:color w:val="0000FF"/>
                <w:w w:val="81"/>
              </w:rPr>
              <w:t>50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1.03</w:t>
            </w:r>
          </w:p>
        </w:tc>
        <w:tc>
          <w:tcPr>
            <w:tcW w:w="100" w:type="dxa"/>
            <w:vAlign w:val="bottom"/>
          </w:tcPr>
          <w:p>
            <w:pPr>
              <w:spacing w:after="0"/>
              <w:rPr>
                <w:sz w:val="17"/>
                <w:szCs w:val="17"/>
                <w:color w:val="auto"/>
              </w:rPr>
            </w:pPr>
          </w:p>
        </w:tc>
        <w:tc>
          <w:tcPr>
            <w:tcW w:w="2960" w:type="dxa"/>
            <w:vAlign w:val="bottom"/>
            <w:gridSpan w:val="42"/>
          </w:tcPr>
          <w:p>
            <w:pPr>
              <w:spacing w:after="0" w:line="195" w:lineRule="exact"/>
              <w:rPr>
                <w:sz w:val="20"/>
                <w:szCs w:val="20"/>
                <w:color w:val="auto"/>
              </w:rPr>
            </w:pPr>
            <w:r>
              <w:rPr>
                <w:rFonts w:ascii="Arial" w:cs="Arial" w:eastAsia="Arial" w:hAnsi="Arial"/>
                <w:sz w:val="22"/>
                <w:szCs w:val="22"/>
                <w:color w:val="auto"/>
                <w:w w:val="91"/>
              </w:rPr>
              <w:t>Accounting Terms and Principles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9"/>
              </w:rPr>
              <w:t>48</w:t>
            </w:r>
          </w:p>
        </w:tc>
        <w:tc>
          <w:tcPr>
            <w:tcW w:w="2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1"/>
              </w:rPr>
              <w:t>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1.04</w:t>
            </w:r>
          </w:p>
        </w:tc>
        <w:tc>
          <w:tcPr>
            <w:tcW w:w="100" w:type="dxa"/>
            <w:vAlign w:val="bottom"/>
          </w:tcPr>
          <w:p>
            <w:pPr>
              <w:spacing w:after="0"/>
              <w:rPr>
                <w:sz w:val="17"/>
                <w:szCs w:val="17"/>
                <w:color w:val="auto"/>
              </w:rPr>
            </w:pPr>
          </w:p>
        </w:tc>
        <w:tc>
          <w:tcPr>
            <w:tcW w:w="860" w:type="dxa"/>
            <w:vAlign w:val="bottom"/>
            <w:gridSpan w:val="5"/>
          </w:tcPr>
          <w:p>
            <w:pPr>
              <w:spacing w:after="0" w:line="195" w:lineRule="exact"/>
              <w:rPr>
                <w:sz w:val="20"/>
                <w:szCs w:val="20"/>
                <w:color w:val="auto"/>
              </w:rPr>
            </w:pPr>
            <w:r>
              <w:rPr>
                <w:rFonts w:ascii="Arial" w:cs="Arial" w:eastAsia="Arial" w:hAnsi="Arial"/>
                <w:sz w:val="22"/>
                <w:szCs w:val="22"/>
                <w:color w:val="auto"/>
                <w:w w:val="89"/>
              </w:rPr>
              <w:t>Rounding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5"/>
          </w:tcPr>
          <w:p>
            <w:pPr>
              <w:ind w:left="100"/>
              <w:spacing w:after="0" w:line="196" w:lineRule="exact"/>
              <w:rPr>
                <w:sz w:val="20"/>
                <w:szCs w:val="20"/>
                <w:color w:val="auto"/>
              </w:rPr>
            </w:pPr>
            <w:r>
              <w:rPr>
                <w:rFonts w:ascii="Arial" w:cs="Arial" w:eastAsia="Arial" w:hAnsi="Arial"/>
                <w:sz w:val="19"/>
                <w:szCs w:val="19"/>
                <w:color w:val="FF0000"/>
                <w:strike w:val="1"/>
                <w:w w:val="75"/>
              </w:rPr>
              <w:t>49</w:t>
            </w:r>
          </w:p>
        </w:tc>
        <w:tc>
          <w:tcPr>
            <w:tcW w:w="340" w:type="dxa"/>
            <w:vAlign w:val="bottom"/>
            <w:gridSpan w:val="5"/>
          </w:tcPr>
          <w:p>
            <w:pPr>
              <w:spacing w:after="0" w:line="195" w:lineRule="exact"/>
              <w:rPr>
                <w:sz w:val="20"/>
                <w:szCs w:val="20"/>
                <w:color w:val="auto"/>
              </w:rPr>
            </w:pPr>
            <w:r>
              <w:rPr>
                <w:rFonts w:ascii="Arial" w:cs="Arial" w:eastAsia="Arial" w:hAnsi="Arial"/>
                <w:sz w:val="22"/>
                <w:szCs w:val="22"/>
                <w:color w:val="0000FF"/>
              </w:rPr>
              <w:t>51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1.05</w:t>
            </w:r>
          </w:p>
        </w:tc>
        <w:tc>
          <w:tcPr>
            <w:tcW w:w="100" w:type="dxa"/>
            <w:vAlign w:val="bottom"/>
            <w:vMerge w:val="restart"/>
          </w:tcPr>
          <w:p>
            <w:pPr>
              <w:spacing w:after="0" w:line="20" w:lineRule="exact"/>
              <w:rPr>
                <w:sz w:val="1"/>
                <w:szCs w:val="1"/>
                <w:color w:val="auto"/>
              </w:rPr>
            </w:pPr>
          </w:p>
        </w:tc>
        <w:tc>
          <w:tcPr>
            <w:tcW w:w="1280" w:type="dxa"/>
            <w:vAlign w:val="bottom"/>
            <w:gridSpan w:val="13"/>
            <w:vMerge w:val="restart"/>
          </w:tcPr>
          <w:p>
            <w:pPr>
              <w:spacing w:after="0" w:line="216" w:lineRule="exact"/>
              <w:rPr>
                <w:sz w:val="20"/>
                <w:szCs w:val="20"/>
                <w:color w:val="auto"/>
              </w:rPr>
            </w:pPr>
            <w:r>
              <w:rPr>
                <w:rFonts w:ascii="Arial" w:cs="Arial" w:eastAsia="Arial" w:hAnsi="Arial"/>
                <w:sz w:val="22"/>
                <w:szCs w:val="22"/>
                <w:color w:val="auto"/>
                <w:w w:val="90"/>
              </w:rPr>
              <w:t>References to</w:t>
            </w: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2"/>
            <w:vMerge w:val="restart"/>
          </w:tcPr>
          <w:p>
            <w:pPr>
              <w:jc w:val="right"/>
              <w:spacing w:after="0" w:line="216" w:lineRule="exact"/>
              <w:rPr>
                <w:sz w:val="20"/>
                <w:szCs w:val="20"/>
                <w:color w:val="auto"/>
              </w:rPr>
            </w:pPr>
            <w:r>
              <w:rPr>
                <w:rFonts w:ascii="Arial" w:cs="Arial" w:eastAsia="Arial" w:hAnsi="Arial"/>
                <w:sz w:val="22"/>
                <w:szCs w:val="22"/>
                <w:color w:val="FF0000"/>
                <w:strike w:val="1"/>
              </w:rPr>
              <w:t>49</w:t>
            </w:r>
          </w:p>
        </w:tc>
        <w:tc>
          <w:tcPr>
            <w:tcW w:w="220" w:type="dxa"/>
            <w:vAlign w:val="bottom"/>
            <w:gridSpan w:val="2"/>
            <w:vMerge w:val="restart"/>
          </w:tcPr>
          <w:p>
            <w:pPr>
              <w:jc w:val="right"/>
              <w:spacing w:after="0" w:line="216" w:lineRule="exact"/>
              <w:rPr>
                <w:sz w:val="20"/>
                <w:szCs w:val="20"/>
                <w:color w:val="auto"/>
              </w:rPr>
            </w:pPr>
            <w:r>
              <w:rPr>
                <w:rFonts w:ascii="Arial" w:cs="Arial" w:eastAsia="Arial" w:hAnsi="Arial"/>
                <w:sz w:val="22"/>
                <w:szCs w:val="22"/>
                <w:color w:val="0000FF"/>
                <w:w w:val="81"/>
              </w:rPr>
              <w:t>52</w:t>
            </w:r>
          </w:p>
        </w:tc>
        <w:tc>
          <w:tcPr>
            <w:tcW w:w="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gridSpan w:val="13"/>
            <w:vMerge w:val="continue"/>
          </w:tcPr>
          <w:p>
            <w:pPr>
              <w:spacing w:after="0"/>
              <w:rPr>
                <w:sz w:val="17"/>
                <w:szCs w:val="17"/>
                <w:color w:val="auto"/>
              </w:rPr>
            </w:pPr>
          </w:p>
        </w:tc>
        <w:tc>
          <w:tcPr>
            <w:tcW w:w="2000" w:type="dxa"/>
            <w:vAlign w:val="bottom"/>
            <w:gridSpan w:val="37"/>
          </w:tcPr>
          <w:p>
            <w:pPr>
              <w:spacing w:after="0" w:line="195" w:lineRule="exact"/>
              <w:rPr>
                <w:sz w:val="20"/>
                <w:szCs w:val="20"/>
                <w:color w:val="auto"/>
              </w:rPr>
            </w:pPr>
            <w:r>
              <w:rPr>
                <w:rFonts w:ascii="Arial" w:cs="Arial" w:eastAsia="Arial" w:hAnsi="Arial"/>
                <w:sz w:val="22"/>
                <w:szCs w:val="22"/>
                <w:color w:val="auto"/>
                <w:w w:val="88"/>
              </w:rPr>
              <w:t>Agreements, Laws, etc</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1.06</w:t>
            </w:r>
          </w:p>
        </w:tc>
        <w:tc>
          <w:tcPr>
            <w:tcW w:w="100" w:type="dxa"/>
            <w:vAlign w:val="bottom"/>
          </w:tcPr>
          <w:p>
            <w:pPr>
              <w:spacing w:after="0"/>
              <w:rPr>
                <w:sz w:val="17"/>
                <w:szCs w:val="17"/>
                <w:color w:val="auto"/>
              </w:rPr>
            </w:pPr>
          </w:p>
        </w:tc>
        <w:tc>
          <w:tcPr>
            <w:tcW w:w="1400" w:type="dxa"/>
            <w:vAlign w:val="bottom"/>
            <w:gridSpan w:val="15"/>
          </w:tcPr>
          <w:p>
            <w:pPr>
              <w:spacing w:after="0" w:line="195" w:lineRule="exact"/>
              <w:rPr>
                <w:sz w:val="20"/>
                <w:szCs w:val="20"/>
                <w:color w:val="auto"/>
              </w:rPr>
            </w:pPr>
            <w:r>
              <w:rPr>
                <w:rFonts w:ascii="Arial" w:cs="Arial" w:eastAsia="Arial" w:hAnsi="Arial"/>
                <w:sz w:val="22"/>
                <w:szCs w:val="22"/>
                <w:color w:val="auto"/>
              </w:rPr>
              <w:t>Times of Day</w:t>
            </w:r>
          </w:p>
        </w:tc>
        <w:tc>
          <w:tcPr>
            <w:tcW w:w="2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49</w:t>
            </w:r>
          </w:p>
        </w:tc>
        <w:tc>
          <w:tcPr>
            <w:tcW w:w="2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1.07</w:t>
            </w:r>
          </w:p>
        </w:tc>
        <w:tc>
          <w:tcPr>
            <w:tcW w:w="100" w:type="dxa"/>
            <w:vAlign w:val="bottom"/>
          </w:tcPr>
          <w:p>
            <w:pPr>
              <w:spacing w:after="0"/>
              <w:rPr>
                <w:sz w:val="17"/>
                <w:szCs w:val="17"/>
                <w:color w:val="auto"/>
              </w:rPr>
            </w:pPr>
          </w:p>
        </w:tc>
        <w:tc>
          <w:tcPr>
            <w:tcW w:w="1620" w:type="dxa"/>
            <w:vAlign w:val="bottom"/>
            <w:gridSpan w:val="18"/>
          </w:tcPr>
          <w:p>
            <w:pPr>
              <w:spacing w:after="0" w:line="195" w:lineRule="exact"/>
              <w:rPr>
                <w:sz w:val="20"/>
                <w:szCs w:val="20"/>
                <w:color w:val="auto"/>
              </w:rPr>
            </w:pPr>
            <w:r>
              <w:rPr>
                <w:rFonts w:ascii="Arial" w:cs="Arial" w:eastAsia="Arial" w:hAnsi="Arial"/>
                <w:sz w:val="22"/>
                <w:szCs w:val="22"/>
                <w:color w:val="auto"/>
                <w:w w:val="87"/>
              </w:rPr>
              <w:t>Timing of Payment</w:t>
            </w:r>
          </w:p>
        </w:tc>
        <w:tc>
          <w:tcPr>
            <w:tcW w:w="60" w:type="dxa"/>
            <w:vAlign w:val="bottom"/>
          </w:tcPr>
          <w:p>
            <w:pPr>
              <w:spacing w:after="0"/>
              <w:rPr>
                <w:sz w:val="17"/>
                <w:szCs w:val="17"/>
                <w:color w:val="auto"/>
              </w:rPr>
            </w:pPr>
          </w:p>
        </w:tc>
        <w:tc>
          <w:tcPr>
            <w:tcW w:w="1600" w:type="dxa"/>
            <w:vAlign w:val="bottom"/>
            <w:gridSpan w:val="31"/>
          </w:tcPr>
          <w:p>
            <w:pPr>
              <w:ind w:left="60"/>
              <w:spacing w:after="0" w:line="195" w:lineRule="exact"/>
              <w:rPr>
                <w:sz w:val="20"/>
                <w:szCs w:val="20"/>
                <w:color w:val="auto"/>
              </w:rPr>
            </w:pPr>
            <w:r>
              <w:rPr>
                <w:rFonts w:ascii="Arial" w:cs="Arial" w:eastAsia="Arial" w:hAnsi="Arial"/>
                <w:sz w:val="22"/>
                <w:szCs w:val="22"/>
                <w:color w:val="auto"/>
              </w:rPr>
              <w:t>of Performance</w:t>
            </w:r>
          </w:p>
        </w:tc>
        <w:tc>
          <w:tcPr>
            <w:tcW w:w="26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49</w:t>
            </w:r>
          </w:p>
        </w:tc>
        <w:tc>
          <w:tcPr>
            <w:tcW w:w="18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19"/>
                <w:szCs w:val="19"/>
                <w:color w:val="0000FF"/>
                <w:w w:val="75"/>
              </w:rPr>
              <w:t>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1.08</w:t>
            </w:r>
          </w:p>
        </w:tc>
        <w:tc>
          <w:tcPr>
            <w:tcW w:w="100" w:type="dxa"/>
            <w:vAlign w:val="bottom"/>
          </w:tcPr>
          <w:p>
            <w:pPr>
              <w:spacing w:after="0"/>
              <w:rPr>
                <w:sz w:val="17"/>
                <w:szCs w:val="17"/>
                <w:color w:val="auto"/>
              </w:rPr>
            </w:pPr>
          </w:p>
        </w:tc>
        <w:tc>
          <w:tcPr>
            <w:tcW w:w="2180" w:type="dxa"/>
            <w:vAlign w:val="bottom"/>
            <w:gridSpan w:val="23"/>
          </w:tcPr>
          <w:p>
            <w:pPr>
              <w:spacing w:after="0" w:line="195" w:lineRule="exact"/>
              <w:rPr>
                <w:sz w:val="20"/>
                <w:szCs w:val="20"/>
                <w:color w:val="auto"/>
              </w:rPr>
            </w:pPr>
            <w:r>
              <w:rPr>
                <w:rFonts w:ascii="Arial" w:cs="Arial" w:eastAsia="Arial" w:hAnsi="Arial"/>
                <w:sz w:val="22"/>
                <w:szCs w:val="22"/>
                <w:color w:val="auto"/>
                <w:w w:val="96"/>
              </w:rPr>
              <w:t>Corporate Terminology</w:t>
            </w:r>
          </w:p>
        </w:tc>
        <w:tc>
          <w:tcPr>
            <w:tcW w:w="60" w:type="dxa"/>
            <w:vAlign w:val="bottom"/>
          </w:tcPr>
          <w:p>
            <w:pPr>
              <w:spacing w:after="0"/>
              <w:rPr>
                <w:sz w:val="17"/>
                <w:szCs w:val="17"/>
                <w:color w:val="auto"/>
              </w:rPr>
            </w:pPr>
          </w:p>
        </w:tc>
        <w:tc>
          <w:tcPr>
            <w:tcW w:w="26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1"/>
              </w:rPr>
              <w:t>49</w:t>
            </w:r>
          </w:p>
        </w:tc>
        <w:tc>
          <w:tcPr>
            <w:tcW w:w="18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9"/>
                <w:szCs w:val="19"/>
                <w:color w:val="0000FF"/>
                <w:w w:val="75"/>
              </w:rPr>
              <w:t>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1.09</w:t>
            </w:r>
          </w:p>
        </w:tc>
        <w:tc>
          <w:tcPr>
            <w:tcW w:w="100" w:type="dxa"/>
            <w:vAlign w:val="bottom"/>
          </w:tcPr>
          <w:p>
            <w:pPr>
              <w:spacing w:after="0"/>
              <w:rPr>
                <w:sz w:val="17"/>
                <w:szCs w:val="17"/>
                <w:color w:val="auto"/>
              </w:rPr>
            </w:pPr>
          </w:p>
        </w:tc>
        <w:tc>
          <w:tcPr>
            <w:tcW w:w="2500" w:type="dxa"/>
            <w:vAlign w:val="bottom"/>
            <w:gridSpan w:val="29"/>
          </w:tcPr>
          <w:p>
            <w:pPr>
              <w:spacing w:after="0" w:line="195" w:lineRule="exact"/>
              <w:rPr>
                <w:sz w:val="20"/>
                <w:szCs w:val="20"/>
                <w:color w:val="auto"/>
              </w:rPr>
            </w:pPr>
            <w:r>
              <w:rPr>
                <w:rFonts w:ascii="Arial" w:cs="Arial" w:eastAsia="Arial" w:hAnsi="Arial"/>
                <w:sz w:val="22"/>
                <w:szCs w:val="22"/>
                <w:color w:val="auto"/>
                <w:w w:val="91"/>
              </w:rPr>
              <w:t>Independence of Provisions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1"/>
              </w:rPr>
              <w:t>49</w:t>
            </w:r>
          </w:p>
        </w:tc>
        <w:tc>
          <w:tcPr>
            <w:tcW w:w="22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81"/>
              </w:rPr>
              <w:t>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1.10</w:t>
            </w:r>
          </w:p>
        </w:tc>
        <w:tc>
          <w:tcPr>
            <w:tcW w:w="100" w:type="dxa"/>
            <w:vAlign w:val="bottom"/>
          </w:tcPr>
          <w:p>
            <w:pPr>
              <w:spacing w:after="0"/>
              <w:rPr>
                <w:sz w:val="17"/>
                <w:szCs w:val="17"/>
                <w:color w:val="auto"/>
              </w:rPr>
            </w:pPr>
          </w:p>
        </w:tc>
        <w:tc>
          <w:tcPr>
            <w:tcW w:w="860" w:type="dxa"/>
            <w:vAlign w:val="bottom"/>
            <w:gridSpan w:val="5"/>
          </w:tcPr>
          <w:p>
            <w:pPr>
              <w:spacing w:after="0" w:line="195" w:lineRule="exact"/>
              <w:rPr>
                <w:sz w:val="20"/>
                <w:szCs w:val="20"/>
                <w:color w:val="auto"/>
              </w:rPr>
            </w:pPr>
            <w:r>
              <w:rPr>
                <w:rFonts w:ascii="Arial" w:cs="Arial" w:eastAsia="Arial" w:hAnsi="Arial"/>
                <w:sz w:val="22"/>
                <w:szCs w:val="22"/>
                <w:color w:val="auto"/>
                <w:w w:val="95"/>
              </w:rPr>
              <w:t>Divisions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rPr>
              <w:t>49</w:t>
            </w:r>
          </w:p>
        </w:tc>
        <w:tc>
          <w:tcPr>
            <w:tcW w:w="220" w:type="dxa"/>
            <w:vAlign w:val="bottom"/>
            <w:gridSpan w:val="5"/>
          </w:tcPr>
          <w:p>
            <w:pPr>
              <w:spacing w:after="0" w:line="195" w:lineRule="exact"/>
              <w:rPr>
                <w:sz w:val="20"/>
                <w:szCs w:val="20"/>
                <w:color w:val="auto"/>
              </w:rPr>
            </w:pPr>
            <w:r>
              <w:rPr>
                <w:rFonts w:ascii="Arial" w:cs="Arial" w:eastAsia="Arial" w:hAnsi="Arial"/>
                <w:sz w:val="22"/>
                <w:szCs w:val="22"/>
                <w:color w:val="0000FF"/>
                <w:w w:val="73"/>
              </w:rPr>
              <w:t>52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1.11</w:t>
            </w:r>
          </w:p>
        </w:tc>
        <w:tc>
          <w:tcPr>
            <w:tcW w:w="1380" w:type="dxa"/>
            <w:vAlign w:val="bottom"/>
            <w:gridSpan w:val="14"/>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gridSpan w:val="3"/>
            <w:vMerge w:val="restart"/>
          </w:tcPr>
          <w:p>
            <w:pPr>
              <w:jc w:val="right"/>
              <w:ind w:right="40"/>
              <w:spacing w:after="0" w:line="216" w:lineRule="exact"/>
              <w:rPr>
                <w:sz w:val="20"/>
                <w:szCs w:val="20"/>
                <w:color w:val="auto"/>
              </w:rPr>
            </w:pPr>
            <w:r>
              <w:rPr>
                <w:rFonts w:ascii="Arial" w:cs="Arial" w:eastAsia="Arial" w:hAnsi="Arial"/>
                <w:sz w:val="22"/>
                <w:szCs w:val="22"/>
                <w:color w:val="FF0000"/>
                <w:strike w:val="1"/>
                <w:w w:val="89"/>
              </w:rPr>
              <w:t>50</w:t>
            </w:r>
          </w:p>
        </w:tc>
        <w:tc>
          <w:tcPr>
            <w:tcW w:w="280" w:type="dxa"/>
            <w:vAlign w:val="bottom"/>
            <w:gridSpan w:val="2"/>
            <w:vMerge w:val="restart"/>
          </w:tcPr>
          <w:p>
            <w:pPr>
              <w:spacing w:after="0" w:line="216" w:lineRule="exact"/>
              <w:rPr>
                <w:sz w:val="20"/>
                <w:szCs w:val="20"/>
                <w:color w:val="auto"/>
              </w:rPr>
            </w:pPr>
            <w:r>
              <w:rPr>
                <w:rFonts w:ascii="Arial" w:cs="Arial" w:eastAsia="Arial" w:hAnsi="Arial"/>
                <w:sz w:val="22"/>
                <w:szCs w:val="22"/>
                <w:color w:val="0000FF"/>
              </w:rPr>
              <w:t>52</w:t>
            </w:r>
          </w:p>
        </w:tc>
        <w:tc>
          <w:tcPr>
            <w:tcW w:w="324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8"/>
          </w:tcPr>
          <w:p>
            <w:pPr>
              <w:spacing w:after="0" w:line="195" w:lineRule="exact"/>
              <w:rPr>
                <w:sz w:val="20"/>
                <w:szCs w:val="20"/>
                <w:color w:val="auto"/>
              </w:rPr>
            </w:pPr>
            <w:r>
              <w:rPr>
                <w:rFonts w:ascii="Arial" w:cs="Arial" w:eastAsia="Arial" w:hAnsi="Arial"/>
                <w:sz w:val="22"/>
                <w:szCs w:val="22"/>
                <w:color w:val="FF0000"/>
                <w:strike w:val="1"/>
                <w:w w:val="88"/>
              </w:rPr>
              <w:t>[Reserved]</w:t>
            </w:r>
          </w:p>
        </w:tc>
        <w:tc>
          <w:tcPr>
            <w:tcW w:w="500" w:type="dxa"/>
            <w:vAlign w:val="bottom"/>
            <w:gridSpan w:val="9"/>
          </w:tcPr>
          <w:p>
            <w:pPr>
              <w:spacing w:after="0" w:line="195" w:lineRule="exact"/>
              <w:rPr>
                <w:sz w:val="20"/>
                <w:szCs w:val="20"/>
                <w:color w:val="auto"/>
              </w:rPr>
            </w:pPr>
            <w:r>
              <w:rPr>
                <w:rFonts w:ascii="Arial" w:cs="Arial" w:eastAsia="Arial" w:hAnsi="Arial"/>
                <w:sz w:val="22"/>
                <w:szCs w:val="22"/>
                <w:color w:val="0000FF"/>
                <w:w w:val="79"/>
              </w:rPr>
              <w:t>Rates</w:t>
            </w:r>
          </w:p>
        </w:tc>
        <w:tc>
          <w:tcPr>
            <w:tcW w:w="14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1.12</w:t>
            </w:r>
          </w:p>
        </w:tc>
        <w:tc>
          <w:tcPr>
            <w:tcW w:w="100" w:type="dxa"/>
            <w:vAlign w:val="bottom"/>
          </w:tcPr>
          <w:p>
            <w:pPr>
              <w:spacing w:after="0" w:line="20" w:lineRule="exact"/>
              <w:rPr>
                <w:sz w:val="1"/>
                <w:szCs w:val="1"/>
                <w:color w:val="auto"/>
              </w:rPr>
            </w:pPr>
          </w:p>
        </w:tc>
        <w:tc>
          <w:tcPr>
            <w:tcW w:w="980" w:type="dxa"/>
            <w:vAlign w:val="bottom"/>
            <w:gridSpan w:val="8"/>
            <w:vMerge w:val="restart"/>
          </w:tcPr>
          <w:p>
            <w:pPr>
              <w:spacing w:after="0" w:line="216" w:lineRule="exact"/>
              <w:rPr>
                <w:sz w:val="20"/>
                <w:szCs w:val="20"/>
                <w:color w:val="auto"/>
              </w:rPr>
            </w:pPr>
            <w:r>
              <w:rPr>
                <w:rFonts w:ascii="Arial" w:cs="Arial" w:eastAsia="Arial" w:hAnsi="Arial"/>
                <w:sz w:val="22"/>
                <w:szCs w:val="22"/>
                <w:color w:val="auto"/>
              </w:rPr>
              <w:t>Limited</w:t>
            </w: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6"/>
            <w:vMerge w:val="restart"/>
          </w:tcPr>
          <w:p>
            <w:pPr>
              <w:ind w:left="40"/>
              <w:spacing w:after="0" w:line="216" w:lineRule="exact"/>
              <w:rPr>
                <w:sz w:val="20"/>
                <w:szCs w:val="20"/>
                <w:color w:val="auto"/>
              </w:rPr>
            </w:pPr>
            <w:r>
              <w:rPr>
                <w:rFonts w:ascii="Arial" w:cs="Arial" w:eastAsia="Arial" w:hAnsi="Arial"/>
                <w:sz w:val="22"/>
                <w:szCs w:val="22"/>
                <w:color w:val="FF0000"/>
                <w:strike w:val="1"/>
                <w:w w:val="73"/>
              </w:rPr>
              <w:t>50</w:t>
            </w:r>
          </w:p>
        </w:tc>
        <w:tc>
          <w:tcPr>
            <w:tcW w:w="240" w:type="dxa"/>
            <w:vAlign w:val="bottom"/>
            <w:gridSpan w:val="6"/>
            <w:vMerge w:val="restart"/>
          </w:tcPr>
          <w:p>
            <w:pPr>
              <w:jc w:val="right"/>
              <w:ind w:right="20"/>
              <w:spacing w:after="0" w:line="216" w:lineRule="exact"/>
              <w:rPr>
                <w:sz w:val="20"/>
                <w:szCs w:val="20"/>
                <w:color w:val="auto"/>
              </w:rPr>
            </w:pPr>
            <w:r>
              <w:rPr>
                <w:rFonts w:ascii="Arial" w:cs="Arial" w:eastAsia="Arial" w:hAnsi="Arial"/>
                <w:sz w:val="22"/>
                <w:szCs w:val="22"/>
                <w:color w:val="0000FF"/>
                <w:w w:val="81"/>
              </w:rPr>
              <w:t>53</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8"/>
            <w:vMerge w:val="continue"/>
          </w:tcPr>
          <w:p>
            <w:pPr>
              <w:spacing w:after="0"/>
              <w:rPr>
                <w:sz w:val="17"/>
                <w:szCs w:val="17"/>
                <w:color w:val="auto"/>
              </w:rPr>
            </w:pPr>
          </w:p>
        </w:tc>
        <w:tc>
          <w:tcPr>
            <w:tcW w:w="440" w:type="dxa"/>
            <w:vAlign w:val="bottom"/>
            <w:gridSpan w:val="8"/>
          </w:tcPr>
          <w:p>
            <w:pPr>
              <w:spacing w:after="0"/>
              <w:rPr>
                <w:sz w:val="20"/>
                <w:szCs w:val="20"/>
                <w:color w:val="auto"/>
              </w:rPr>
            </w:pPr>
            <w:r>
              <w:rPr>
                <w:rFonts w:ascii="Arial" w:cs="Arial" w:eastAsia="Arial" w:hAnsi="Arial"/>
                <w:sz w:val="14"/>
                <w:szCs w:val="14"/>
                <w:color w:val="auto"/>
                <w:w w:val="70"/>
              </w:rPr>
              <w:t>Condition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14"/>
          </w:tcPr>
          <w:p>
            <w:pPr>
              <w:spacing w:after="0" w:line="196" w:lineRule="exact"/>
              <w:rPr>
                <w:sz w:val="20"/>
                <w:szCs w:val="20"/>
                <w:color w:val="auto"/>
              </w:rPr>
            </w:pPr>
            <w:r>
              <w:rPr>
                <w:rFonts w:ascii="Arial" w:cs="Arial" w:eastAsia="Arial" w:hAnsi="Arial"/>
                <w:sz w:val="21"/>
                <w:szCs w:val="21"/>
                <w:color w:val="auto"/>
                <w:w w:val="72"/>
              </w:rPr>
              <w:t>Acquisition</w:t>
            </w:r>
          </w:p>
        </w:tc>
        <w:tc>
          <w:tcPr>
            <w:tcW w:w="1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gridSpan w:val="6"/>
            <w:vMerge w:val="continue"/>
          </w:tcPr>
          <w:p>
            <w:pPr>
              <w:spacing w:after="0"/>
              <w:rPr>
                <w:sz w:val="17"/>
                <w:szCs w:val="17"/>
                <w:color w:val="auto"/>
              </w:rPr>
            </w:pPr>
          </w:p>
        </w:tc>
        <w:tc>
          <w:tcPr>
            <w:tcW w:w="240" w:type="dxa"/>
            <w:vAlign w:val="bottom"/>
            <w:gridSpan w:val="6"/>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4380" w:type="dxa"/>
            <w:vAlign w:val="bottom"/>
            <w:gridSpan w:val="49"/>
          </w:tcPr>
          <w:p>
            <w:pPr>
              <w:spacing w:after="0"/>
              <w:rPr>
                <w:sz w:val="20"/>
                <w:szCs w:val="20"/>
                <w:color w:val="auto"/>
              </w:rPr>
            </w:pPr>
            <w:r>
              <w:rPr>
                <w:rFonts w:ascii="Arial" w:cs="Arial" w:eastAsia="Arial" w:hAnsi="Arial"/>
                <w:sz w:val="22"/>
                <w:szCs w:val="22"/>
                <w:color w:val="auto"/>
              </w:rPr>
              <w:t>Article II</w:t>
            </w:r>
          </w:p>
        </w:tc>
        <w:tc>
          <w:tcPr>
            <w:tcW w:w="220" w:type="dxa"/>
            <w:vAlign w:val="bottom"/>
            <w:tcBorders>
              <w:top w:val="single" w:sz="8" w:color="0000FF"/>
            </w:tcBorders>
            <w:gridSpan w:val="5"/>
          </w:tcPr>
          <w:p>
            <w:pPr>
              <w:spacing w:after="0"/>
              <w:rPr>
                <w:sz w:val="24"/>
                <w:szCs w:val="24"/>
                <w:color w:val="auto"/>
              </w:rPr>
            </w:pPr>
          </w:p>
        </w:tc>
        <w:tc>
          <w:tcPr>
            <w:tcW w:w="21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20" w:type="dxa"/>
            <w:vAlign w:val="bottom"/>
          </w:tcPr>
          <w:p>
            <w:pPr>
              <w:spacing w:after="0"/>
              <w:rPr>
                <w:sz w:val="24"/>
                <w:szCs w:val="24"/>
                <w:color w:val="auto"/>
              </w:rPr>
            </w:pPr>
          </w:p>
        </w:tc>
        <w:tc>
          <w:tcPr>
            <w:tcW w:w="6500" w:type="dxa"/>
            <w:vAlign w:val="bottom"/>
            <w:gridSpan w:val="64"/>
          </w:tcPr>
          <w:p>
            <w:pPr>
              <w:spacing w:after="0"/>
              <w:rPr>
                <w:sz w:val="20"/>
                <w:szCs w:val="20"/>
                <w:color w:val="auto"/>
              </w:rPr>
            </w:pPr>
            <w:r>
              <w:rPr>
                <w:rFonts w:ascii="Arial" w:cs="Arial" w:eastAsia="Arial" w:hAnsi="Arial"/>
                <w:sz w:val="22"/>
                <w:szCs w:val="22"/>
                <w:color w:val="auto"/>
              </w:rPr>
              <w:t xml:space="preserve">AMOUNT AND TERMS OF CREDIT FACILITIES  </w:t>
            </w:r>
            <w:r>
              <w:rPr>
                <w:rFonts w:ascii="Arial" w:cs="Arial" w:eastAsia="Arial" w:hAnsi="Arial"/>
                <w:sz w:val="22"/>
                <w:szCs w:val="22"/>
                <w:color w:val="0000FF"/>
              </w:rPr>
              <w:t>53</w:t>
            </w:r>
          </w:p>
        </w:tc>
        <w:tc>
          <w:tcPr>
            <w:tcW w:w="0" w:type="dxa"/>
            <w:vAlign w:val="bottom"/>
          </w:tcPr>
          <w:p>
            <w:pPr>
              <w:spacing w:after="0"/>
              <w:rPr>
                <w:sz w:val="1"/>
                <w:szCs w:val="1"/>
                <w:color w:val="auto"/>
              </w:rPr>
            </w:pPr>
          </w:p>
        </w:tc>
      </w:tr>
      <w:tr>
        <w:trPr>
          <w:trHeight w:val="20"/>
        </w:trPr>
        <w:tc>
          <w:tcPr>
            <w:tcW w:w="4840" w:type="dxa"/>
            <w:vAlign w:val="bottom"/>
            <w:tcBorders>
              <w:right w:val="single" w:sz="8" w:color="0000FF"/>
            </w:tcBorders>
            <w:gridSpan w:val="56"/>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2.01</w:t>
            </w:r>
          </w:p>
        </w:tc>
        <w:tc>
          <w:tcPr>
            <w:tcW w:w="100" w:type="dxa"/>
            <w:vAlign w:val="bottom"/>
          </w:tcPr>
          <w:p>
            <w:pPr>
              <w:spacing w:after="0"/>
              <w:rPr>
                <w:sz w:val="24"/>
                <w:szCs w:val="24"/>
                <w:color w:val="auto"/>
              </w:rPr>
            </w:pPr>
          </w:p>
        </w:tc>
        <w:tc>
          <w:tcPr>
            <w:tcW w:w="2180" w:type="dxa"/>
            <w:vAlign w:val="bottom"/>
            <w:gridSpan w:val="23"/>
          </w:tcPr>
          <w:p>
            <w:pPr>
              <w:spacing w:after="0"/>
              <w:rPr>
                <w:sz w:val="20"/>
                <w:szCs w:val="20"/>
                <w:color w:val="auto"/>
              </w:rPr>
            </w:pPr>
            <w:r>
              <w:rPr>
                <w:rFonts w:ascii="Arial" w:cs="Arial" w:eastAsia="Arial" w:hAnsi="Arial"/>
                <w:sz w:val="22"/>
                <w:szCs w:val="22"/>
                <w:color w:val="auto"/>
                <w:w w:val="88"/>
              </w:rPr>
              <w:t>Commitments and Loans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8"/>
          </w:tcPr>
          <w:p>
            <w:pPr>
              <w:ind w:left="140"/>
              <w:spacing w:after="0"/>
              <w:rPr>
                <w:sz w:val="20"/>
                <w:szCs w:val="20"/>
                <w:color w:val="auto"/>
              </w:rPr>
            </w:pPr>
            <w:r>
              <w:rPr>
                <w:rFonts w:ascii="Arial" w:cs="Arial" w:eastAsia="Arial" w:hAnsi="Arial"/>
                <w:sz w:val="22"/>
                <w:szCs w:val="22"/>
                <w:color w:val="FF0000"/>
                <w:strike w:val="1"/>
                <w:w w:val="73"/>
              </w:rPr>
              <w:t>50</w:t>
            </w:r>
          </w:p>
        </w:tc>
        <w:tc>
          <w:tcPr>
            <w:tcW w:w="220" w:type="dxa"/>
            <w:vAlign w:val="bottom"/>
            <w:tcBorders>
              <w:bottom w:val="single" w:sz="8" w:color="0000FF"/>
            </w:tcBorders>
            <w:gridSpan w:val="6"/>
          </w:tcPr>
          <w:p>
            <w:pPr>
              <w:jc w:val="right"/>
              <w:spacing w:after="0"/>
              <w:rPr>
                <w:sz w:val="20"/>
                <w:szCs w:val="20"/>
                <w:color w:val="auto"/>
              </w:rPr>
            </w:pPr>
            <w:r>
              <w:rPr>
                <w:rFonts w:ascii="Arial" w:cs="Arial" w:eastAsia="Arial" w:hAnsi="Arial"/>
                <w:sz w:val="22"/>
                <w:szCs w:val="22"/>
                <w:color w:val="0000FF"/>
                <w:w w:val="81"/>
              </w:rPr>
              <w:t>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2.02</w:t>
            </w:r>
          </w:p>
        </w:tc>
        <w:tc>
          <w:tcPr>
            <w:tcW w:w="100" w:type="dxa"/>
            <w:vAlign w:val="bottom"/>
          </w:tcPr>
          <w:p>
            <w:pPr>
              <w:spacing w:after="0"/>
              <w:rPr>
                <w:sz w:val="17"/>
                <w:szCs w:val="17"/>
                <w:color w:val="auto"/>
              </w:rPr>
            </w:pPr>
          </w:p>
        </w:tc>
        <w:tc>
          <w:tcPr>
            <w:tcW w:w="2080" w:type="dxa"/>
            <w:vAlign w:val="bottom"/>
            <w:gridSpan w:val="22"/>
          </w:tcPr>
          <w:p>
            <w:pPr>
              <w:spacing w:after="0" w:line="195" w:lineRule="exact"/>
              <w:rPr>
                <w:sz w:val="20"/>
                <w:szCs w:val="20"/>
                <w:color w:val="auto"/>
              </w:rPr>
            </w:pPr>
            <w:r>
              <w:rPr>
                <w:rFonts w:ascii="Arial" w:cs="Arial" w:eastAsia="Arial" w:hAnsi="Arial"/>
                <w:sz w:val="22"/>
                <w:szCs w:val="22"/>
                <w:color w:val="auto"/>
                <w:w w:val="89"/>
              </w:rPr>
              <w:t>Disbursement of Funds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51</w:t>
            </w:r>
          </w:p>
        </w:tc>
        <w:tc>
          <w:tcPr>
            <w:tcW w:w="20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22"/>
                <w:szCs w:val="22"/>
                <w:color w:val="0000FF"/>
                <w:w w:val="73"/>
              </w:rPr>
              <w:t>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2.03</w:t>
            </w:r>
          </w:p>
        </w:tc>
        <w:tc>
          <w:tcPr>
            <w:tcW w:w="100" w:type="dxa"/>
            <w:vAlign w:val="bottom"/>
          </w:tcPr>
          <w:p>
            <w:pPr>
              <w:spacing w:after="0"/>
              <w:rPr>
                <w:sz w:val="17"/>
                <w:szCs w:val="17"/>
                <w:color w:val="auto"/>
              </w:rPr>
            </w:pPr>
          </w:p>
        </w:tc>
        <w:tc>
          <w:tcPr>
            <w:tcW w:w="2080" w:type="dxa"/>
            <w:vAlign w:val="bottom"/>
            <w:gridSpan w:val="22"/>
          </w:tcPr>
          <w:p>
            <w:pPr>
              <w:spacing w:after="0" w:line="195" w:lineRule="exact"/>
              <w:rPr>
                <w:sz w:val="20"/>
                <w:szCs w:val="20"/>
                <w:color w:val="auto"/>
              </w:rPr>
            </w:pPr>
            <w:r>
              <w:rPr>
                <w:rFonts w:ascii="Arial" w:cs="Arial" w:eastAsia="Arial" w:hAnsi="Arial"/>
                <w:sz w:val="22"/>
                <w:szCs w:val="22"/>
                <w:color w:val="auto"/>
              </w:rPr>
              <w:t>Repayment of Loans</w:t>
            </w: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52</w:t>
            </w:r>
          </w:p>
        </w:tc>
        <w:tc>
          <w:tcPr>
            <w:tcW w:w="2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2.04</w:t>
            </w:r>
          </w:p>
        </w:tc>
        <w:tc>
          <w:tcPr>
            <w:tcW w:w="100" w:type="dxa"/>
            <w:vAlign w:val="bottom"/>
          </w:tcPr>
          <w:p>
            <w:pPr>
              <w:spacing w:after="0"/>
              <w:rPr>
                <w:sz w:val="17"/>
                <w:szCs w:val="17"/>
                <w:color w:val="auto"/>
              </w:rPr>
            </w:pPr>
          </w:p>
        </w:tc>
        <w:tc>
          <w:tcPr>
            <w:tcW w:w="2080" w:type="dxa"/>
            <w:vAlign w:val="bottom"/>
            <w:gridSpan w:val="22"/>
          </w:tcPr>
          <w:p>
            <w:pPr>
              <w:spacing w:after="0" w:line="195" w:lineRule="exact"/>
              <w:rPr>
                <w:sz w:val="20"/>
                <w:szCs w:val="20"/>
                <w:color w:val="auto"/>
              </w:rPr>
            </w:pPr>
            <w:r>
              <w:rPr>
                <w:rFonts w:ascii="Arial" w:cs="Arial" w:eastAsia="Arial" w:hAnsi="Arial"/>
                <w:sz w:val="22"/>
                <w:szCs w:val="22"/>
                <w:color w:val="auto"/>
              </w:rPr>
              <w:t>Pro Rata Borrowings</w:t>
            </w: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53</w:t>
            </w:r>
          </w:p>
        </w:tc>
        <w:tc>
          <w:tcPr>
            <w:tcW w:w="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73"/>
              </w:rPr>
              <w:t>56</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2.05</w:t>
            </w:r>
          </w:p>
        </w:tc>
        <w:tc>
          <w:tcPr>
            <w:tcW w:w="100" w:type="dxa"/>
            <w:vAlign w:val="bottom"/>
          </w:tcPr>
          <w:p>
            <w:pPr>
              <w:spacing w:after="0"/>
              <w:rPr>
                <w:sz w:val="17"/>
                <w:szCs w:val="17"/>
                <w:color w:val="auto"/>
              </w:rPr>
            </w:pPr>
          </w:p>
        </w:tc>
        <w:tc>
          <w:tcPr>
            <w:tcW w:w="860" w:type="dxa"/>
            <w:vAlign w:val="bottom"/>
            <w:gridSpan w:val="5"/>
          </w:tcPr>
          <w:p>
            <w:pPr>
              <w:spacing w:after="0" w:line="195" w:lineRule="exact"/>
              <w:rPr>
                <w:sz w:val="20"/>
                <w:szCs w:val="20"/>
                <w:color w:val="auto"/>
              </w:rPr>
            </w:pPr>
            <w:r>
              <w:rPr>
                <w:rFonts w:ascii="Arial" w:cs="Arial" w:eastAsia="Arial" w:hAnsi="Arial"/>
                <w:sz w:val="22"/>
                <w:szCs w:val="22"/>
                <w:color w:val="auto"/>
              </w:rPr>
              <w:t>Interest</w:t>
            </w:r>
          </w:p>
        </w:tc>
        <w:tc>
          <w:tcPr>
            <w:tcW w:w="220" w:type="dxa"/>
            <w:vAlign w:val="bottom"/>
            <w:gridSpan w:val="4"/>
          </w:tcPr>
          <w:p>
            <w:pPr>
              <w:spacing w:after="0" w:line="195" w:lineRule="exact"/>
              <w:rPr>
                <w:sz w:val="20"/>
                <w:szCs w:val="20"/>
                <w:color w:val="auto"/>
              </w:rPr>
            </w:pPr>
            <w:r>
              <w:rPr>
                <w:rFonts w:ascii="Arial" w:cs="Arial" w:eastAsia="Arial" w:hAnsi="Arial"/>
                <w:sz w:val="22"/>
                <w:szCs w:val="22"/>
                <w:color w:val="FF0000"/>
                <w:strike w:val="1"/>
                <w:w w:val="81"/>
              </w:rPr>
              <w:t>53</w:t>
            </w:r>
          </w:p>
        </w:tc>
        <w:tc>
          <w:tcPr>
            <w:tcW w:w="2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9"/>
                <w:szCs w:val="19"/>
                <w:color w:val="0000FF"/>
                <w:w w:val="75"/>
              </w:rPr>
              <w:t>57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2.06</w:t>
            </w:r>
          </w:p>
        </w:tc>
        <w:tc>
          <w:tcPr>
            <w:tcW w:w="100" w:type="dxa"/>
            <w:vAlign w:val="bottom"/>
          </w:tcPr>
          <w:p>
            <w:pPr>
              <w:spacing w:after="0"/>
              <w:rPr>
                <w:sz w:val="17"/>
                <w:szCs w:val="17"/>
                <w:color w:val="auto"/>
              </w:rPr>
            </w:pPr>
          </w:p>
        </w:tc>
        <w:tc>
          <w:tcPr>
            <w:tcW w:w="1280" w:type="dxa"/>
            <w:vAlign w:val="bottom"/>
            <w:gridSpan w:val="13"/>
          </w:tcPr>
          <w:p>
            <w:pPr>
              <w:spacing w:after="0" w:line="195" w:lineRule="exact"/>
              <w:rPr>
                <w:sz w:val="20"/>
                <w:szCs w:val="20"/>
                <w:color w:val="auto"/>
              </w:rPr>
            </w:pPr>
            <w:r>
              <w:rPr>
                <w:rFonts w:ascii="Arial" w:cs="Arial" w:eastAsia="Arial" w:hAnsi="Arial"/>
                <w:sz w:val="22"/>
                <w:szCs w:val="22"/>
                <w:color w:val="auto"/>
                <w:w w:val="77"/>
              </w:rPr>
              <w:t>Increased Costs</w:t>
            </w:r>
          </w:p>
        </w:tc>
        <w:tc>
          <w:tcPr>
            <w:tcW w:w="80" w:type="dxa"/>
            <w:vAlign w:val="bottom"/>
          </w:tcPr>
          <w:p>
            <w:pPr>
              <w:spacing w:after="0"/>
              <w:rPr>
                <w:sz w:val="17"/>
                <w:szCs w:val="17"/>
                <w:color w:val="auto"/>
              </w:rPr>
            </w:pPr>
          </w:p>
        </w:tc>
        <w:tc>
          <w:tcPr>
            <w:tcW w:w="1240" w:type="dxa"/>
            <w:vAlign w:val="bottom"/>
            <w:gridSpan w:val="19"/>
          </w:tcPr>
          <w:p>
            <w:pPr>
              <w:spacing w:after="0" w:line="195" w:lineRule="exact"/>
              <w:rPr>
                <w:sz w:val="20"/>
                <w:szCs w:val="20"/>
                <w:color w:val="auto"/>
              </w:rPr>
            </w:pPr>
            <w:r>
              <w:rPr>
                <w:rFonts w:ascii="Arial" w:cs="Arial" w:eastAsia="Arial" w:hAnsi="Arial"/>
                <w:sz w:val="22"/>
                <w:szCs w:val="22"/>
                <w:color w:val="FF0000"/>
                <w:strike w:val="1"/>
                <w:w w:val="91"/>
              </w:rPr>
              <w:t>, Illegality, etc</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1"/>
              </w:rPr>
              <w:t>54</w:t>
            </w:r>
          </w:p>
        </w:tc>
        <w:tc>
          <w:tcPr>
            <w:tcW w:w="240" w:type="dxa"/>
            <w:vAlign w:val="bottom"/>
            <w:gridSpan w:val="6"/>
          </w:tcPr>
          <w:p>
            <w:pPr>
              <w:jc w:val="right"/>
              <w:ind w:right="40"/>
              <w:spacing w:after="0" w:line="195" w:lineRule="exact"/>
              <w:rPr>
                <w:sz w:val="20"/>
                <w:szCs w:val="20"/>
                <w:color w:val="auto"/>
              </w:rPr>
            </w:pPr>
            <w:r>
              <w:rPr>
                <w:rFonts w:ascii="Arial" w:cs="Arial" w:eastAsia="Arial" w:hAnsi="Arial"/>
                <w:sz w:val="22"/>
                <w:szCs w:val="22"/>
                <w:color w:val="0000FF"/>
                <w:w w:val="73"/>
              </w:rPr>
              <w:t>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2.07</w:t>
            </w:r>
          </w:p>
        </w:tc>
        <w:tc>
          <w:tcPr>
            <w:tcW w:w="100" w:type="dxa"/>
            <w:vAlign w:val="bottom"/>
          </w:tcPr>
          <w:p>
            <w:pPr>
              <w:spacing w:after="0"/>
              <w:rPr>
                <w:sz w:val="17"/>
                <w:szCs w:val="17"/>
                <w:color w:val="auto"/>
              </w:rPr>
            </w:pPr>
          </w:p>
        </w:tc>
        <w:tc>
          <w:tcPr>
            <w:tcW w:w="1400" w:type="dxa"/>
            <w:vAlign w:val="bottom"/>
            <w:gridSpan w:val="15"/>
          </w:tcPr>
          <w:p>
            <w:pPr>
              <w:spacing w:after="0" w:line="195" w:lineRule="exact"/>
              <w:rPr>
                <w:sz w:val="20"/>
                <w:szCs w:val="20"/>
                <w:color w:val="auto"/>
              </w:rPr>
            </w:pPr>
            <w:r>
              <w:rPr>
                <w:rFonts w:ascii="Arial" w:cs="Arial" w:eastAsia="Arial" w:hAnsi="Arial"/>
                <w:sz w:val="22"/>
                <w:szCs w:val="22"/>
                <w:color w:val="auto"/>
                <w:w w:val="97"/>
              </w:rPr>
              <w:t>Compensation</w:t>
            </w:r>
          </w:p>
        </w:tc>
        <w:tc>
          <w:tcPr>
            <w:tcW w:w="20" w:type="dxa"/>
            <w:vAlign w:val="bottom"/>
          </w:tcPr>
          <w:p>
            <w:pPr>
              <w:spacing w:after="0"/>
              <w:rPr>
                <w:sz w:val="17"/>
                <w:szCs w:val="17"/>
                <w:color w:val="auto"/>
              </w:rPr>
            </w:pPr>
          </w:p>
        </w:tc>
        <w:tc>
          <w:tcPr>
            <w:tcW w:w="26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97"/>
              </w:rPr>
              <w:t>57</w:t>
            </w:r>
          </w:p>
        </w:tc>
        <w:tc>
          <w:tcPr>
            <w:tcW w:w="2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22"/>
                <w:szCs w:val="22"/>
                <w:color w:val="0000FF"/>
                <w:w w:val="73"/>
              </w:rPr>
              <w:t>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2.08</w:t>
            </w:r>
          </w:p>
        </w:tc>
        <w:tc>
          <w:tcPr>
            <w:tcW w:w="100" w:type="dxa"/>
            <w:vAlign w:val="bottom"/>
          </w:tcPr>
          <w:p>
            <w:pPr>
              <w:spacing w:after="0"/>
              <w:rPr>
                <w:sz w:val="17"/>
                <w:szCs w:val="17"/>
                <w:color w:val="auto"/>
              </w:rPr>
            </w:pPr>
          </w:p>
        </w:tc>
        <w:tc>
          <w:tcPr>
            <w:tcW w:w="1680" w:type="dxa"/>
            <w:vAlign w:val="bottom"/>
            <w:gridSpan w:val="19"/>
          </w:tcPr>
          <w:p>
            <w:pPr>
              <w:spacing w:after="0" w:line="195" w:lineRule="exact"/>
              <w:rPr>
                <w:sz w:val="20"/>
                <w:szCs w:val="20"/>
                <w:color w:val="auto"/>
              </w:rPr>
            </w:pPr>
            <w:r>
              <w:rPr>
                <w:rFonts w:ascii="Arial" w:cs="Arial" w:eastAsia="Arial" w:hAnsi="Arial"/>
                <w:sz w:val="22"/>
                <w:szCs w:val="22"/>
                <w:color w:val="auto"/>
                <w:w w:val="96"/>
              </w:rPr>
              <w:t>Incremental Term</w:t>
            </w:r>
          </w:p>
        </w:tc>
        <w:tc>
          <w:tcPr>
            <w:tcW w:w="500" w:type="dxa"/>
            <w:vAlign w:val="bottom"/>
            <w:gridSpan w:val="4"/>
          </w:tcPr>
          <w:p>
            <w:pPr>
              <w:spacing w:after="0" w:line="195" w:lineRule="exact"/>
              <w:rPr>
                <w:sz w:val="20"/>
                <w:szCs w:val="20"/>
                <w:color w:val="auto"/>
              </w:rPr>
            </w:pPr>
            <w:r>
              <w:rPr>
                <w:rFonts w:ascii="Arial" w:cs="Arial" w:eastAsia="Arial" w:hAnsi="Arial"/>
                <w:sz w:val="22"/>
                <w:szCs w:val="22"/>
                <w:color w:val="auto"/>
                <w:w w:val="80"/>
              </w:rPr>
              <w:t>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rPr>
              <w:t>57</w:t>
            </w:r>
          </w:p>
        </w:tc>
        <w:tc>
          <w:tcPr>
            <w:tcW w:w="2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9"/>
                <w:szCs w:val="19"/>
                <w:color w:val="0000FF"/>
                <w:w w:val="75"/>
              </w:rPr>
              <w:t>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5" w:lineRule="exact"/>
              <w:rPr>
                <w:sz w:val="20"/>
                <w:szCs w:val="20"/>
                <w:color w:val="auto"/>
              </w:rPr>
            </w:pPr>
            <w:r>
              <w:rPr>
                <w:rFonts w:ascii="Arial" w:cs="Arial" w:eastAsia="Arial" w:hAnsi="Arial"/>
                <w:sz w:val="22"/>
                <w:szCs w:val="22"/>
                <w:color w:val="auto"/>
                <w:w w:val="96"/>
              </w:rPr>
              <w:t>Section 2.09</w:t>
            </w:r>
          </w:p>
        </w:tc>
        <w:tc>
          <w:tcPr>
            <w:tcW w:w="620" w:type="dxa"/>
            <w:vAlign w:val="bottom"/>
            <w:gridSpan w:val="3"/>
          </w:tcPr>
          <w:p>
            <w:pPr>
              <w:spacing w:after="0" w:line="195" w:lineRule="exact"/>
              <w:rPr>
                <w:sz w:val="20"/>
                <w:szCs w:val="20"/>
                <w:color w:val="auto"/>
              </w:rPr>
            </w:pPr>
            <w:r>
              <w:rPr>
                <w:rFonts w:ascii="Arial" w:cs="Arial" w:eastAsia="Arial" w:hAnsi="Arial"/>
                <w:sz w:val="22"/>
                <w:szCs w:val="22"/>
                <w:color w:val="auto"/>
              </w:rPr>
              <w:t>Notes</w:t>
            </w:r>
          </w:p>
        </w:tc>
        <w:tc>
          <w:tcPr>
            <w:tcW w:w="3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rPr>
              <w:t>61</w:t>
            </w:r>
          </w:p>
        </w:tc>
        <w:tc>
          <w:tcPr>
            <w:tcW w:w="4480" w:type="dxa"/>
            <w:vAlign w:val="bottom"/>
            <w:gridSpan w:val="56"/>
          </w:tcPr>
          <w:p>
            <w:pPr>
              <w:spacing w:after="0" w:line="195" w:lineRule="exact"/>
              <w:rPr>
                <w:sz w:val="20"/>
                <w:szCs w:val="20"/>
                <w:color w:val="auto"/>
              </w:rPr>
            </w:pPr>
            <w:r>
              <w:rPr>
                <w:rFonts w:ascii="Arial" w:cs="Arial" w:eastAsia="Arial" w:hAnsi="Arial"/>
                <w:sz w:val="22"/>
                <w:szCs w:val="22"/>
                <w:color w:val="0000FF"/>
              </w:rPr>
              <w:t>63</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2.10</w:t>
            </w:r>
          </w:p>
        </w:tc>
        <w:tc>
          <w:tcPr>
            <w:tcW w:w="100" w:type="dxa"/>
            <w:vAlign w:val="bottom"/>
          </w:tcPr>
          <w:p>
            <w:pPr>
              <w:spacing w:after="0" w:line="20" w:lineRule="exact"/>
              <w:rPr>
                <w:sz w:val="1"/>
                <w:szCs w:val="1"/>
                <w:color w:val="auto"/>
              </w:rPr>
            </w:pPr>
          </w:p>
        </w:tc>
        <w:tc>
          <w:tcPr>
            <w:tcW w:w="960" w:type="dxa"/>
            <w:vAlign w:val="bottom"/>
            <w:gridSpan w:val="7"/>
            <w:vMerge w:val="restart"/>
          </w:tcPr>
          <w:p>
            <w:pPr>
              <w:spacing w:after="0" w:line="216" w:lineRule="exact"/>
              <w:rPr>
                <w:sz w:val="20"/>
                <w:szCs w:val="20"/>
                <w:color w:val="auto"/>
              </w:rPr>
            </w:pPr>
            <w:r>
              <w:rPr>
                <w:rFonts w:ascii="Arial" w:cs="Arial" w:eastAsia="Arial" w:hAnsi="Arial"/>
                <w:sz w:val="22"/>
                <w:szCs w:val="22"/>
                <w:color w:val="auto"/>
                <w:w w:val="80"/>
              </w:rPr>
              <w:t>Termination</w:t>
            </w: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gridSpan w:val="5"/>
            <w:vMerge w:val="restart"/>
          </w:tcPr>
          <w:p>
            <w:pPr>
              <w:jc w:val="right"/>
              <w:spacing w:after="0" w:line="216" w:lineRule="exact"/>
              <w:rPr>
                <w:sz w:val="20"/>
                <w:szCs w:val="20"/>
                <w:color w:val="auto"/>
              </w:rPr>
            </w:pPr>
            <w:r>
              <w:rPr>
                <w:rFonts w:ascii="Arial" w:cs="Arial" w:eastAsia="Arial" w:hAnsi="Arial"/>
                <w:sz w:val="22"/>
                <w:szCs w:val="22"/>
                <w:color w:val="FF0000"/>
                <w:strike w:val="1"/>
                <w:w w:val="81"/>
              </w:rPr>
              <w:t>61</w:t>
            </w:r>
          </w:p>
        </w:tc>
        <w:tc>
          <w:tcPr>
            <w:tcW w:w="240" w:type="dxa"/>
            <w:vAlign w:val="bottom"/>
            <w:gridSpan w:val="6"/>
            <w:vMerge w:val="restart"/>
          </w:tcPr>
          <w:p>
            <w:pPr>
              <w:jc w:val="right"/>
              <w:ind w:right="20"/>
              <w:spacing w:after="0" w:line="216" w:lineRule="exact"/>
              <w:rPr>
                <w:sz w:val="20"/>
                <w:szCs w:val="20"/>
                <w:color w:val="auto"/>
              </w:rPr>
            </w:pPr>
            <w:r>
              <w:rPr>
                <w:rFonts w:ascii="Arial" w:cs="Arial" w:eastAsia="Arial" w:hAnsi="Arial"/>
                <w:sz w:val="22"/>
                <w:szCs w:val="22"/>
                <w:color w:val="0000FF"/>
                <w:w w:val="81"/>
              </w:rPr>
              <w:t>63</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27"/>
          </w:tcPr>
          <w:p>
            <w:pPr>
              <w:ind w:left="140"/>
              <w:spacing w:after="0" w:line="195" w:lineRule="exact"/>
              <w:rPr>
                <w:sz w:val="20"/>
                <w:szCs w:val="20"/>
                <w:color w:val="auto"/>
              </w:rPr>
            </w:pPr>
            <w:r>
              <w:rPr>
                <w:rFonts w:ascii="Arial" w:cs="Arial" w:eastAsia="Arial" w:hAnsi="Arial"/>
                <w:sz w:val="22"/>
                <w:szCs w:val="22"/>
                <w:color w:val="auto"/>
                <w:w w:val="94"/>
              </w:rPr>
              <w:t>of Commitments</w:t>
            </w:r>
          </w:p>
        </w:tc>
        <w:tc>
          <w:tcPr>
            <w:tcW w:w="1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24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0000FF"/>
                <w:w w:val="96"/>
              </w:rPr>
              <w:t>Section 2.11</w:t>
            </w:r>
          </w:p>
        </w:tc>
        <w:tc>
          <w:tcPr>
            <w:tcW w:w="2760" w:type="dxa"/>
            <w:vAlign w:val="bottom"/>
            <w:gridSpan w:val="36"/>
          </w:tcPr>
          <w:p>
            <w:pPr>
              <w:ind w:left="100"/>
              <w:spacing w:after="0" w:line="195" w:lineRule="exact"/>
              <w:rPr>
                <w:sz w:val="20"/>
                <w:szCs w:val="20"/>
                <w:color w:val="auto"/>
              </w:rPr>
            </w:pPr>
            <w:r>
              <w:rPr>
                <w:rFonts w:ascii="Arial" w:cs="Arial" w:eastAsia="Arial" w:hAnsi="Arial"/>
                <w:sz w:val="22"/>
                <w:szCs w:val="22"/>
                <w:color w:val="0000FF"/>
                <w:w w:val="97"/>
              </w:rPr>
              <w:t>Inability to Determine Rates</w:t>
            </w:r>
          </w:p>
        </w:tc>
        <w:tc>
          <w:tcPr>
            <w:tcW w:w="300" w:type="dxa"/>
            <w:vAlign w:val="bottom"/>
            <w:gridSpan w:val="7"/>
          </w:tcPr>
          <w:p>
            <w:pPr>
              <w:jc w:val="right"/>
              <w:ind w:right="80"/>
              <w:spacing w:after="0" w:line="195" w:lineRule="exact"/>
              <w:rPr>
                <w:sz w:val="20"/>
                <w:szCs w:val="20"/>
                <w:color w:val="auto"/>
              </w:rPr>
            </w:pPr>
            <w:r>
              <w:rPr>
                <w:rFonts w:ascii="Arial" w:cs="Arial" w:eastAsia="Arial" w:hAnsi="Arial"/>
                <w:sz w:val="22"/>
                <w:szCs w:val="22"/>
                <w:color w:val="0000FF"/>
                <w:w w:val="81"/>
              </w:rPr>
              <w:t>64</w:t>
            </w: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0000FF"/>
              <w:bottom w:val="single" w:sz="8" w:color="0000FF"/>
            </w:tcBorders>
            <w:gridSpan w:val="2"/>
          </w:tcPr>
          <w:p>
            <w:pPr>
              <w:spacing w:after="0" w:line="195" w:lineRule="exact"/>
              <w:rPr>
                <w:sz w:val="20"/>
                <w:szCs w:val="20"/>
                <w:color w:val="auto"/>
              </w:rPr>
            </w:pPr>
            <w:r>
              <w:rPr>
                <w:rFonts w:ascii="Arial" w:cs="Arial" w:eastAsia="Arial" w:hAnsi="Arial"/>
                <w:sz w:val="22"/>
                <w:szCs w:val="22"/>
                <w:color w:val="0000FF"/>
                <w:w w:val="96"/>
              </w:rPr>
              <w:t>Section 2.12</w:t>
            </w:r>
          </w:p>
        </w:tc>
        <w:tc>
          <w:tcPr>
            <w:tcW w:w="100" w:type="dxa"/>
            <w:vAlign w:val="bottom"/>
            <w:tcBorders>
              <w:top w:val="single" w:sz="8" w:color="0000FF"/>
              <w:bottom w:val="single" w:sz="8" w:color="0000FF"/>
            </w:tcBorders>
          </w:tcPr>
          <w:p>
            <w:pPr>
              <w:spacing w:after="0"/>
              <w:rPr>
                <w:sz w:val="17"/>
                <w:szCs w:val="17"/>
                <w:color w:val="auto"/>
              </w:rPr>
            </w:pPr>
          </w:p>
        </w:tc>
        <w:tc>
          <w:tcPr>
            <w:tcW w:w="860" w:type="dxa"/>
            <w:vAlign w:val="bottom"/>
            <w:tcBorders>
              <w:top w:val="single" w:sz="8" w:color="0000FF"/>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rPr>
              <w:t>Illegality</w:t>
            </w:r>
          </w:p>
        </w:tc>
        <w:tc>
          <w:tcPr>
            <w:tcW w:w="360" w:type="dxa"/>
            <w:vAlign w:val="bottom"/>
            <w:tcBorders>
              <w:top w:val="single" w:sz="8" w:color="0000FF"/>
              <w:bottom w:val="single" w:sz="8" w:color="0000FF"/>
            </w:tcBorders>
            <w:gridSpan w:val="6"/>
          </w:tcPr>
          <w:p>
            <w:pPr>
              <w:jc w:val="right"/>
              <w:spacing w:after="0" w:line="195" w:lineRule="exact"/>
              <w:rPr>
                <w:sz w:val="20"/>
                <w:szCs w:val="20"/>
                <w:color w:val="auto"/>
              </w:rPr>
            </w:pPr>
            <w:r>
              <w:rPr>
                <w:rFonts w:ascii="Arial" w:cs="Arial" w:eastAsia="Arial" w:hAnsi="Arial"/>
                <w:sz w:val="22"/>
                <w:szCs w:val="22"/>
                <w:color w:val="0000FF"/>
              </w:rPr>
              <w:t>64</w:t>
            </w:r>
          </w:p>
        </w:tc>
        <w:tc>
          <w:tcPr>
            <w:tcW w:w="1660" w:type="dxa"/>
            <w:vAlign w:val="bottom"/>
            <w:tcBorders>
              <w:top w:val="single" w:sz="8" w:color="0000FF"/>
              <w:bottom w:val="single" w:sz="8" w:color="0000FF"/>
            </w:tcBorders>
            <w:gridSpan w:val="30"/>
            <w:vMerge w:val="restart"/>
          </w:tcPr>
          <w:p>
            <w:pPr>
              <w:spacing w:after="0"/>
              <w:rPr>
                <w:sz w:val="20"/>
                <w:szCs w:val="20"/>
                <w:color w:val="auto"/>
              </w:rPr>
            </w:pPr>
            <w:r>
              <w:rPr>
                <w:rFonts w:ascii="Arial" w:cs="Arial" w:eastAsia="Arial" w:hAnsi="Arial"/>
                <w:sz w:val="22"/>
                <w:szCs w:val="22"/>
                <w:color w:val="0000FF"/>
                <w:w w:val="80"/>
              </w:rPr>
              <w:t>Replacement Setting</w:t>
            </w:r>
          </w:p>
        </w:tc>
        <w:tc>
          <w:tcPr>
            <w:tcW w:w="180" w:type="dxa"/>
            <w:vAlign w:val="bottom"/>
            <w:gridSpan w:val="4"/>
            <w:vMerge w:val="restart"/>
          </w:tcPr>
          <w:p>
            <w:pPr>
              <w:spacing w:after="0"/>
              <w:rPr>
                <w:sz w:val="17"/>
                <w:szCs w:val="17"/>
                <w:color w:val="auto"/>
              </w:rPr>
            </w:pPr>
          </w:p>
        </w:tc>
        <w:tc>
          <w:tcPr>
            <w:tcW w:w="220" w:type="dxa"/>
            <w:vAlign w:val="bottom"/>
            <w:gridSpan w:val="5"/>
            <w:vMerge w:val="restart"/>
          </w:tcPr>
          <w:p>
            <w:pPr>
              <w:jc w:val="right"/>
              <w:spacing w:after="0"/>
              <w:rPr>
                <w:sz w:val="20"/>
                <w:szCs w:val="20"/>
                <w:color w:val="auto"/>
              </w:rPr>
            </w:pPr>
            <w:r>
              <w:rPr>
                <w:rFonts w:ascii="Arial" w:cs="Arial" w:eastAsia="Arial" w:hAnsi="Arial"/>
                <w:sz w:val="22"/>
                <w:szCs w:val="22"/>
                <w:color w:val="0000FF"/>
                <w:w w:val="81"/>
              </w:rPr>
              <w:t>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22"/>
                <w:szCs w:val="22"/>
                <w:color w:val="0000FF"/>
                <w:w w:val="96"/>
              </w:rPr>
              <w:t>Section 2.13</w:t>
            </w:r>
          </w:p>
        </w:tc>
        <w:tc>
          <w:tcPr>
            <w:tcW w:w="100" w:type="dxa"/>
            <w:vAlign w:val="bottom"/>
            <w:tcBorders>
              <w:bottom w:val="single" w:sz="8" w:color="0000FF"/>
            </w:tcBorders>
          </w:tcPr>
          <w:p>
            <w:pPr>
              <w:spacing w:after="0"/>
              <w:rPr>
                <w:sz w:val="17"/>
                <w:szCs w:val="17"/>
                <w:color w:val="auto"/>
              </w:rPr>
            </w:pPr>
          </w:p>
        </w:tc>
        <w:tc>
          <w:tcPr>
            <w:tcW w:w="1220" w:type="dxa"/>
            <w:vAlign w:val="bottom"/>
            <w:tcBorders>
              <w:bottom w:val="single" w:sz="8" w:color="0000FF"/>
            </w:tcBorders>
            <w:gridSpan w:val="11"/>
          </w:tcPr>
          <w:p>
            <w:pPr>
              <w:spacing w:after="0" w:line="195" w:lineRule="exact"/>
              <w:rPr>
                <w:sz w:val="20"/>
                <w:szCs w:val="20"/>
                <w:color w:val="auto"/>
              </w:rPr>
            </w:pPr>
            <w:r>
              <w:rPr>
                <w:rFonts w:ascii="Arial" w:cs="Arial" w:eastAsia="Arial" w:hAnsi="Arial"/>
                <w:sz w:val="22"/>
                <w:szCs w:val="22"/>
                <w:color w:val="0000FF"/>
              </w:rPr>
              <w:t>Benchmark</w:t>
            </w:r>
          </w:p>
        </w:tc>
        <w:tc>
          <w:tcPr>
            <w:tcW w:w="1660" w:type="dxa"/>
            <w:vAlign w:val="bottom"/>
            <w:tcBorders>
              <w:bottom w:val="single" w:sz="8" w:color="0000FF"/>
            </w:tcBorders>
            <w:gridSpan w:val="30"/>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220" w:type="dxa"/>
            <w:vAlign w:val="bottom"/>
            <w:tcBorders>
              <w:bottom w:val="single" w:sz="8" w:color="0000FF"/>
            </w:tcBorders>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6720" w:type="dxa"/>
            <w:vAlign w:val="bottom"/>
            <w:gridSpan w:val="65"/>
          </w:tcPr>
          <w:p>
            <w:pPr>
              <w:spacing w:after="0"/>
              <w:rPr>
                <w:sz w:val="20"/>
                <w:szCs w:val="20"/>
                <w:color w:val="auto"/>
              </w:rPr>
            </w:pPr>
            <w:r>
              <w:rPr>
                <w:rFonts w:ascii="Arial" w:cs="Arial" w:eastAsia="Arial" w:hAnsi="Arial"/>
                <w:sz w:val="22"/>
                <w:szCs w:val="22"/>
                <w:color w:val="auto"/>
              </w:rPr>
              <w:t>Article III</w:t>
            </w:r>
          </w:p>
        </w:tc>
        <w:tc>
          <w:tcPr>
            <w:tcW w:w="0" w:type="dxa"/>
            <w:vAlign w:val="bottom"/>
          </w:tcPr>
          <w:p>
            <w:pPr>
              <w:spacing w:after="0"/>
              <w:rPr>
                <w:sz w:val="1"/>
                <w:szCs w:val="1"/>
                <w:color w:val="auto"/>
              </w:rPr>
            </w:pPr>
          </w:p>
        </w:tc>
      </w:tr>
      <w:tr>
        <w:trPr>
          <w:trHeight w:val="381"/>
        </w:trPr>
        <w:tc>
          <w:tcPr>
            <w:tcW w:w="220" w:type="dxa"/>
            <w:vAlign w:val="bottom"/>
          </w:tcPr>
          <w:p>
            <w:pPr>
              <w:spacing w:after="0"/>
              <w:rPr>
                <w:sz w:val="24"/>
                <w:szCs w:val="24"/>
                <w:color w:val="auto"/>
              </w:rPr>
            </w:pPr>
          </w:p>
        </w:tc>
        <w:tc>
          <w:tcPr>
            <w:tcW w:w="6500" w:type="dxa"/>
            <w:vAlign w:val="bottom"/>
            <w:gridSpan w:val="64"/>
          </w:tcPr>
          <w:p>
            <w:pPr>
              <w:spacing w:after="0"/>
              <w:rPr>
                <w:sz w:val="20"/>
                <w:szCs w:val="20"/>
                <w:color w:val="auto"/>
              </w:rPr>
            </w:pPr>
            <w:r>
              <w:rPr>
                <w:rFonts w:ascii="Arial" w:cs="Arial" w:eastAsia="Arial" w:hAnsi="Arial"/>
                <w:sz w:val="22"/>
                <w:szCs w:val="22"/>
                <w:color w:val="auto"/>
              </w:rPr>
              <w:t xml:space="preserve">FEES, PREMIUMS AND COMMITMENT TERMINATIONS  </w:t>
            </w:r>
            <w:r>
              <w:rPr>
                <w:rFonts w:ascii="Arial" w:cs="Arial" w:eastAsia="Arial" w:hAnsi="Arial"/>
                <w:sz w:val="22"/>
                <w:szCs w:val="22"/>
                <w:color w:val="0000FF"/>
              </w:rPr>
              <w:t>66</w:t>
            </w:r>
          </w:p>
        </w:tc>
        <w:tc>
          <w:tcPr>
            <w:tcW w:w="0" w:type="dxa"/>
            <w:vAlign w:val="bottom"/>
          </w:tcPr>
          <w:p>
            <w:pPr>
              <w:spacing w:after="0"/>
              <w:rPr>
                <w:sz w:val="1"/>
                <w:szCs w:val="1"/>
                <w:color w:val="auto"/>
              </w:rPr>
            </w:pPr>
          </w:p>
        </w:tc>
      </w:tr>
      <w:tr>
        <w:trPr>
          <w:trHeight w:val="20"/>
        </w:trPr>
        <w:tc>
          <w:tcPr>
            <w:tcW w:w="6720" w:type="dxa"/>
            <w:vAlign w:val="bottom"/>
            <w:gridSpan w:val="6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3"/>
          </w:tcPr>
          <w:p>
            <w:pPr>
              <w:spacing w:after="0"/>
              <w:rPr>
                <w:sz w:val="20"/>
                <w:szCs w:val="20"/>
                <w:color w:val="auto"/>
              </w:rPr>
            </w:pPr>
            <w:r>
              <w:rPr>
                <w:rFonts w:ascii="Arial" w:cs="Arial" w:eastAsia="Arial" w:hAnsi="Arial"/>
                <w:sz w:val="22"/>
                <w:szCs w:val="22"/>
                <w:color w:val="auto"/>
                <w:w w:val="96"/>
              </w:rPr>
              <w:t>Section 3.01</w:t>
            </w:r>
          </w:p>
        </w:tc>
        <w:tc>
          <w:tcPr>
            <w:tcW w:w="620" w:type="dxa"/>
            <w:vAlign w:val="bottom"/>
            <w:gridSpan w:val="3"/>
          </w:tcPr>
          <w:p>
            <w:pPr>
              <w:spacing w:after="0"/>
              <w:rPr>
                <w:sz w:val="20"/>
                <w:szCs w:val="20"/>
                <w:color w:val="auto"/>
              </w:rPr>
            </w:pPr>
            <w:r>
              <w:rPr>
                <w:rFonts w:ascii="Arial" w:cs="Arial" w:eastAsia="Arial" w:hAnsi="Arial"/>
                <w:sz w:val="22"/>
                <w:szCs w:val="22"/>
                <w:color w:val="auto"/>
              </w:rPr>
              <w:t>Fees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62</w:t>
            </w:r>
          </w:p>
        </w:tc>
        <w:tc>
          <w:tcPr>
            <w:tcW w:w="140" w:type="dxa"/>
            <w:vAlign w:val="bottom"/>
            <w:tcBorders>
              <w:bottom w:val="single" w:sz="8" w:color="0000FF"/>
            </w:tcBorders>
            <w:gridSpan w:val="4"/>
          </w:tcPr>
          <w:p>
            <w:pPr>
              <w:spacing w:after="0"/>
              <w:rPr>
                <w:sz w:val="20"/>
                <w:szCs w:val="20"/>
                <w:color w:val="auto"/>
              </w:rPr>
            </w:pPr>
            <w:r>
              <w:rPr>
                <w:rFonts w:ascii="Arial" w:cs="Arial" w:eastAsia="Arial" w:hAnsi="Arial"/>
                <w:sz w:val="12"/>
                <w:szCs w:val="12"/>
                <w:color w:val="0000FF"/>
                <w:w w:val="74"/>
              </w:rPr>
              <w:t>66</w:t>
            </w:r>
          </w:p>
        </w:tc>
        <w:tc>
          <w:tcPr>
            <w:tcW w:w="4440" w:type="dxa"/>
            <w:vAlign w:val="bottom"/>
            <w:gridSpan w:val="5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3.02</w:t>
            </w:r>
          </w:p>
        </w:tc>
        <w:tc>
          <w:tcPr>
            <w:tcW w:w="10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21"/>
                <w:szCs w:val="21"/>
                <w:color w:val="auto"/>
                <w:w w:val="72"/>
              </w:rPr>
              <w:t>Prepayment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14"/>
          </w:tcPr>
          <w:p>
            <w:pPr>
              <w:ind w:left="100"/>
              <w:spacing w:after="0" w:line="195" w:lineRule="exact"/>
              <w:rPr>
                <w:sz w:val="20"/>
                <w:szCs w:val="20"/>
                <w:color w:val="auto"/>
              </w:rPr>
            </w:pPr>
            <w:r>
              <w:rPr>
                <w:rFonts w:ascii="Arial" w:cs="Arial" w:eastAsia="Arial" w:hAnsi="Arial"/>
                <w:sz w:val="22"/>
                <w:szCs w:val="22"/>
                <w:color w:val="auto"/>
                <w:w w:val="96"/>
              </w:rPr>
              <w:t>Premiums</w:t>
            </w:r>
          </w:p>
        </w:tc>
        <w:tc>
          <w:tcPr>
            <w:tcW w:w="100" w:type="dxa"/>
            <w:vAlign w:val="bottom"/>
          </w:tcPr>
          <w:p>
            <w:pPr>
              <w:spacing w:after="0"/>
              <w:rPr>
                <w:sz w:val="17"/>
                <w:szCs w:val="17"/>
                <w:color w:val="auto"/>
              </w:rPr>
            </w:pPr>
          </w:p>
        </w:tc>
        <w:tc>
          <w:tcPr>
            <w:tcW w:w="2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62</w:t>
            </w:r>
          </w:p>
        </w:tc>
        <w:tc>
          <w:tcPr>
            <w:tcW w:w="22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22"/>
                <w:szCs w:val="22"/>
                <w:color w:val="0000FF"/>
                <w:w w:val="81"/>
              </w:rPr>
              <w:t>67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6720" w:type="dxa"/>
            <w:vAlign w:val="bottom"/>
            <w:gridSpan w:val="65"/>
          </w:tcPr>
          <w:p>
            <w:pPr>
              <w:spacing w:after="0"/>
              <w:rPr>
                <w:sz w:val="20"/>
                <w:szCs w:val="20"/>
                <w:color w:val="auto"/>
              </w:rPr>
            </w:pPr>
            <w:r>
              <w:rPr>
                <w:rFonts w:ascii="Arial" w:cs="Arial" w:eastAsia="Arial" w:hAnsi="Arial"/>
                <w:sz w:val="22"/>
                <w:szCs w:val="22"/>
                <w:color w:val="auto"/>
              </w:rPr>
              <w:t>Article IV</w:t>
            </w:r>
          </w:p>
        </w:tc>
        <w:tc>
          <w:tcPr>
            <w:tcW w:w="0" w:type="dxa"/>
            <w:vAlign w:val="bottom"/>
          </w:tcPr>
          <w:p>
            <w:pPr>
              <w:spacing w:after="0"/>
              <w:rPr>
                <w:sz w:val="1"/>
                <w:szCs w:val="1"/>
                <w:color w:val="auto"/>
              </w:rPr>
            </w:pPr>
          </w:p>
        </w:tc>
      </w:tr>
      <w:tr>
        <w:trPr>
          <w:trHeight w:val="382"/>
        </w:trPr>
        <w:tc>
          <w:tcPr>
            <w:tcW w:w="6720" w:type="dxa"/>
            <w:vAlign w:val="bottom"/>
            <w:gridSpan w:val="65"/>
          </w:tcPr>
          <w:p>
            <w:pPr>
              <w:spacing w:after="0"/>
              <w:rPr>
                <w:sz w:val="20"/>
                <w:szCs w:val="20"/>
                <w:color w:val="auto"/>
              </w:rPr>
            </w:pPr>
            <w:r>
              <w:rPr>
                <w:rFonts w:ascii="Arial" w:cs="Arial" w:eastAsia="Arial" w:hAnsi="Arial"/>
                <w:sz w:val="22"/>
                <w:szCs w:val="22"/>
                <w:color w:val="auto"/>
              </w:rPr>
              <w:t xml:space="preserve">PAYMENTS  </w:t>
            </w:r>
            <w:r>
              <w:rPr>
                <w:rFonts w:ascii="Arial" w:cs="Arial" w:eastAsia="Arial" w:hAnsi="Arial"/>
                <w:sz w:val="22"/>
                <w:szCs w:val="22"/>
                <w:color w:val="0000FF"/>
              </w:rPr>
              <w:t>68</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4.01</w:t>
            </w:r>
          </w:p>
        </w:tc>
        <w:tc>
          <w:tcPr>
            <w:tcW w:w="100" w:type="dxa"/>
            <w:vAlign w:val="bottom"/>
          </w:tcPr>
          <w:p>
            <w:pPr>
              <w:spacing w:after="0"/>
              <w:rPr>
                <w:sz w:val="24"/>
                <w:szCs w:val="24"/>
                <w:color w:val="auto"/>
              </w:rPr>
            </w:pPr>
          </w:p>
        </w:tc>
        <w:tc>
          <w:tcPr>
            <w:tcW w:w="2080" w:type="dxa"/>
            <w:vAlign w:val="bottom"/>
            <w:gridSpan w:val="22"/>
          </w:tcPr>
          <w:p>
            <w:pPr>
              <w:spacing w:after="0"/>
              <w:rPr>
                <w:sz w:val="20"/>
                <w:szCs w:val="20"/>
                <w:color w:val="auto"/>
              </w:rPr>
            </w:pPr>
            <w:r>
              <w:rPr>
                <w:rFonts w:ascii="Arial" w:cs="Arial" w:eastAsia="Arial" w:hAnsi="Arial"/>
                <w:sz w:val="22"/>
                <w:szCs w:val="22"/>
                <w:color w:val="auto"/>
                <w:w w:val="89"/>
              </w:rPr>
              <w:t>Voluntary Prepayments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63</w:t>
            </w:r>
          </w:p>
        </w:tc>
        <w:tc>
          <w:tcPr>
            <w:tcW w:w="20" w:type="dxa"/>
            <w:vAlign w:val="bottom"/>
          </w:tcPr>
          <w:p>
            <w:pPr>
              <w:spacing w:after="0"/>
              <w:rPr>
                <w:sz w:val="24"/>
                <w:szCs w:val="24"/>
                <w:color w:val="auto"/>
              </w:rPr>
            </w:pPr>
          </w:p>
        </w:tc>
        <w:tc>
          <w:tcPr>
            <w:tcW w:w="180" w:type="dxa"/>
            <w:vAlign w:val="bottom"/>
            <w:tcBorders>
              <w:bottom w:val="single" w:sz="8" w:color="0000FF"/>
            </w:tcBorders>
            <w:gridSpan w:val="7"/>
          </w:tcPr>
          <w:p>
            <w:pPr>
              <w:spacing w:after="0"/>
              <w:rPr>
                <w:sz w:val="20"/>
                <w:szCs w:val="20"/>
                <w:color w:val="auto"/>
              </w:rPr>
            </w:pPr>
            <w:r>
              <w:rPr>
                <w:rFonts w:ascii="Arial" w:cs="Arial" w:eastAsia="Arial" w:hAnsi="Arial"/>
                <w:sz w:val="19"/>
                <w:szCs w:val="19"/>
                <w:color w:val="0000FF"/>
                <w:w w:val="75"/>
              </w:rPr>
              <w:t>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4.02</w:t>
            </w:r>
          </w:p>
        </w:tc>
        <w:tc>
          <w:tcPr>
            <w:tcW w:w="100" w:type="dxa"/>
            <w:vAlign w:val="bottom"/>
          </w:tcPr>
          <w:p>
            <w:pPr>
              <w:spacing w:after="0"/>
              <w:rPr>
                <w:sz w:val="17"/>
                <w:szCs w:val="17"/>
                <w:color w:val="auto"/>
              </w:rPr>
            </w:pPr>
          </w:p>
        </w:tc>
        <w:tc>
          <w:tcPr>
            <w:tcW w:w="2180" w:type="dxa"/>
            <w:vAlign w:val="bottom"/>
            <w:gridSpan w:val="23"/>
          </w:tcPr>
          <w:p>
            <w:pPr>
              <w:spacing w:after="0" w:line="195" w:lineRule="exact"/>
              <w:rPr>
                <w:sz w:val="20"/>
                <w:szCs w:val="20"/>
                <w:color w:val="auto"/>
              </w:rPr>
            </w:pPr>
            <w:r>
              <w:rPr>
                <w:rFonts w:ascii="Arial" w:cs="Arial" w:eastAsia="Arial" w:hAnsi="Arial"/>
                <w:sz w:val="22"/>
                <w:szCs w:val="22"/>
                <w:color w:val="auto"/>
                <w:w w:val="90"/>
              </w:rPr>
              <w:t>Mandatory Prepayments</w:t>
            </w:r>
          </w:p>
        </w:tc>
        <w:tc>
          <w:tcPr>
            <w:tcW w:w="80" w:type="dxa"/>
            <w:vAlign w:val="bottom"/>
            <w:gridSpan w:val="2"/>
          </w:tcPr>
          <w:p>
            <w:pPr>
              <w:spacing w:after="0"/>
              <w:rPr>
                <w:sz w:val="17"/>
                <w:szCs w:val="17"/>
                <w:color w:val="auto"/>
              </w:rPr>
            </w:pPr>
          </w:p>
        </w:tc>
        <w:tc>
          <w:tcPr>
            <w:tcW w:w="32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rPr>
              <w:t>64</w:t>
            </w:r>
          </w:p>
        </w:tc>
        <w:tc>
          <w:tcPr>
            <w:tcW w:w="200" w:type="dxa"/>
            <w:vAlign w:val="bottom"/>
            <w:gridSpan w:val="6"/>
          </w:tcPr>
          <w:p>
            <w:pPr>
              <w:spacing w:after="0" w:line="195" w:lineRule="exact"/>
              <w:rPr>
                <w:sz w:val="20"/>
                <w:szCs w:val="20"/>
                <w:color w:val="auto"/>
              </w:rPr>
            </w:pPr>
            <w:r>
              <w:rPr>
                <w:rFonts w:ascii="Arial" w:cs="Arial" w:eastAsia="Arial" w:hAnsi="Arial"/>
                <w:sz w:val="22"/>
                <w:szCs w:val="22"/>
                <w:color w:val="0000FF"/>
                <w:w w:val="73"/>
              </w:rPr>
              <w:t>69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4.03</w:t>
            </w: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2220" w:type="dxa"/>
            <w:vAlign w:val="bottom"/>
            <w:gridSpan w:val="23"/>
            <w:vMerge w:val="restart"/>
          </w:tcPr>
          <w:p>
            <w:pPr>
              <w:ind w:left="140"/>
              <w:spacing w:after="0" w:line="216" w:lineRule="exact"/>
              <w:rPr>
                <w:sz w:val="20"/>
                <w:szCs w:val="20"/>
                <w:color w:val="auto"/>
              </w:rPr>
            </w:pPr>
            <w:r>
              <w:rPr>
                <w:rFonts w:ascii="Arial" w:cs="Arial" w:eastAsia="Arial" w:hAnsi="Arial"/>
                <w:sz w:val="22"/>
                <w:szCs w:val="22"/>
                <w:color w:val="auto"/>
                <w:w w:val="95"/>
              </w:rPr>
              <w:t>and Place of Payment</w:t>
            </w:r>
          </w:p>
        </w:tc>
        <w:tc>
          <w:tcPr>
            <w:tcW w:w="220" w:type="dxa"/>
            <w:vAlign w:val="bottom"/>
            <w:vMerge w:val="restart"/>
          </w:tcPr>
          <w:p>
            <w:pPr>
              <w:jc w:val="right"/>
              <w:spacing w:after="0" w:line="216" w:lineRule="exact"/>
              <w:rPr>
                <w:sz w:val="20"/>
                <w:szCs w:val="20"/>
                <w:color w:val="auto"/>
              </w:rPr>
            </w:pPr>
            <w:r>
              <w:rPr>
                <w:rFonts w:ascii="Arial" w:cs="Arial" w:eastAsia="Arial" w:hAnsi="Arial"/>
                <w:sz w:val="22"/>
                <w:szCs w:val="22"/>
                <w:color w:val="FF0000"/>
                <w:strike w:val="1"/>
                <w:w w:val="81"/>
              </w:rPr>
              <w:t>67</w:t>
            </w:r>
          </w:p>
        </w:tc>
        <w:tc>
          <w:tcPr>
            <w:tcW w:w="220" w:type="dxa"/>
            <w:vAlign w:val="bottom"/>
            <w:vMerge w:val="restart"/>
          </w:tcPr>
          <w:p>
            <w:pPr>
              <w:jc w:val="right"/>
              <w:spacing w:after="0" w:line="216" w:lineRule="exact"/>
              <w:rPr>
                <w:sz w:val="20"/>
                <w:szCs w:val="20"/>
                <w:color w:val="auto"/>
              </w:rPr>
            </w:pPr>
            <w:r>
              <w:rPr>
                <w:rFonts w:ascii="Arial" w:cs="Arial" w:eastAsia="Arial" w:hAnsi="Arial"/>
                <w:sz w:val="22"/>
                <w:szCs w:val="22"/>
                <w:color w:val="0000FF"/>
                <w:w w:val="81"/>
              </w:rPr>
              <w:t>72</w:t>
            </w:r>
          </w:p>
        </w:tc>
        <w:tc>
          <w:tcPr>
            <w:tcW w:w="0" w:type="dxa"/>
            <w:vAlign w:val="bottom"/>
          </w:tcPr>
          <w:p>
            <w:pPr>
              <w:spacing w:after="0" w:line="20" w:lineRule="exact"/>
              <w:rPr>
                <w:sz w:val="1"/>
                <w:szCs w:val="1"/>
                <w:color w:val="auto"/>
              </w:rPr>
            </w:pPr>
          </w:p>
        </w:tc>
      </w:tr>
      <w:tr>
        <w:trPr>
          <w:trHeight w:val="201"/>
        </w:trPr>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37"/>
          </w:tcPr>
          <w:p>
            <w:pPr>
              <w:spacing w:after="0" w:line="195" w:lineRule="exact"/>
              <w:rPr>
                <w:sz w:val="20"/>
                <w:szCs w:val="20"/>
                <w:color w:val="auto"/>
              </w:rPr>
            </w:pPr>
            <w:r>
              <w:rPr>
                <w:rFonts w:ascii="Arial" w:cs="Arial" w:eastAsia="Arial" w:hAnsi="Arial"/>
                <w:sz w:val="22"/>
                <w:szCs w:val="22"/>
                <w:color w:val="auto"/>
                <w:w w:val="86"/>
              </w:rPr>
              <w:t>Payment of Obligations; Method</w:t>
            </w:r>
          </w:p>
        </w:tc>
        <w:tc>
          <w:tcPr>
            <w:tcW w:w="2220" w:type="dxa"/>
            <w:vAlign w:val="bottom"/>
            <w:gridSpan w:val="2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5" w:lineRule="exact"/>
              <w:rPr>
                <w:sz w:val="20"/>
                <w:szCs w:val="20"/>
                <w:color w:val="auto"/>
              </w:rPr>
            </w:pPr>
            <w:r>
              <w:rPr>
                <w:rFonts w:ascii="Arial" w:cs="Arial" w:eastAsia="Arial" w:hAnsi="Arial"/>
                <w:sz w:val="22"/>
                <w:szCs w:val="22"/>
                <w:color w:val="auto"/>
                <w:w w:val="96"/>
              </w:rPr>
              <w:t>Section 4.04</w:t>
            </w:r>
          </w:p>
        </w:tc>
        <w:tc>
          <w:tcPr>
            <w:tcW w:w="620" w:type="dxa"/>
            <w:vAlign w:val="bottom"/>
            <w:gridSpan w:val="3"/>
          </w:tcPr>
          <w:p>
            <w:pPr>
              <w:spacing w:after="0" w:line="195" w:lineRule="exact"/>
              <w:rPr>
                <w:sz w:val="20"/>
                <w:szCs w:val="20"/>
                <w:color w:val="auto"/>
              </w:rPr>
            </w:pPr>
            <w:r>
              <w:rPr>
                <w:rFonts w:ascii="Arial" w:cs="Arial" w:eastAsia="Arial" w:hAnsi="Arial"/>
                <w:sz w:val="22"/>
                <w:szCs w:val="22"/>
                <w:color w:val="auto"/>
              </w:rPr>
              <w:t>Taxes</w:t>
            </w:r>
          </w:p>
        </w:tc>
        <w:tc>
          <w:tcPr>
            <w:tcW w:w="3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rPr>
              <w:t>68</w:t>
            </w:r>
          </w:p>
        </w:tc>
        <w:tc>
          <w:tcPr>
            <w:tcW w:w="22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22"/>
                <w:szCs w:val="22"/>
                <w:color w:val="0000FF"/>
                <w:w w:val="81"/>
              </w:rPr>
              <w:t>73</w:t>
            </w:r>
          </w:p>
        </w:tc>
        <w:tc>
          <w:tcPr>
            <w:tcW w:w="4260" w:type="dxa"/>
            <w:vAlign w:val="bottom"/>
            <w:gridSpan w:val="52"/>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4.05</w:t>
            </w:r>
          </w:p>
        </w:tc>
        <w:tc>
          <w:tcPr>
            <w:tcW w:w="2480" w:type="dxa"/>
            <w:vAlign w:val="bottom"/>
            <w:gridSpan w:val="32"/>
          </w:tcPr>
          <w:p>
            <w:pPr>
              <w:ind w:left="100"/>
              <w:spacing w:after="0"/>
              <w:rPr>
                <w:sz w:val="20"/>
                <w:szCs w:val="20"/>
                <w:color w:val="auto"/>
              </w:rPr>
            </w:pPr>
            <w:r>
              <w:rPr>
                <w:rFonts w:ascii="Arial" w:cs="Arial" w:eastAsia="Arial" w:hAnsi="Arial"/>
                <w:sz w:val="22"/>
                <w:szCs w:val="22"/>
                <w:color w:val="auto"/>
                <w:w w:val="91"/>
              </w:rPr>
              <w:t>Right to Decline Payments</w:t>
            </w:r>
          </w:p>
        </w:tc>
        <w:tc>
          <w:tcPr>
            <w:tcW w:w="60" w:type="dxa"/>
            <w:vAlign w:val="bottom"/>
          </w:tcPr>
          <w:p>
            <w:pPr>
              <w:spacing w:after="0"/>
              <w:rPr>
                <w:sz w:val="21"/>
                <w:szCs w:val="21"/>
                <w:color w:val="auto"/>
              </w:rPr>
            </w:pP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rPr>
              <w:t>72</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4.06</w:t>
            </w:r>
          </w:p>
        </w:tc>
        <w:tc>
          <w:tcPr>
            <w:tcW w:w="3080" w:type="dxa"/>
            <w:vAlign w:val="bottom"/>
            <w:gridSpan w:val="41"/>
          </w:tcPr>
          <w:p>
            <w:pPr>
              <w:ind w:left="100"/>
              <w:spacing w:after="0" w:line="195" w:lineRule="exact"/>
              <w:rPr>
                <w:sz w:val="20"/>
                <w:szCs w:val="20"/>
                <w:color w:val="auto"/>
              </w:rPr>
            </w:pPr>
            <w:r>
              <w:rPr>
                <w:rFonts w:ascii="Arial" w:cs="Arial" w:eastAsia="Arial" w:hAnsi="Arial"/>
                <w:sz w:val="22"/>
                <w:szCs w:val="22"/>
                <w:color w:val="auto"/>
                <w:w w:val="87"/>
              </w:rPr>
              <w:t>Computations of Interest and Fees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9"/>
              </w:rPr>
              <w:t>72</w:t>
            </w:r>
          </w:p>
        </w:tc>
        <w:tc>
          <w:tcPr>
            <w:tcW w:w="22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81"/>
              </w:rPr>
              <w:t>77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4.07</w:t>
            </w:r>
          </w:p>
        </w:tc>
        <w:tc>
          <w:tcPr>
            <w:tcW w:w="740" w:type="dxa"/>
            <w:vAlign w:val="bottom"/>
          </w:tcPr>
          <w:p>
            <w:pPr>
              <w:ind w:left="100"/>
              <w:spacing w:after="0" w:line="195" w:lineRule="exact"/>
              <w:rPr>
                <w:sz w:val="20"/>
                <w:szCs w:val="20"/>
                <w:color w:val="auto"/>
              </w:rPr>
            </w:pPr>
            <w:r>
              <w:rPr>
                <w:rFonts w:ascii="Arial" w:cs="Arial" w:eastAsia="Arial" w:hAnsi="Arial"/>
                <w:sz w:val="22"/>
                <w:szCs w:val="22"/>
                <w:color w:val="auto"/>
              </w:rPr>
              <w:t>Debt</w:t>
            </w:r>
          </w:p>
        </w:tc>
        <w:tc>
          <w:tcPr>
            <w:tcW w:w="2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73</w:t>
            </w:r>
          </w:p>
        </w:tc>
        <w:tc>
          <w:tcPr>
            <w:tcW w:w="3800" w:type="dxa"/>
            <w:vAlign w:val="bottom"/>
            <w:gridSpan w:val="62"/>
          </w:tcPr>
          <w:p>
            <w:pPr>
              <w:jc w:val="right"/>
              <w:ind w:right="3580"/>
              <w:spacing w:after="0" w:line="195" w:lineRule="exact"/>
              <w:rPr>
                <w:sz w:val="20"/>
                <w:szCs w:val="20"/>
                <w:color w:val="auto"/>
              </w:rPr>
            </w:pPr>
            <w:r>
              <w:rPr>
                <w:rFonts w:ascii="Arial" w:cs="Arial" w:eastAsia="Arial" w:hAnsi="Arial"/>
                <w:sz w:val="22"/>
                <w:szCs w:val="22"/>
                <w:color w:val="0000FF"/>
                <w:w w:val="81"/>
              </w:rPr>
              <w:t>77</w:t>
            </w:r>
          </w:p>
        </w:tc>
        <w:tc>
          <w:tcPr>
            <w:tcW w:w="0" w:type="dxa"/>
            <w:vAlign w:val="bottom"/>
          </w:tcPr>
          <w:p>
            <w:pPr>
              <w:spacing w:after="0"/>
              <w:rPr>
                <w:sz w:val="1"/>
                <w:szCs w:val="1"/>
                <w:color w:val="auto"/>
              </w:rPr>
            </w:pPr>
          </w:p>
        </w:tc>
      </w:tr>
      <w:tr>
        <w:trPr>
          <w:trHeight w:val="463"/>
        </w:trPr>
        <w:tc>
          <w:tcPr>
            <w:tcW w:w="2160" w:type="dxa"/>
            <w:vAlign w:val="bottom"/>
            <w:gridSpan w:val="4"/>
          </w:tcPr>
          <w:p>
            <w:pPr>
              <w:spacing w:after="0"/>
              <w:rPr>
                <w:sz w:val="20"/>
                <w:szCs w:val="20"/>
                <w:color w:val="auto"/>
              </w:rPr>
            </w:pPr>
            <w:r>
              <w:rPr>
                <w:rFonts w:ascii="Arial" w:cs="Arial" w:eastAsia="Arial" w:hAnsi="Arial"/>
                <w:sz w:val="22"/>
                <w:szCs w:val="22"/>
                <w:color w:val="auto"/>
              </w:rPr>
              <w:t>Article V</w:t>
            </w:r>
          </w:p>
        </w:tc>
        <w:tc>
          <w:tcPr>
            <w:tcW w:w="220" w:type="dxa"/>
            <w:vAlign w:val="bottom"/>
            <w:tcBorders>
              <w:top w:val="single" w:sz="8" w:color="0000FF"/>
            </w:tcBorders>
            <w:gridSpan w:val="3"/>
          </w:tcPr>
          <w:p>
            <w:pPr>
              <w:spacing w:after="0"/>
              <w:rPr>
                <w:sz w:val="24"/>
                <w:szCs w:val="24"/>
                <w:color w:val="auto"/>
              </w:rPr>
            </w:pPr>
          </w:p>
        </w:tc>
        <w:tc>
          <w:tcPr>
            <w:tcW w:w="3580" w:type="dxa"/>
            <w:vAlign w:val="bottom"/>
            <w:gridSpan w:val="59"/>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20" w:type="dxa"/>
            <w:vAlign w:val="bottom"/>
          </w:tcPr>
          <w:p>
            <w:pPr>
              <w:spacing w:after="0"/>
              <w:rPr>
                <w:sz w:val="24"/>
                <w:szCs w:val="24"/>
                <w:color w:val="auto"/>
              </w:rPr>
            </w:pPr>
          </w:p>
        </w:tc>
        <w:tc>
          <w:tcPr>
            <w:tcW w:w="5320" w:type="dxa"/>
            <w:vAlign w:val="bottom"/>
            <w:gridSpan w:val="60"/>
          </w:tcPr>
          <w:p>
            <w:pPr>
              <w:spacing w:after="0"/>
              <w:rPr>
                <w:sz w:val="20"/>
                <w:szCs w:val="20"/>
                <w:color w:val="auto"/>
              </w:rPr>
            </w:pPr>
            <w:r>
              <w:rPr>
                <w:rFonts w:ascii="Arial" w:cs="Arial" w:eastAsia="Arial" w:hAnsi="Arial"/>
                <w:sz w:val="22"/>
                <w:szCs w:val="22"/>
                <w:color w:val="auto"/>
                <w:w w:val="94"/>
              </w:rPr>
              <w:t>CONDITIONS PRECEDENT TO the initial TERM LOANS</w:t>
            </w:r>
          </w:p>
        </w:tc>
        <w:tc>
          <w:tcPr>
            <w:tcW w:w="380" w:type="dxa"/>
            <w:vAlign w:val="bottom"/>
            <w:gridSpan w:val="4"/>
          </w:tcPr>
          <w:p>
            <w:pPr>
              <w:jc w:val="right"/>
              <w:ind w:right="20"/>
              <w:spacing w:after="0"/>
              <w:rPr>
                <w:sz w:val="20"/>
                <w:szCs w:val="20"/>
                <w:color w:val="auto"/>
              </w:rPr>
            </w:pPr>
            <w:r>
              <w:rPr>
                <w:rFonts w:ascii="Arial" w:cs="Arial" w:eastAsia="Arial" w:hAnsi="Arial"/>
                <w:sz w:val="22"/>
                <w:szCs w:val="22"/>
                <w:color w:val="0000FF"/>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40" w:type="dxa"/>
            <w:vAlign w:val="bottom"/>
            <w:tcBorders>
              <w:right w:val="single" w:sz="8" w:color="0000FF"/>
            </w:tcBorders>
            <w:gridSpan w:val="61"/>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5.01</w:t>
            </w:r>
          </w:p>
        </w:tc>
        <w:tc>
          <w:tcPr>
            <w:tcW w:w="1860" w:type="dxa"/>
            <w:vAlign w:val="bottom"/>
            <w:gridSpan w:val="20"/>
          </w:tcPr>
          <w:p>
            <w:pPr>
              <w:ind w:left="100"/>
              <w:spacing w:after="0"/>
              <w:rPr>
                <w:sz w:val="20"/>
                <w:szCs w:val="20"/>
                <w:color w:val="auto"/>
              </w:rPr>
            </w:pPr>
            <w:r>
              <w:rPr>
                <w:rFonts w:ascii="Arial" w:cs="Arial" w:eastAsia="Arial" w:hAnsi="Arial"/>
                <w:sz w:val="22"/>
                <w:szCs w:val="22"/>
                <w:color w:val="auto"/>
              </w:rPr>
              <w:t>Loan Documents</w:t>
            </w:r>
          </w:p>
        </w:tc>
        <w:tc>
          <w:tcPr>
            <w:tcW w:w="160" w:type="dxa"/>
            <w:vAlign w:val="bottom"/>
            <w:gridSpan w:val="3"/>
          </w:tcPr>
          <w:p>
            <w:pPr>
              <w:spacing w:after="0"/>
              <w:rPr>
                <w:sz w:val="20"/>
                <w:szCs w:val="20"/>
                <w:color w:val="auto"/>
              </w:rPr>
            </w:pPr>
            <w:r>
              <w:rPr>
                <w:rFonts w:ascii="Arial" w:cs="Arial" w:eastAsia="Arial" w:hAnsi="Arial"/>
                <w:sz w:val="17"/>
                <w:szCs w:val="17"/>
                <w:color w:val="FF0000"/>
                <w:strike w:val="1"/>
                <w:w w:val="73"/>
              </w:rPr>
              <w:t>73</w:t>
            </w:r>
          </w:p>
        </w:tc>
        <w:tc>
          <w:tcPr>
            <w:tcW w:w="220" w:type="dxa"/>
            <w:vAlign w:val="bottom"/>
            <w:tcBorders>
              <w:bottom w:val="single" w:sz="8" w:color="0000FF"/>
            </w:tcBorders>
            <w:gridSpan w:val="5"/>
          </w:tcPr>
          <w:p>
            <w:pPr>
              <w:jc w:val="center"/>
              <w:spacing w:after="0"/>
              <w:rPr>
                <w:sz w:val="20"/>
                <w:szCs w:val="20"/>
                <w:color w:val="auto"/>
              </w:rPr>
            </w:pPr>
            <w:r>
              <w:rPr>
                <w:rFonts w:ascii="Arial" w:cs="Arial" w:eastAsia="Arial" w:hAnsi="Arial"/>
                <w:sz w:val="22"/>
                <w:szCs w:val="22"/>
                <w:color w:val="0000FF"/>
                <w:w w:val="89"/>
              </w:rPr>
              <w:t>78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5.02</w:t>
            </w:r>
          </w:p>
        </w:tc>
        <w:tc>
          <w:tcPr>
            <w:tcW w:w="2240" w:type="dxa"/>
            <w:vAlign w:val="bottom"/>
            <w:gridSpan w:val="28"/>
          </w:tcPr>
          <w:p>
            <w:pPr>
              <w:ind w:left="100"/>
              <w:spacing w:after="0" w:line="195" w:lineRule="exact"/>
              <w:rPr>
                <w:sz w:val="20"/>
                <w:szCs w:val="20"/>
                <w:color w:val="auto"/>
              </w:rPr>
            </w:pPr>
            <w:r>
              <w:rPr>
                <w:rFonts w:ascii="Arial" w:cs="Arial" w:eastAsia="Arial" w:hAnsi="Arial"/>
                <w:sz w:val="22"/>
                <w:szCs w:val="22"/>
                <w:color w:val="auto"/>
                <w:w w:val="84"/>
              </w:rPr>
              <w:t>Lien and Other Searches;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10"/>
          </w:tcPr>
          <w:p>
            <w:pPr>
              <w:ind w:left="20"/>
              <w:spacing w:after="0" w:line="195" w:lineRule="exact"/>
              <w:rPr>
                <w:sz w:val="20"/>
                <w:szCs w:val="20"/>
                <w:color w:val="auto"/>
              </w:rPr>
            </w:pPr>
            <w:r>
              <w:rPr>
                <w:rFonts w:ascii="Arial" w:cs="Arial" w:eastAsia="Arial" w:hAnsi="Arial"/>
                <w:sz w:val="22"/>
                <w:szCs w:val="22"/>
                <w:color w:val="auto"/>
                <w:w w:val="94"/>
              </w:rPr>
              <w:t>Filings</w:t>
            </w: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Arial" w:cs="Arial" w:eastAsia="Arial" w:hAnsi="Arial"/>
                <w:sz w:val="19"/>
                <w:szCs w:val="19"/>
                <w:color w:val="FF0000"/>
                <w:strike w:val="1"/>
                <w:w w:val="75"/>
              </w:rPr>
              <w:t>74</w:t>
            </w:r>
          </w:p>
        </w:tc>
        <w:tc>
          <w:tcPr>
            <w:tcW w:w="2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5.03</w:t>
            </w:r>
          </w:p>
        </w:tc>
        <w:tc>
          <w:tcPr>
            <w:tcW w:w="1540" w:type="dxa"/>
            <w:vAlign w:val="bottom"/>
            <w:gridSpan w:val="13"/>
          </w:tcPr>
          <w:p>
            <w:pPr>
              <w:ind w:left="100"/>
              <w:spacing w:after="0" w:line="195" w:lineRule="exact"/>
              <w:rPr>
                <w:sz w:val="20"/>
                <w:szCs w:val="20"/>
                <w:color w:val="auto"/>
              </w:rPr>
            </w:pPr>
            <w:r>
              <w:rPr>
                <w:rFonts w:ascii="Arial" w:cs="Arial" w:eastAsia="Arial" w:hAnsi="Arial"/>
                <w:sz w:val="22"/>
                <w:szCs w:val="22"/>
                <w:color w:val="auto"/>
              </w:rPr>
              <w:t>Stock Pledges</w:t>
            </w:r>
          </w:p>
        </w:tc>
        <w:tc>
          <w:tcPr>
            <w:tcW w:w="320" w:type="dxa"/>
            <w:vAlign w:val="bottom"/>
            <w:gridSpan w:val="7"/>
          </w:tcPr>
          <w:p>
            <w:pPr>
              <w:spacing w:after="0" w:line="195" w:lineRule="exact"/>
              <w:rPr>
                <w:sz w:val="20"/>
                <w:szCs w:val="20"/>
                <w:color w:val="auto"/>
              </w:rPr>
            </w:pPr>
            <w:r>
              <w:rPr>
                <w:rFonts w:ascii="Arial" w:cs="Arial" w:eastAsia="Arial" w:hAnsi="Arial"/>
                <w:sz w:val="22"/>
                <w:szCs w:val="22"/>
                <w:color w:val="FF0000"/>
                <w:strike w:val="1"/>
              </w:rPr>
              <w:t>74</w:t>
            </w:r>
          </w:p>
        </w:tc>
        <w:tc>
          <w:tcPr>
            <w:tcW w:w="120" w:type="dxa"/>
            <w:vAlign w:val="bottom"/>
            <w:gridSpan w:val="2"/>
          </w:tcPr>
          <w:p>
            <w:pPr>
              <w:spacing w:after="0"/>
              <w:rPr>
                <w:sz w:val="20"/>
                <w:szCs w:val="20"/>
                <w:color w:val="auto"/>
              </w:rPr>
            </w:pPr>
            <w:r>
              <w:rPr>
                <w:rFonts w:ascii="Arial" w:cs="Arial" w:eastAsia="Arial" w:hAnsi="Arial"/>
                <w:sz w:val="12"/>
                <w:szCs w:val="12"/>
                <w:color w:val="0000FF"/>
                <w:w w:val="74"/>
              </w:rPr>
              <w:t>79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5.04</w:t>
            </w:r>
          </w:p>
        </w:tc>
        <w:tc>
          <w:tcPr>
            <w:tcW w:w="1540" w:type="dxa"/>
            <w:vAlign w:val="bottom"/>
            <w:gridSpan w:val="13"/>
            <w:vMerge w:val="restart"/>
          </w:tcPr>
          <w:p>
            <w:pPr>
              <w:ind w:left="100"/>
              <w:spacing w:after="0" w:line="216" w:lineRule="exact"/>
              <w:rPr>
                <w:sz w:val="20"/>
                <w:szCs w:val="20"/>
                <w:color w:val="auto"/>
              </w:rPr>
            </w:pPr>
            <w:r>
              <w:rPr>
                <w:rFonts w:ascii="Arial" w:cs="Arial" w:eastAsia="Arial" w:hAnsi="Arial"/>
                <w:sz w:val="22"/>
                <w:szCs w:val="22"/>
                <w:color w:val="auto"/>
                <w:w w:val="96"/>
              </w:rPr>
              <w:t>Legal Opinions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vMerge w:val="continue"/>
          </w:tcPr>
          <w:p>
            <w:pPr>
              <w:spacing w:after="0"/>
              <w:rPr>
                <w:sz w:val="17"/>
                <w:szCs w:val="17"/>
                <w:color w:val="auto"/>
              </w:rPr>
            </w:pPr>
          </w:p>
        </w:tc>
        <w:tc>
          <w:tcPr>
            <w:tcW w:w="1540" w:type="dxa"/>
            <w:vAlign w:val="bottom"/>
            <w:gridSpan w:val="1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74</w:t>
            </w:r>
          </w:p>
        </w:tc>
        <w:tc>
          <w:tcPr>
            <w:tcW w:w="240" w:type="dxa"/>
            <w:vAlign w:val="bottom"/>
            <w:gridSpan w:val="6"/>
          </w:tcPr>
          <w:p>
            <w:pPr>
              <w:ind w:left="20"/>
              <w:spacing w:after="0" w:line="195" w:lineRule="exact"/>
              <w:rPr>
                <w:sz w:val="20"/>
                <w:szCs w:val="20"/>
                <w:color w:val="auto"/>
              </w:rPr>
            </w:pPr>
            <w:r>
              <w:rPr>
                <w:rFonts w:ascii="Arial" w:cs="Arial" w:eastAsia="Arial" w:hAnsi="Arial"/>
                <w:sz w:val="22"/>
                <w:szCs w:val="22"/>
                <w:color w:val="0000FF"/>
                <w:w w:val="81"/>
              </w:rPr>
              <w:t>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5.05</w:t>
            </w:r>
          </w:p>
        </w:tc>
        <w:tc>
          <w:tcPr>
            <w:tcW w:w="1860" w:type="dxa"/>
            <w:vAlign w:val="bottom"/>
            <w:gridSpan w:val="20"/>
          </w:tcPr>
          <w:p>
            <w:pPr>
              <w:ind w:left="100"/>
              <w:spacing w:after="0" w:line="195" w:lineRule="exact"/>
              <w:rPr>
                <w:sz w:val="20"/>
                <w:szCs w:val="20"/>
                <w:color w:val="auto"/>
              </w:rPr>
            </w:pPr>
            <w:r>
              <w:rPr>
                <w:rFonts w:ascii="Arial" w:cs="Arial" w:eastAsia="Arial" w:hAnsi="Arial"/>
                <w:sz w:val="22"/>
                <w:szCs w:val="22"/>
                <w:color w:val="auto"/>
                <w:w w:val="76"/>
              </w:rPr>
              <w:t>Secretary’s Certificates</w:t>
            </w: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3"/>
          </w:tcPr>
          <w:p>
            <w:pPr>
              <w:spacing w:after="0" w:line="195" w:lineRule="exact"/>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79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5.06</w:t>
            </w:r>
          </w:p>
        </w:tc>
        <w:tc>
          <w:tcPr>
            <w:tcW w:w="3260" w:type="dxa"/>
            <w:vAlign w:val="bottom"/>
            <w:gridSpan w:val="44"/>
          </w:tcPr>
          <w:p>
            <w:pPr>
              <w:ind w:left="100"/>
              <w:spacing w:after="0" w:line="195" w:lineRule="exact"/>
              <w:rPr>
                <w:sz w:val="20"/>
                <w:szCs w:val="20"/>
                <w:color w:val="auto"/>
              </w:rPr>
            </w:pPr>
            <w:r>
              <w:rPr>
                <w:rFonts w:ascii="Arial" w:cs="Arial" w:eastAsia="Arial" w:hAnsi="Arial"/>
                <w:sz w:val="22"/>
                <w:szCs w:val="22"/>
                <w:color w:val="auto"/>
                <w:w w:val="94"/>
              </w:rPr>
              <w:t>Other Documents and Certificates</w:t>
            </w:r>
          </w:p>
        </w:tc>
        <w:tc>
          <w:tcPr>
            <w:tcW w:w="2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1"/>
              </w:rPr>
              <w:t>75</w:t>
            </w:r>
          </w:p>
        </w:tc>
        <w:tc>
          <w:tcPr>
            <w:tcW w:w="22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81"/>
              </w:rPr>
              <w:t>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5.07</w:t>
            </w:r>
          </w:p>
        </w:tc>
        <w:tc>
          <w:tcPr>
            <w:tcW w:w="1120" w:type="dxa"/>
            <w:vAlign w:val="bottom"/>
            <w:gridSpan w:val="4"/>
          </w:tcPr>
          <w:p>
            <w:pPr>
              <w:ind w:left="100"/>
              <w:spacing w:after="0" w:line="195" w:lineRule="exact"/>
              <w:rPr>
                <w:sz w:val="20"/>
                <w:szCs w:val="20"/>
                <w:color w:val="auto"/>
              </w:rPr>
            </w:pPr>
            <w:r>
              <w:rPr>
                <w:rFonts w:ascii="Arial" w:cs="Arial" w:eastAsia="Arial" w:hAnsi="Arial"/>
                <w:sz w:val="22"/>
                <w:szCs w:val="22"/>
                <w:color w:val="auto"/>
              </w:rPr>
              <w:t>Solvency</w:t>
            </w:r>
          </w:p>
        </w:tc>
        <w:tc>
          <w:tcPr>
            <w:tcW w:w="2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1"/>
              </w:rPr>
              <w:t>75</w:t>
            </w:r>
          </w:p>
        </w:tc>
        <w:tc>
          <w:tcPr>
            <w:tcW w:w="20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73"/>
              </w:rPr>
              <w:t>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5.08</w:t>
            </w:r>
          </w:p>
        </w:tc>
        <w:tc>
          <w:tcPr>
            <w:tcW w:w="1560" w:type="dxa"/>
            <w:vAlign w:val="bottom"/>
            <w:gridSpan w:val="14"/>
          </w:tcPr>
          <w:p>
            <w:pPr>
              <w:ind w:left="100"/>
              <w:spacing w:after="0" w:line="195" w:lineRule="exact"/>
              <w:rPr>
                <w:sz w:val="20"/>
                <w:szCs w:val="20"/>
                <w:color w:val="auto"/>
              </w:rPr>
            </w:pPr>
            <w:r>
              <w:rPr>
                <w:rFonts w:ascii="Arial" w:cs="Arial" w:eastAsia="Arial" w:hAnsi="Arial"/>
                <w:sz w:val="22"/>
                <w:szCs w:val="22"/>
                <w:color w:val="auto"/>
                <w:w w:val="85"/>
              </w:rPr>
              <w:t>Borrowing Notice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6"/>
          </w:tcPr>
          <w:p>
            <w:pPr>
              <w:ind w:left="20"/>
              <w:spacing w:after="0" w:line="195" w:lineRule="exact"/>
              <w:rPr>
                <w:sz w:val="20"/>
                <w:szCs w:val="20"/>
                <w:color w:val="auto"/>
              </w:rPr>
            </w:pPr>
            <w:r>
              <w:rPr>
                <w:rFonts w:ascii="Arial" w:cs="Arial" w:eastAsia="Arial" w:hAnsi="Arial"/>
                <w:sz w:val="22"/>
                <w:szCs w:val="22"/>
                <w:color w:val="FF0000"/>
                <w:strike w:val="1"/>
                <w:w w:val="81"/>
              </w:rPr>
              <w:t>75</w:t>
            </w:r>
          </w:p>
        </w:tc>
        <w:tc>
          <w:tcPr>
            <w:tcW w:w="22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22"/>
                <w:szCs w:val="22"/>
                <w:color w:val="0000FF"/>
                <w:w w:val="81"/>
              </w:rPr>
              <w:t>80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5.09</w:t>
            </w:r>
          </w:p>
        </w:tc>
        <w:tc>
          <w:tcPr>
            <w:tcW w:w="1260" w:type="dxa"/>
            <w:vAlign w:val="bottom"/>
            <w:gridSpan w:val="6"/>
          </w:tcPr>
          <w:p>
            <w:pPr>
              <w:ind w:left="100"/>
              <w:spacing w:after="0" w:line="195" w:lineRule="exact"/>
              <w:rPr>
                <w:sz w:val="20"/>
                <w:szCs w:val="20"/>
                <w:color w:val="auto"/>
              </w:rPr>
            </w:pPr>
            <w:r>
              <w:rPr>
                <w:rFonts w:ascii="Arial" w:cs="Arial" w:eastAsia="Arial" w:hAnsi="Arial"/>
                <w:sz w:val="22"/>
                <w:szCs w:val="22"/>
                <w:color w:val="auto"/>
                <w:w w:val="98"/>
              </w:rPr>
              <w:t>Refinancing</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2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1"/>
              </w:rPr>
              <w:t>75</w:t>
            </w:r>
          </w:p>
        </w:tc>
        <w:tc>
          <w:tcPr>
            <w:tcW w:w="260" w:type="dxa"/>
            <w:vAlign w:val="bottom"/>
            <w:tcBorders>
              <w:bottom w:val="single" w:sz="8" w:color="0000FF"/>
            </w:tcBorders>
            <w:gridSpan w:val="4"/>
          </w:tcPr>
          <w:p>
            <w:pPr>
              <w:jc w:val="right"/>
              <w:ind w:right="60"/>
              <w:spacing w:after="0" w:line="195" w:lineRule="exact"/>
              <w:rPr>
                <w:sz w:val="20"/>
                <w:szCs w:val="20"/>
                <w:color w:val="auto"/>
              </w:rPr>
            </w:pPr>
            <w:r>
              <w:rPr>
                <w:rFonts w:ascii="Arial" w:cs="Arial" w:eastAsia="Arial" w:hAnsi="Arial"/>
                <w:sz w:val="22"/>
                <w:szCs w:val="22"/>
                <w:color w:val="0000FF"/>
                <w:w w:val="73"/>
              </w:rPr>
              <w:t>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5.10</w:t>
            </w:r>
          </w:p>
        </w:tc>
        <w:tc>
          <w:tcPr>
            <w:tcW w:w="1860" w:type="dxa"/>
            <w:vAlign w:val="bottom"/>
            <w:gridSpan w:val="20"/>
          </w:tcPr>
          <w:p>
            <w:pPr>
              <w:ind w:left="100"/>
              <w:spacing w:after="0" w:line="195" w:lineRule="exact"/>
              <w:rPr>
                <w:sz w:val="20"/>
                <w:szCs w:val="20"/>
                <w:color w:val="auto"/>
              </w:rPr>
            </w:pPr>
            <w:r>
              <w:rPr>
                <w:rFonts w:ascii="Arial" w:cs="Arial" w:eastAsia="Arial" w:hAnsi="Arial"/>
                <w:sz w:val="22"/>
                <w:szCs w:val="22"/>
                <w:color w:val="auto"/>
                <w:w w:val="89"/>
              </w:rPr>
              <w:t>Financial and Other</w:t>
            </w:r>
          </w:p>
        </w:tc>
        <w:tc>
          <w:tcPr>
            <w:tcW w:w="1100" w:type="dxa"/>
            <w:vAlign w:val="bottom"/>
            <w:gridSpan w:val="20"/>
          </w:tcPr>
          <w:p>
            <w:pPr>
              <w:ind w:left="20"/>
              <w:spacing w:after="0" w:line="195" w:lineRule="exact"/>
              <w:rPr>
                <w:sz w:val="20"/>
                <w:szCs w:val="20"/>
                <w:color w:val="auto"/>
              </w:rPr>
            </w:pPr>
            <w:r>
              <w:rPr>
                <w:rFonts w:ascii="Arial" w:cs="Arial" w:eastAsia="Arial" w:hAnsi="Arial"/>
                <w:sz w:val="22"/>
                <w:szCs w:val="22"/>
                <w:color w:val="auto"/>
                <w:w w:val="96"/>
              </w:rPr>
              <w:t>Information</w:t>
            </w:r>
          </w:p>
        </w:tc>
        <w:tc>
          <w:tcPr>
            <w:tcW w:w="140" w:type="dxa"/>
            <w:vAlign w:val="bottom"/>
            <w:gridSpan w:val="2"/>
          </w:tcPr>
          <w:p>
            <w:pPr>
              <w:spacing w:after="0"/>
              <w:rPr>
                <w:sz w:val="17"/>
                <w:szCs w:val="17"/>
                <w:color w:val="auto"/>
              </w:rPr>
            </w:pPr>
          </w:p>
        </w:tc>
        <w:tc>
          <w:tcPr>
            <w:tcW w:w="2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9"/>
              </w:rPr>
              <w:t>76</w:t>
            </w:r>
          </w:p>
        </w:tc>
        <w:tc>
          <w:tcPr>
            <w:tcW w:w="2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80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5.11</w:t>
            </w:r>
          </w:p>
        </w:tc>
        <w:tc>
          <w:tcPr>
            <w:tcW w:w="1120" w:type="dxa"/>
            <w:vAlign w:val="bottom"/>
            <w:gridSpan w:val="4"/>
          </w:tcPr>
          <w:p>
            <w:pPr>
              <w:ind w:left="100"/>
              <w:spacing w:after="0" w:line="195" w:lineRule="exact"/>
              <w:rPr>
                <w:sz w:val="20"/>
                <w:szCs w:val="20"/>
                <w:color w:val="auto"/>
              </w:rPr>
            </w:pPr>
            <w:r>
              <w:rPr>
                <w:rFonts w:ascii="Arial" w:cs="Arial" w:eastAsia="Arial" w:hAnsi="Arial"/>
                <w:sz w:val="22"/>
                <w:szCs w:val="22"/>
                <w:color w:val="auto"/>
              </w:rPr>
              <w:t>Insurance</w:t>
            </w:r>
          </w:p>
        </w:tc>
        <w:tc>
          <w:tcPr>
            <w:tcW w:w="26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9"/>
              </w:rPr>
              <w:t>76</w:t>
            </w:r>
          </w:p>
        </w:tc>
        <w:tc>
          <w:tcPr>
            <w:tcW w:w="20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73"/>
              </w:rPr>
              <w:t>81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5.12</w:t>
            </w:r>
          </w:p>
        </w:tc>
        <w:tc>
          <w:tcPr>
            <w:tcW w:w="1380" w:type="dxa"/>
            <w:vAlign w:val="bottom"/>
            <w:gridSpan w:val="10"/>
          </w:tcPr>
          <w:p>
            <w:pPr>
              <w:ind w:left="100"/>
              <w:spacing w:after="0" w:line="195" w:lineRule="exact"/>
              <w:rPr>
                <w:sz w:val="20"/>
                <w:szCs w:val="20"/>
                <w:color w:val="auto"/>
              </w:rPr>
            </w:pPr>
            <w:r>
              <w:rPr>
                <w:rFonts w:ascii="Arial" w:cs="Arial" w:eastAsia="Arial" w:hAnsi="Arial"/>
                <w:sz w:val="22"/>
                <w:szCs w:val="22"/>
                <w:color w:val="auto"/>
                <w:w w:val="73"/>
              </w:rPr>
              <w:t>PIPE Transaction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4"/>
          </w:tcPr>
          <w:p>
            <w:pPr>
              <w:spacing w:after="0" w:line="196" w:lineRule="exact"/>
              <w:rPr>
                <w:sz w:val="20"/>
                <w:szCs w:val="20"/>
                <w:color w:val="auto"/>
              </w:rPr>
            </w:pPr>
            <w:r>
              <w:rPr>
                <w:rFonts w:ascii="Arial" w:cs="Arial" w:eastAsia="Arial" w:hAnsi="Arial"/>
                <w:sz w:val="19"/>
                <w:szCs w:val="19"/>
                <w:color w:val="FF0000"/>
                <w:strike w:val="1"/>
                <w:w w:val="75"/>
              </w:rPr>
              <w:t>76</w:t>
            </w:r>
          </w:p>
        </w:tc>
        <w:tc>
          <w:tcPr>
            <w:tcW w:w="220" w:type="dxa"/>
            <w:vAlign w:val="bottom"/>
            <w:tcBorders>
              <w:bottom w:val="single" w:sz="8" w:color="0000FF"/>
            </w:tcBorders>
            <w:gridSpan w:val="5"/>
          </w:tcPr>
          <w:p>
            <w:pPr>
              <w:jc w:val="center"/>
              <w:spacing w:after="0" w:line="195" w:lineRule="exact"/>
              <w:rPr>
                <w:sz w:val="20"/>
                <w:szCs w:val="20"/>
                <w:color w:val="auto"/>
              </w:rPr>
            </w:pPr>
            <w:r>
              <w:rPr>
                <w:rFonts w:ascii="Arial" w:cs="Arial" w:eastAsia="Arial" w:hAnsi="Arial"/>
                <w:sz w:val="22"/>
                <w:szCs w:val="22"/>
                <w:color w:val="0000FF"/>
                <w:w w:val="89"/>
              </w:rPr>
              <w:t>81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5.13</w:t>
            </w:r>
          </w:p>
        </w:tc>
        <w:tc>
          <w:tcPr>
            <w:tcW w:w="1860" w:type="dxa"/>
            <w:vAlign w:val="bottom"/>
            <w:gridSpan w:val="20"/>
          </w:tcPr>
          <w:p>
            <w:pPr>
              <w:ind w:left="100"/>
              <w:spacing w:after="0" w:line="195" w:lineRule="exact"/>
              <w:rPr>
                <w:sz w:val="20"/>
                <w:szCs w:val="20"/>
                <w:color w:val="auto"/>
              </w:rPr>
            </w:pPr>
            <w:r>
              <w:rPr>
                <w:rFonts w:ascii="Arial" w:cs="Arial" w:eastAsia="Arial" w:hAnsi="Arial"/>
                <w:sz w:val="22"/>
                <w:szCs w:val="22"/>
                <w:color w:val="auto"/>
                <w:w w:val="88"/>
              </w:rPr>
              <w:t>Fees and Expenses</w:t>
            </w:r>
          </w:p>
        </w:tc>
        <w:tc>
          <w:tcPr>
            <w:tcW w:w="300" w:type="dxa"/>
            <w:vAlign w:val="bottom"/>
            <w:gridSpan w:val="7"/>
          </w:tcPr>
          <w:p>
            <w:pPr>
              <w:ind w:left="100"/>
              <w:spacing w:after="0" w:line="195" w:lineRule="exact"/>
              <w:rPr>
                <w:sz w:val="20"/>
                <w:szCs w:val="20"/>
                <w:color w:val="auto"/>
              </w:rPr>
            </w:pPr>
            <w:r>
              <w:rPr>
                <w:rFonts w:ascii="Arial" w:cs="Arial" w:eastAsia="Arial" w:hAnsi="Arial"/>
                <w:sz w:val="22"/>
                <w:szCs w:val="22"/>
                <w:color w:val="FF0000"/>
                <w:strike w:val="1"/>
                <w:w w:val="73"/>
              </w:rPr>
              <w:t>76</w:t>
            </w:r>
          </w:p>
        </w:tc>
        <w:tc>
          <w:tcPr>
            <w:tcW w:w="2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5.14</w:t>
            </w:r>
          </w:p>
        </w:tc>
        <w:tc>
          <w:tcPr>
            <w:tcW w:w="2160" w:type="dxa"/>
            <w:vAlign w:val="bottom"/>
            <w:gridSpan w:val="27"/>
          </w:tcPr>
          <w:p>
            <w:pPr>
              <w:ind w:left="100"/>
              <w:spacing w:after="0" w:line="195" w:lineRule="exact"/>
              <w:rPr>
                <w:sz w:val="20"/>
                <w:szCs w:val="20"/>
                <w:color w:val="auto"/>
              </w:rPr>
            </w:pPr>
            <w:r>
              <w:rPr>
                <w:rFonts w:ascii="Arial" w:cs="Arial" w:eastAsia="Arial" w:hAnsi="Arial"/>
                <w:sz w:val="22"/>
                <w:szCs w:val="22"/>
                <w:color w:val="auto"/>
                <w:w w:val="91"/>
              </w:rPr>
              <w:t>Patriot Act Compliance</w:t>
            </w:r>
          </w:p>
        </w:tc>
        <w:tc>
          <w:tcPr>
            <w:tcW w:w="2180" w:type="dxa"/>
            <w:vAlign w:val="bottom"/>
            <w:gridSpan w:val="32"/>
          </w:tcPr>
          <w:p>
            <w:pPr>
              <w:jc w:val="center"/>
              <w:ind w:right="92"/>
              <w:spacing w:after="0" w:line="195" w:lineRule="exact"/>
              <w:rPr>
                <w:sz w:val="20"/>
                <w:szCs w:val="20"/>
                <w:color w:val="auto"/>
              </w:rPr>
            </w:pPr>
            <w:r>
              <w:rPr>
                <w:rFonts w:ascii="Arial" w:cs="Arial" w:eastAsia="Arial" w:hAnsi="Arial"/>
                <w:sz w:val="22"/>
                <w:szCs w:val="22"/>
                <w:color w:val="auto"/>
                <w:w w:val="86"/>
              </w:rPr>
              <w:t>and Reference Checks</w:t>
            </w:r>
          </w:p>
        </w:tc>
        <w:tc>
          <w:tcPr>
            <w:tcW w:w="20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73"/>
              </w:rPr>
              <w:t>76</w:t>
            </w:r>
          </w:p>
        </w:tc>
        <w:tc>
          <w:tcPr>
            <w:tcW w:w="2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81</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5.15</w:t>
            </w:r>
          </w:p>
        </w:tc>
        <w:tc>
          <w:tcPr>
            <w:tcW w:w="1120" w:type="dxa"/>
            <w:vAlign w:val="bottom"/>
            <w:gridSpan w:val="4"/>
          </w:tcPr>
          <w:p>
            <w:pPr>
              <w:ind w:left="100"/>
              <w:spacing w:after="0" w:line="195" w:lineRule="exact"/>
              <w:rPr>
                <w:sz w:val="20"/>
                <w:szCs w:val="20"/>
                <w:color w:val="auto"/>
              </w:rPr>
            </w:pPr>
            <w:r>
              <w:rPr>
                <w:rFonts w:ascii="Arial" w:cs="Arial" w:eastAsia="Arial" w:hAnsi="Arial"/>
                <w:sz w:val="22"/>
                <w:szCs w:val="22"/>
                <w:color w:val="auto"/>
                <w:w w:val="93"/>
              </w:rPr>
              <w:t>[Reserved]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5"/>
          </w:tcPr>
          <w:p>
            <w:pPr>
              <w:spacing w:after="0" w:line="195" w:lineRule="exact"/>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gridSpan w:val="7"/>
          </w:tcPr>
          <w:p>
            <w:pPr>
              <w:jc w:val="right"/>
              <w:spacing w:after="0" w:line="195" w:lineRule="exact"/>
              <w:rPr>
                <w:sz w:val="20"/>
                <w:szCs w:val="20"/>
                <w:color w:val="auto"/>
              </w:rPr>
            </w:pPr>
            <w:r>
              <w:rPr>
                <w:rFonts w:ascii="Arial" w:cs="Arial" w:eastAsia="Arial" w:hAnsi="Arial"/>
                <w:sz w:val="22"/>
                <w:szCs w:val="22"/>
                <w:color w:val="0000FF"/>
                <w:w w:val="81"/>
              </w:rPr>
              <w:t>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5.16</w:t>
            </w:r>
          </w:p>
        </w:tc>
        <w:tc>
          <w:tcPr>
            <w:tcW w:w="1260" w:type="dxa"/>
            <w:vAlign w:val="bottom"/>
            <w:gridSpan w:val="6"/>
          </w:tcPr>
          <w:p>
            <w:pPr>
              <w:ind w:left="100"/>
              <w:spacing w:after="0" w:line="195" w:lineRule="exact"/>
              <w:rPr>
                <w:sz w:val="20"/>
                <w:szCs w:val="20"/>
                <w:color w:val="auto"/>
              </w:rPr>
            </w:pPr>
            <w:r>
              <w:rPr>
                <w:rFonts w:ascii="Arial" w:cs="Arial" w:eastAsia="Arial" w:hAnsi="Arial"/>
                <w:sz w:val="22"/>
                <w:szCs w:val="22"/>
                <w:color w:val="auto"/>
                <w:w w:val="95"/>
              </w:rPr>
              <w:t>Subsidiaries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2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1"/>
              </w:rPr>
              <w:t>77</w:t>
            </w:r>
          </w:p>
        </w:tc>
        <w:tc>
          <w:tcPr>
            <w:tcW w:w="260" w:type="dxa"/>
            <w:vAlign w:val="bottom"/>
            <w:tcBorders>
              <w:bottom w:val="single" w:sz="8" w:color="0000FF"/>
            </w:tcBorders>
            <w:gridSpan w:val="4"/>
          </w:tcPr>
          <w:p>
            <w:pPr>
              <w:jc w:val="right"/>
              <w:ind w:right="60"/>
              <w:spacing w:after="0" w:line="195" w:lineRule="exact"/>
              <w:rPr>
                <w:sz w:val="20"/>
                <w:szCs w:val="20"/>
                <w:color w:val="auto"/>
              </w:rPr>
            </w:pPr>
            <w:r>
              <w:rPr>
                <w:rFonts w:ascii="Arial" w:cs="Arial" w:eastAsia="Arial" w:hAnsi="Arial"/>
                <w:sz w:val="22"/>
                <w:szCs w:val="22"/>
                <w:color w:val="0000FF"/>
                <w:w w:val="73"/>
              </w:rPr>
              <w:t>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5.17</w:t>
            </w:r>
          </w:p>
        </w:tc>
        <w:tc>
          <w:tcPr>
            <w:tcW w:w="1120" w:type="dxa"/>
            <w:vAlign w:val="bottom"/>
            <w:gridSpan w:val="4"/>
          </w:tcPr>
          <w:p>
            <w:pPr>
              <w:ind w:left="100"/>
              <w:spacing w:after="0" w:line="195" w:lineRule="exact"/>
              <w:rPr>
                <w:sz w:val="20"/>
                <w:szCs w:val="20"/>
                <w:color w:val="auto"/>
              </w:rPr>
            </w:pPr>
            <w:r>
              <w:rPr>
                <w:rFonts w:ascii="Arial" w:cs="Arial" w:eastAsia="Arial" w:hAnsi="Arial"/>
                <w:sz w:val="22"/>
                <w:szCs w:val="22"/>
                <w:color w:val="auto"/>
                <w:w w:val="96"/>
              </w:rPr>
              <w:t>No Default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5"/>
          </w:tcPr>
          <w:p>
            <w:pPr>
              <w:spacing w:after="0" w:line="195" w:lineRule="exact"/>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gridSpan w:val="7"/>
          </w:tcPr>
          <w:p>
            <w:pPr>
              <w:jc w:val="right"/>
              <w:spacing w:after="0" w:line="195" w:lineRule="exact"/>
              <w:rPr>
                <w:sz w:val="20"/>
                <w:szCs w:val="20"/>
                <w:color w:val="auto"/>
              </w:rPr>
            </w:pPr>
            <w:r>
              <w:rPr>
                <w:rFonts w:ascii="Arial" w:cs="Arial" w:eastAsia="Arial" w:hAnsi="Arial"/>
                <w:sz w:val="22"/>
                <w:szCs w:val="22"/>
                <w:color w:val="0000FF"/>
                <w:w w:val="81"/>
              </w:rPr>
              <w:t>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5.18</w:t>
            </w:r>
          </w:p>
        </w:tc>
        <w:tc>
          <w:tcPr>
            <w:tcW w:w="1500" w:type="dxa"/>
            <w:vAlign w:val="bottom"/>
            <w:gridSpan w:val="12"/>
          </w:tcPr>
          <w:p>
            <w:pPr>
              <w:ind w:left="100"/>
              <w:spacing w:after="0" w:line="195" w:lineRule="exact"/>
              <w:rPr>
                <w:sz w:val="20"/>
                <w:szCs w:val="20"/>
                <w:color w:val="auto"/>
              </w:rPr>
            </w:pPr>
            <w:r>
              <w:rPr>
                <w:rFonts w:ascii="Arial" w:cs="Arial" w:eastAsia="Arial" w:hAnsi="Arial"/>
                <w:sz w:val="22"/>
                <w:szCs w:val="22"/>
                <w:color w:val="auto"/>
                <w:w w:val="86"/>
              </w:rPr>
              <w:t>Representations</w:t>
            </w:r>
          </w:p>
        </w:tc>
        <w:tc>
          <w:tcPr>
            <w:tcW w:w="1460" w:type="dxa"/>
            <w:vAlign w:val="bottom"/>
            <w:gridSpan w:val="28"/>
          </w:tcPr>
          <w:p>
            <w:pPr>
              <w:ind w:left="40"/>
              <w:spacing w:after="0" w:line="195" w:lineRule="exact"/>
              <w:rPr>
                <w:sz w:val="20"/>
                <w:szCs w:val="20"/>
                <w:color w:val="auto"/>
              </w:rPr>
            </w:pPr>
            <w:r>
              <w:rPr>
                <w:rFonts w:ascii="Arial" w:cs="Arial" w:eastAsia="Arial" w:hAnsi="Arial"/>
                <w:sz w:val="22"/>
                <w:szCs w:val="22"/>
                <w:color w:val="auto"/>
                <w:w w:val="93"/>
              </w:rPr>
              <w:t>and Warranties</w:t>
            </w:r>
          </w:p>
        </w:tc>
        <w:tc>
          <w:tcPr>
            <w:tcW w:w="300" w:type="dxa"/>
            <w:vAlign w:val="bottom"/>
            <w:gridSpan w:val="4"/>
          </w:tcPr>
          <w:p>
            <w:pPr>
              <w:jc w:val="center"/>
              <w:spacing w:after="0" w:line="195" w:lineRule="exact"/>
              <w:rPr>
                <w:sz w:val="20"/>
                <w:szCs w:val="20"/>
                <w:color w:val="auto"/>
              </w:rPr>
            </w:pPr>
            <w:r>
              <w:rPr>
                <w:rFonts w:ascii="Arial" w:cs="Arial" w:eastAsia="Arial" w:hAnsi="Arial"/>
                <w:sz w:val="22"/>
                <w:szCs w:val="22"/>
                <w:color w:val="FF0000"/>
                <w:strike w:val="1"/>
                <w:w w:val="89"/>
              </w:rPr>
              <w:t>77</w:t>
            </w:r>
          </w:p>
        </w:tc>
        <w:tc>
          <w:tcPr>
            <w:tcW w:w="2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5.19</w:t>
            </w:r>
          </w:p>
        </w:tc>
        <w:tc>
          <w:tcPr>
            <w:tcW w:w="1540" w:type="dxa"/>
            <w:vAlign w:val="bottom"/>
            <w:gridSpan w:val="13"/>
          </w:tcPr>
          <w:p>
            <w:pPr>
              <w:ind w:left="100"/>
              <w:spacing w:after="0" w:line="195" w:lineRule="exact"/>
              <w:rPr>
                <w:sz w:val="20"/>
                <w:szCs w:val="20"/>
                <w:color w:val="auto"/>
              </w:rPr>
            </w:pPr>
            <w:r>
              <w:rPr>
                <w:rFonts w:ascii="Arial" w:cs="Arial" w:eastAsia="Arial" w:hAnsi="Arial"/>
                <w:sz w:val="22"/>
                <w:szCs w:val="22"/>
                <w:color w:val="auto"/>
              </w:rPr>
              <w:t>No Injunctions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4"/>
          </w:tcPr>
          <w:p>
            <w:pPr>
              <w:jc w:val="right"/>
              <w:ind w:right="40"/>
              <w:spacing w:after="0" w:line="195" w:lineRule="exact"/>
              <w:rPr>
                <w:sz w:val="20"/>
                <w:szCs w:val="20"/>
                <w:color w:val="auto"/>
              </w:rPr>
            </w:pPr>
            <w:r>
              <w:rPr>
                <w:rFonts w:ascii="Arial" w:cs="Arial" w:eastAsia="Arial" w:hAnsi="Arial"/>
                <w:sz w:val="22"/>
                <w:szCs w:val="22"/>
                <w:color w:val="FF0000"/>
                <w:strike w:val="1"/>
                <w:w w:val="81"/>
              </w:rPr>
              <w:t>77</w:t>
            </w:r>
          </w:p>
        </w:tc>
        <w:tc>
          <w:tcPr>
            <w:tcW w:w="1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9"/>
                <w:szCs w:val="19"/>
                <w:color w:val="0000FF"/>
                <w:w w:val="75"/>
              </w:rPr>
              <w:t>82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5960" w:type="dxa"/>
            <w:vAlign w:val="bottom"/>
            <w:gridSpan w:val="66"/>
          </w:tcPr>
          <w:p>
            <w:pPr>
              <w:spacing w:after="0"/>
              <w:rPr>
                <w:sz w:val="20"/>
                <w:szCs w:val="20"/>
                <w:color w:val="auto"/>
              </w:rPr>
            </w:pPr>
            <w:r>
              <w:rPr>
                <w:rFonts w:ascii="Arial" w:cs="Arial" w:eastAsia="Arial" w:hAnsi="Arial"/>
                <w:sz w:val="22"/>
                <w:szCs w:val="22"/>
                <w:color w:val="auto"/>
              </w:rPr>
              <w:t>Article VI</w:t>
            </w:r>
          </w:p>
        </w:tc>
        <w:tc>
          <w:tcPr>
            <w:tcW w:w="0" w:type="dxa"/>
            <w:vAlign w:val="bottom"/>
          </w:tcPr>
          <w:p>
            <w:pPr>
              <w:spacing w:after="0"/>
              <w:rPr>
                <w:sz w:val="1"/>
                <w:szCs w:val="1"/>
                <w:color w:val="auto"/>
              </w:rPr>
            </w:pPr>
          </w:p>
        </w:tc>
      </w:tr>
      <w:tr>
        <w:trPr>
          <w:trHeight w:val="381"/>
        </w:trPr>
        <w:tc>
          <w:tcPr>
            <w:tcW w:w="220" w:type="dxa"/>
            <w:vAlign w:val="bottom"/>
          </w:tcPr>
          <w:p>
            <w:pPr>
              <w:spacing w:after="0"/>
              <w:rPr>
                <w:sz w:val="24"/>
                <w:szCs w:val="24"/>
                <w:color w:val="auto"/>
              </w:rPr>
            </w:pPr>
          </w:p>
        </w:tc>
        <w:tc>
          <w:tcPr>
            <w:tcW w:w="3940" w:type="dxa"/>
            <w:vAlign w:val="bottom"/>
            <w:gridSpan w:val="41"/>
          </w:tcPr>
          <w:p>
            <w:pPr>
              <w:spacing w:after="0"/>
              <w:rPr>
                <w:sz w:val="20"/>
                <w:szCs w:val="20"/>
                <w:color w:val="auto"/>
              </w:rPr>
            </w:pPr>
            <w:r>
              <w:rPr>
                <w:rFonts w:ascii="Arial" w:cs="Arial" w:eastAsia="Arial" w:hAnsi="Arial"/>
                <w:sz w:val="22"/>
                <w:szCs w:val="22"/>
                <w:color w:val="auto"/>
                <w:w w:val="96"/>
              </w:rPr>
              <w:t>CONDITIONS PRECEDENT TO the ddtls</w:t>
            </w:r>
          </w:p>
        </w:tc>
        <w:tc>
          <w:tcPr>
            <w:tcW w:w="300" w:type="dxa"/>
            <w:vAlign w:val="bottom"/>
            <w:gridSpan w:val="4"/>
          </w:tcPr>
          <w:p>
            <w:pPr>
              <w:jc w:val="right"/>
              <w:spacing w:after="0"/>
              <w:rPr>
                <w:sz w:val="20"/>
                <w:szCs w:val="20"/>
                <w:color w:val="auto"/>
              </w:rPr>
            </w:pPr>
            <w:r>
              <w:rPr>
                <w:rFonts w:ascii="Arial" w:cs="Arial" w:eastAsia="Arial" w:hAnsi="Arial"/>
                <w:sz w:val="22"/>
                <w:szCs w:val="22"/>
                <w:color w:val="0000FF"/>
                <w:w w:val="89"/>
              </w:rPr>
              <w:t>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tcBorders>
              <w:right w:val="single" w:sz="8" w:color="0000FF"/>
            </w:tcBorders>
            <w:gridSpan w:val="45"/>
            <w:shd w:val="clear" w:color="auto" w:fill="0000FF"/>
          </w:tcPr>
          <w:p>
            <w:pPr>
              <w:spacing w:after="0" w:line="20" w:lineRule="exact"/>
              <w:rPr>
                <w:sz w:val="1"/>
                <w:szCs w:val="1"/>
                <w:color w:val="auto"/>
              </w:rPr>
            </w:pPr>
          </w:p>
        </w:tc>
        <w:tc>
          <w:tcPr>
            <w:tcW w:w="15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6.01</w:t>
            </w:r>
          </w:p>
        </w:tc>
        <w:tc>
          <w:tcPr>
            <w:tcW w:w="1120" w:type="dxa"/>
            <w:vAlign w:val="bottom"/>
            <w:gridSpan w:val="4"/>
          </w:tcPr>
          <w:p>
            <w:pPr>
              <w:ind w:left="100"/>
              <w:spacing w:after="0"/>
              <w:rPr>
                <w:sz w:val="20"/>
                <w:szCs w:val="20"/>
                <w:color w:val="auto"/>
              </w:rPr>
            </w:pPr>
            <w:r>
              <w:rPr>
                <w:rFonts w:ascii="Arial" w:cs="Arial" w:eastAsia="Arial" w:hAnsi="Arial"/>
                <w:sz w:val="22"/>
                <w:szCs w:val="22"/>
                <w:color w:val="auto"/>
                <w:w w:val="93"/>
              </w:rPr>
              <w:t>[Reserved]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5"/>
          </w:tcPr>
          <w:p>
            <w:pPr>
              <w:spacing w:after="0"/>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gridSpan w:val="7"/>
          </w:tcPr>
          <w:p>
            <w:pPr>
              <w:jc w:val="right"/>
              <w:spacing w:after="0"/>
              <w:rPr>
                <w:sz w:val="20"/>
                <w:szCs w:val="20"/>
                <w:color w:val="auto"/>
              </w:rPr>
            </w:pPr>
            <w:r>
              <w:rPr>
                <w:rFonts w:ascii="Arial" w:cs="Arial" w:eastAsia="Arial" w:hAnsi="Arial"/>
                <w:sz w:val="22"/>
                <w:szCs w:val="22"/>
                <w:color w:val="0000FF"/>
                <w:w w:val="81"/>
              </w:rPr>
              <w:t>82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6.02</w:t>
            </w:r>
          </w:p>
        </w:tc>
        <w:tc>
          <w:tcPr>
            <w:tcW w:w="1260" w:type="dxa"/>
            <w:vAlign w:val="bottom"/>
            <w:gridSpan w:val="6"/>
          </w:tcPr>
          <w:p>
            <w:pPr>
              <w:ind w:left="100"/>
              <w:spacing w:after="0" w:line="195" w:lineRule="exact"/>
              <w:rPr>
                <w:sz w:val="20"/>
                <w:szCs w:val="20"/>
                <w:color w:val="auto"/>
              </w:rPr>
            </w:pPr>
            <w:r>
              <w:rPr>
                <w:rFonts w:ascii="Arial" w:cs="Arial" w:eastAsia="Arial" w:hAnsi="Arial"/>
                <w:sz w:val="22"/>
                <w:szCs w:val="22"/>
                <w:color w:val="auto"/>
                <w:w w:val="99"/>
              </w:rPr>
              <w:t>No Defaults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73"/>
              </w:rPr>
              <w:t>78</w:t>
            </w:r>
          </w:p>
        </w:tc>
        <w:tc>
          <w:tcPr>
            <w:tcW w:w="280" w:type="dxa"/>
            <w:vAlign w:val="bottom"/>
            <w:tcBorders>
              <w:bottom w:val="single" w:sz="8" w:color="0000FF"/>
            </w:tcBorders>
            <w:gridSpan w:val="5"/>
          </w:tcPr>
          <w:p>
            <w:pPr>
              <w:jc w:val="right"/>
              <w:ind w:right="60"/>
              <w:spacing w:after="0" w:line="195" w:lineRule="exact"/>
              <w:rPr>
                <w:sz w:val="20"/>
                <w:szCs w:val="20"/>
                <w:color w:val="auto"/>
              </w:rPr>
            </w:pPr>
            <w:r>
              <w:rPr>
                <w:rFonts w:ascii="Arial" w:cs="Arial" w:eastAsia="Arial" w:hAnsi="Arial"/>
                <w:sz w:val="22"/>
                <w:szCs w:val="22"/>
                <w:color w:val="0000FF"/>
                <w:w w:val="81"/>
              </w:rPr>
              <w:t>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6.03</w:t>
            </w:r>
          </w:p>
        </w:tc>
        <w:tc>
          <w:tcPr>
            <w:tcW w:w="1120" w:type="dxa"/>
            <w:vAlign w:val="bottom"/>
            <w:gridSpan w:val="4"/>
          </w:tcPr>
          <w:p>
            <w:pPr>
              <w:ind w:left="100"/>
              <w:spacing w:after="0" w:line="195" w:lineRule="exact"/>
              <w:rPr>
                <w:sz w:val="20"/>
                <w:szCs w:val="20"/>
                <w:color w:val="auto"/>
              </w:rPr>
            </w:pPr>
            <w:r>
              <w:rPr>
                <w:rFonts w:ascii="Arial" w:cs="Arial" w:eastAsia="Arial" w:hAnsi="Arial"/>
                <w:sz w:val="22"/>
                <w:szCs w:val="22"/>
                <w:color w:val="auto"/>
              </w:rPr>
              <w:t>Solvency</w:t>
            </w:r>
          </w:p>
        </w:tc>
        <w:tc>
          <w:tcPr>
            <w:tcW w:w="2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1"/>
              </w:rPr>
              <w:t>78</w:t>
            </w:r>
          </w:p>
        </w:tc>
        <w:tc>
          <w:tcPr>
            <w:tcW w:w="20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73"/>
              </w:rPr>
              <w:t>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6.04</w:t>
            </w:r>
          </w:p>
        </w:tc>
        <w:tc>
          <w:tcPr>
            <w:tcW w:w="1360" w:type="dxa"/>
            <w:vAlign w:val="bottom"/>
            <w:gridSpan w:val="9"/>
          </w:tcPr>
          <w:p>
            <w:pPr>
              <w:ind w:left="100"/>
              <w:spacing w:after="0" w:line="195" w:lineRule="exact"/>
              <w:rPr>
                <w:sz w:val="20"/>
                <w:szCs w:val="20"/>
                <w:color w:val="auto"/>
              </w:rPr>
            </w:pPr>
            <w:r>
              <w:rPr>
                <w:rFonts w:ascii="Arial" w:cs="Arial" w:eastAsia="Arial" w:hAnsi="Arial"/>
                <w:sz w:val="22"/>
                <w:szCs w:val="22"/>
                <w:color w:val="auto"/>
                <w:w w:val="77"/>
              </w:rPr>
              <w:t>Representations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6"/>
          </w:tcPr>
          <w:p>
            <w:pPr>
              <w:spacing w:after="0" w:line="195" w:lineRule="exact"/>
              <w:rPr>
                <w:sz w:val="20"/>
                <w:szCs w:val="20"/>
                <w:color w:val="auto"/>
              </w:rPr>
            </w:pPr>
            <w:r>
              <w:rPr>
                <w:rFonts w:ascii="Arial" w:cs="Arial" w:eastAsia="Arial" w:hAnsi="Arial"/>
                <w:sz w:val="22"/>
                <w:szCs w:val="22"/>
                <w:color w:val="auto"/>
                <w:w w:val="92"/>
              </w:rPr>
              <w:t>and Warranties</w:t>
            </w:r>
          </w:p>
        </w:tc>
        <w:tc>
          <w:tcPr>
            <w:tcW w:w="300" w:type="dxa"/>
            <w:vAlign w:val="bottom"/>
            <w:gridSpan w:val="4"/>
          </w:tcPr>
          <w:p>
            <w:pPr>
              <w:jc w:val="center"/>
              <w:spacing w:after="0" w:line="195" w:lineRule="exact"/>
              <w:rPr>
                <w:sz w:val="20"/>
                <w:szCs w:val="20"/>
                <w:color w:val="auto"/>
              </w:rPr>
            </w:pPr>
            <w:r>
              <w:rPr>
                <w:rFonts w:ascii="Arial" w:cs="Arial" w:eastAsia="Arial" w:hAnsi="Arial"/>
                <w:sz w:val="22"/>
                <w:szCs w:val="22"/>
                <w:color w:val="FF0000"/>
                <w:strike w:val="1"/>
                <w:w w:val="89"/>
              </w:rPr>
              <w:t>78</w:t>
            </w:r>
          </w:p>
        </w:tc>
        <w:tc>
          <w:tcPr>
            <w:tcW w:w="2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6.05</w:t>
            </w:r>
          </w:p>
        </w:tc>
        <w:tc>
          <w:tcPr>
            <w:tcW w:w="2480" w:type="dxa"/>
            <w:vAlign w:val="bottom"/>
            <w:gridSpan w:val="32"/>
          </w:tcPr>
          <w:p>
            <w:pPr>
              <w:ind w:left="100"/>
              <w:spacing w:after="0" w:line="195" w:lineRule="exact"/>
              <w:rPr>
                <w:sz w:val="20"/>
                <w:szCs w:val="20"/>
                <w:color w:val="auto"/>
              </w:rPr>
            </w:pPr>
            <w:r>
              <w:rPr>
                <w:rFonts w:ascii="Arial" w:cs="Arial" w:eastAsia="Arial" w:hAnsi="Arial"/>
                <w:sz w:val="22"/>
                <w:szCs w:val="22"/>
                <w:color w:val="auto"/>
                <w:w w:val="96"/>
              </w:rPr>
              <w:t>Total Net Leverage Ratio</w:t>
            </w:r>
          </w:p>
        </w:tc>
        <w:tc>
          <w:tcPr>
            <w:tcW w:w="24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9"/>
              </w:rPr>
              <w:t>78</w:t>
            </w:r>
          </w:p>
        </w:tc>
        <w:tc>
          <w:tcPr>
            <w:tcW w:w="22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22"/>
                <w:szCs w:val="22"/>
                <w:color w:val="0000FF"/>
                <w:w w:val="81"/>
              </w:rPr>
              <w:t>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6.06</w:t>
            </w:r>
          </w:p>
        </w:tc>
        <w:tc>
          <w:tcPr>
            <w:tcW w:w="1860" w:type="dxa"/>
            <w:vAlign w:val="bottom"/>
            <w:gridSpan w:val="20"/>
          </w:tcPr>
          <w:p>
            <w:pPr>
              <w:ind w:left="100"/>
              <w:spacing w:after="0" w:line="195" w:lineRule="exact"/>
              <w:rPr>
                <w:sz w:val="20"/>
                <w:szCs w:val="20"/>
                <w:color w:val="auto"/>
              </w:rPr>
            </w:pPr>
            <w:r>
              <w:rPr>
                <w:rFonts w:ascii="Arial" w:cs="Arial" w:eastAsia="Arial" w:hAnsi="Arial"/>
                <w:sz w:val="22"/>
                <w:szCs w:val="22"/>
                <w:color w:val="auto"/>
              </w:rPr>
              <w:t>Borrowing Notice</w:t>
            </w:r>
          </w:p>
        </w:tc>
        <w:tc>
          <w:tcPr>
            <w:tcW w:w="240" w:type="dxa"/>
            <w:vAlign w:val="bottom"/>
            <w:gridSpan w:val="6"/>
          </w:tcPr>
          <w:p>
            <w:pPr>
              <w:ind w:left="20"/>
              <w:spacing w:after="0" w:line="195" w:lineRule="exact"/>
              <w:rPr>
                <w:sz w:val="20"/>
                <w:szCs w:val="20"/>
                <w:color w:val="auto"/>
              </w:rPr>
            </w:pPr>
            <w:r>
              <w:rPr>
                <w:rFonts w:ascii="Arial" w:cs="Arial" w:eastAsia="Arial" w:hAnsi="Arial"/>
                <w:sz w:val="22"/>
                <w:szCs w:val="22"/>
                <w:color w:val="FF0000"/>
                <w:strike w:val="1"/>
                <w:w w:val="81"/>
              </w:rPr>
              <w:t>78</w:t>
            </w:r>
          </w:p>
        </w:tc>
        <w:tc>
          <w:tcPr>
            <w:tcW w:w="22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22"/>
                <w:szCs w:val="22"/>
                <w:color w:val="0000FF"/>
                <w:w w:val="81"/>
              </w:rPr>
              <w:t>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6.07</w:t>
            </w:r>
          </w:p>
        </w:tc>
        <w:tc>
          <w:tcPr>
            <w:tcW w:w="2100" w:type="dxa"/>
            <w:vAlign w:val="bottom"/>
            <w:gridSpan w:val="26"/>
          </w:tcPr>
          <w:p>
            <w:pPr>
              <w:ind w:left="100"/>
              <w:spacing w:after="0" w:line="195" w:lineRule="exact"/>
              <w:rPr>
                <w:sz w:val="20"/>
                <w:szCs w:val="20"/>
                <w:color w:val="auto"/>
              </w:rPr>
            </w:pPr>
            <w:r>
              <w:rPr>
                <w:rFonts w:ascii="Arial" w:cs="Arial" w:eastAsia="Arial" w:hAnsi="Arial"/>
                <w:sz w:val="22"/>
                <w:szCs w:val="22"/>
                <w:color w:val="auto"/>
                <w:w w:val="96"/>
              </w:rPr>
              <w:t>Maximum Number of</w:t>
            </w:r>
          </w:p>
        </w:tc>
        <w:tc>
          <w:tcPr>
            <w:tcW w:w="1780" w:type="dxa"/>
            <w:vAlign w:val="bottom"/>
            <w:gridSpan w:val="30"/>
          </w:tcPr>
          <w:p>
            <w:pPr>
              <w:spacing w:after="0" w:line="195" w:lineRule="exact"/>
              <w:rPr>
                <w:sz w:val="20"/>
                <w:szCs w:val="20"/>
                <w:color w:val="auto"/>
              </w:rPr>
            </w:pPr>
            <w:r>
              <w:rPr>
                <w:rFonts w:ascii="Arial" w:cs="Arial" w:eastAsia="Arial" w:hAnsi="Arial"/>
                <w:sz w:val="22"/>
                <w:szCs w:val="22"/>
                <w:color w:val="auto"/>
              </w:rPr>
              <w:t>DDTL Borrowings</w:t>
            </w:r>
          </w:p>
        </w:tc>
        <w:tc>
          <w:tcPr>
            <w:tcW w:w="24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9"/>
              </w:rPr>
              <w:t>78</w:t>
            </w:r>
          </w:p>
        </w:tc>
        <w:tc>
          <w:tcPr>
            <w:tcW w:w="2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1"/>
              </w:rPr>
              <w:t>83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6.08</w:t>
            </w:r>
          </w:p>
        </w:tc>
        <w:tc>
          <w:tcPr>
            <w:tcW w:w="1120" w:type="dxa"/>
            <w:vAlign w:val="bottom"/>
            <w:gridSpan w:val="4"/>
          </w:tcPr>
          <w:p>
            <w:pPr>
              <w:ind w:left="100"/>
              <w:spacing w:after="0" w:line="195" w:lineRule="exact"/>
              <w:rPr>
                <w:sz w:val="20"/>
                <w:szCs w:val="20"/>
                <w:color w:val="auto"/>
              </w:rPr>
            </w:pPr>
            <w:r>
              <w:rPr>
                <w:rFonts w:ascii="Arial" w:cs="Arial" w:eastAsia="Arial" w:hAnsi="Arial"/>
                <w:sz w:val="22"/>
                <w:szCs w:val="22"/>
                <w:color w:val="auto"/>
              </w:rPr>
              <w:t>No MAE</w:t>
            </w:r>
          </w:p>
        </w:tc>
        <w:tc>
          <w:tcPr>
            <w:tcW w:w="2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1"/>
              </w:rPr>
              <w:t>78</w:t>
            </w:r>
          </w:p>
        </w:tc>
        <w:tc>
          <w:tcPr>
            <w:tcW w:w="220" w:type="dxa"/>
            <w:vAlign w:val="bottom"/>
            <w:gridSpan w:val="6"/>
          </w:tcPr>
          <w:p>
            <w:pPr>
              <w:jc w:val="right"/>
              <w:spacing w:after="0" w:line="195" w:lineRule="exact"/>
              <w:rPr>
                <w:sz w:val="20"/>
                <w:szCs w:val="20"/>
                <w:color w:val="auto"/>
              </w:rPr>
            </w:pPr>
            <w:r>
              <w:rPr>
                <w:rFonts w:ascii="Arial" w:cs="Arial" w:eastAsia="Arial" w:hAnsi="Arial"/>
                <w:sz w:val="22"/>
                <w:szCs w:val="22"/>
                <w:color w:val="0000FF"/>
                <w:w w:val="81"/>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2540" w:type="dxa"/>
            <w:vAlign w:val="bottom"/>
            <w:gridSpan w:val="10"/>
          </w:tcPr>
          <w:p>
            <w:pPr>
              <w:spacing w:after="0"/>
              <w:rPr>
                <w:sz w:val="20"/>
                <w:szCs w:val="20"/>
                <w:color w:val="auto"/>
              </w:rPr>
            </w:pPr>
            <w:r>
              <w:rPr>
                <w:rFonts w:ascii="Arial" w:cs="Arial" w:eastAsia="Arial" w:hAnsi="Arial"/>
                <w:sz w:val="22"/>
                <w:szCs w:val="22"/>
                <w:color w:val="auto"/>
              </w:rPr>
              <w:t>Article VII</w:t>
            </w:r>
          </w:p>
        </w:tc>
        <w:tc>
          <w:tcPr>
            <w:tcW w:w="200" w:type="dxa"/>
            <w:vAlign w:val="bottom"/>
            <w:tcBorders>
              <w:top w:val="single" w:sz="8" w:color="0000FF"/>
            </w:tcBorders>
            <w:gridSpan w:val="5"/>
          </w:tcPr>
          <w:p>
            <w:pPr>
              <w:spacing w:after="0"/>
              <w:rPr>
                <w:sz w:val="24"/>
                <w:szCs w:val="24"/>
                <w:color w:val="auto"/>
              </w:rPr>
            </w:pPr>
          </w:p>
        </w:tc>
        <w:tc>
          <w:tcPr>
            <w:tcW w:w="3220" w:type="dxa"/>
            <w:vAlign w:val="bottom"/>
            <w:gridSpan w:val="51"/>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20" w:type="dxa"/>
            <w:vAlign w:val="bottom"/>
            <w:tcBorders>
              <w:bottom w:val="single" w:sz="8" w:color="0000FF"/>
            </w:tcBorders>
          </w:tcPr>
          <w:p>
            <w:pPr>
              <w:spacing w:after="0"/>
              <w:rPr>
                <w:sz w:val="24"/>
                <w:szCs w:val="24"/>
                <w:color w:val="auto"/>
              </w:rPr>
            </w:pPr>
          </w:p>
        </w:tc>
        <w:tc>
          <w:tcPr>
            <w:tcW w:w="3920" w:type="dxa"/>
            <w:vAlign w:val="bottom"/>
            <w:gridSpan w:val="40"/>
          </w:tcPr>
          <w:p>
            <w:pPr>
              <w:spacing w:after="0"/>
              <w:rPr>
                <w:sz w:val="20"/>
                <w:szCs w:val="20"/>
                <w:color w:val="auto"/>
              </w:rPr>
            </w:pPr>
            <w:r>
              <w:rPr>
                <w:rFonts w:ascii="Arial" w:cs="Arial" w:eastAsia="Arial" w:hAnsi="Arial"/>
                <w:sz w:val="22"/>
                <w:szCs w:val="22"/>
                <w:color w:val="auto"/>
                <w:w w:val="92"/>
              </w:rPr>
              <w:t>REPRESENTATIONS AND WARRANTIES</w:t>
            </w:r>
          </w:p>
        </w:tc>
        <w:tc>
          <w:tcPr>
            <w:tcW w:w="20" w:type="dxa"/>
            <w:vAlign w:val="bottom"/>
            <w:tcBorders>
              <w:bottom w:val="single" w:sz="8" w:color="0000FF"/>
            </w:tcBorders>
          </w:tcPr>
          <w:p>
            <w:pPr>
              <w:spacing w:after="0"/>
              <w:rPr>
                <w:sz w:val="24"/>
                <w:szCs w:val="24"/>
                <w:color w:val="auto"/>
              </w:rPr>
            </w:pPr>
          </w:p>
        </w:tc>
        <w:tc>
          <w:tcPr>
            <w:tcW w:w="420" w:type="dxa"/>
            <w:vAlign w:val="bottom"/>
            <w:tcBorders>
              <w:bottom w:val="single" w:sz="8" w:color="0000FF"/>
            </w:tcBorders>
            <w:gridSpan w:val="7"/>
          </w:tcPr>
          <w:p>
            <w:pPr>
              <w:jc w:val="right"/>
              <w:spacing w:after="0"/>
              <w:rPr>
                <w:sz w:val="20"/>
                <w:szCs w:val="20"/>
                <w:color w:val="auto"/>
              </w:rPr>
            </w:pPr>
            <w:r>
              <w:rPr>
                <w:rFonts w:ascii="Arial" w:cs="Arial" w:eastAsia="Arial" w:hAnsi="Arial"/>
                <w:sz w:val="22"/>
                <w:szCs w:val="22"/>
                <w:color w:val="0000FF"/>
              </w:rPr>
              <w:t>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7.01</w:t>
            </w:r>
          </w:p>
        </w:tc>
        <w:tc>
          <w:tcPr>
            <w:tcW w:w="740" w:type="dxa"/>
            <w:vAlign w:val="bottom"/>
          </w:tcPr>
          <w:p>
            <w:pPr>
              <w:ind w:left="100"/>
              <w:spacing w:after="0"/>
              <w:rPr>
                <w:sz w:val="20"/>
                <w:szCs w:val="20"/>
                <w:color w:val="auto"/>
              </w:rPr>
            </w:pPr>
            <w:r>
              <w:rPr>
                <w:rFonts w:ascii="Arial" w:cs="Arial" w:eastAsia="Arial" w:hAnsi="Arial"/>
                <w:sz w:val="22"/>
                <w:szCs w:val="22"/>
                <w:color w:val="auto"/>
                <w:w w:val="99"/>
              </w:rPr>
              <w:t>Status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rPr>
              <w:t>79</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83</w:t>
            </w:r>
          </w:p>
        </w:tc>
        <w:tc>
          <w:tcPr>
            <w:tcW w:w="3480" w:type="dxa"/>
            <w:vAlign w:val="bottom"/>
            <w:gridSpan w:val="5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7.02</w:t>
            </w:r>
          </w:p>
        </w:tc>
        <w:tc>
          <w:tcPr>
            <w:tcW w:w="1060" w:type="dxa"/>
            <w:vAlign w:val="bottom"/>
            <w:gridSpan w:val="3"/>
          </w:tcPr>
          <w:p>
            <w:pPr>
              <w:ind w:left="100"/>
              <w:spacing w:after="0" w:line="195" w:lineRule="exact"/>
              <w:rPr>
                <w:sz w:val="20"/>
                <w:szCs w:val="20"/>
                <w:color w:val="auto"/>
              </w:rPr>
            </w:pPr>
            <w:r>
              <w:rPr>
                <w:rFonts w:ascii="Arial" w:cs="Arial" w:eastAsia="Arial" w:hAnsi="Arial"/>
                <w:sz w:val="22"/>
                <w:szCs w:val="22"/>
                <w:color w:val="auto"/>
                <w:w w:val="89"/>
              </w:rPr>
              <w:t>Power and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gridSpan w:val="52"/>
          </w:tcPr>
          <w:p>
            <w:pPr>
              <w:spacing w:after="0" w:line="195" w:lineRule="exact"/>
              <w:rPr>
                <w:sz w:val="20"/>
                <w:szCs w:val="20"/>
                <w:color w:val="auto"/>
              </w:rPr>
            </w:pPr>
            <w:r>
              <w:rPr>
                <w:rFonts w:ascii="Arial" w:cs="Arial" w:eastAsia="Arial" w:hAnsi="Arial"/>
                <w:sz w:val="22"/>
                <w:szCs w:val="22"/>
                <w:color w:val="auto"/>
                <w:w w:val="93"/>
              </w:rPr>
              <w:t>Authority; Execution and Delivery</w:t>
            </w:r>
          </w:p>
        </w:tc>
        <w:tc>
          <w:tcPr>
            <w:tcW w:w="160" w:type="dxa"/>
            <w:vAlign w:val="bottom"/>
          </w:tcPr>
          <w:p>
            <w:pPr>
              <w:jc w:val="right"/>
              <w:spacing w:after="0"/>
              <w:rPr>
                <w:sz w:val="20"/>
                <w:szCs w:val="20"/>
                <w:color w:val="auto"/>
              </w:rPr>
            </w:pPr>
            <w:r>
              <w:rPr>
                <w:rFonts w:ascii="Arial" w:cs="Arial" w:eastAsia="Arial" w:hAnsi="Arial"/>
                <w:sz w:val="17"/>
                <w:szCs w:val="17"/>
                <w:color w:val="FF0000"/>
                <w:strike w:val="1"/>
                <w:w w:val="73"/>
              </w:rPr>
              <w:t>79</w:t>
            </w:r>
          </w:p>
        </w:tc>
        <w:tc>
          <w:tcPr>
            <w:tcW w:w="260" w:type="dxa"/>
            <w:vAlign w:val="bottom"/>
            <w:gridSpan w:val="4"/>
          </w:tcPr>
          <w:p>
            <w:pPr>
              <w:jc w:val="right"/>
              <w:ind w:right="40"/>
              <w:spacing w:after="0" w:line="195" w:lineRule="exact"/>
              <w:rPr>
                <w:sz w:val="20"/>
                <w:szCs w:val="20"/>
                <w:color w:val="auto"/>
              </w:rPr>
            </w:pPr>
            <w:r>
              <w:rPr>
                <w:rFonts w:ascii="Arial" w:cs="Arial" w:eastAsia="Arial" w:hAnsi="Arial"/>
                <w:sz w:val="22"/>
                <w:szCs w:val="22"/>
                <w:color w:val="0000FF"/>
                <w:w w:val="81"/>
              </w:rPr>
              <w:t>83</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7.03</w:t>
            </w:r>
          </w:p>
        </w:tc>
        <w:tc>
          <w:tcPr>
            <w:tcW w:w="1540" w:type="dxa"/>
            <w:vAlign w:val="bottom"/>
            <w:gridSpan w:val="13"/>
          </w:tcPr>
          <w:p>
            <w:pPr>
              <w:ind w:left="100"/>
              <w:spacing w:after="0" w:line="195" w:lineRule="exact"/>
              <w:rPr>
                <w:sz w:val="20"/>
                <w:szCs w:val="20"/>
                <w:color w:val="auto"/>
              </w:rPr>
            </w:pPr>
            <w:r>
              <w:rPr>
                <w:rFonts w:ascii="Arial" w:cs="Arial" w:eastAsia="Arial" w:hAnsi="Arial"/>
                <w:sz w:val="22"/>
                <w:szCs w:val="22"/>
                <w:color w:val="auto"/>
              </w:rPr>
              <w:t>Enforceability</w:t>
            </w:r>
          </w:p>
        </w:tc>
        <w:tc>
          <w:tcPr>
            <w:tcW w:w="20" w:type="dxa"/>
            <w:vAlign w:val="bottom"/>
          </w:tcPr>
          <w:p>
            <w:pPr>
              <w:spacing w:after="0"/>
              <w:rPr>
                <w:sz w:val="17"/>
                <w:szCs w:val="17"/>
                <w:color w:val="auto"/>
              </w:rPr>
            </w:pPr>
          </w:p>
        </w:tc>
        <w:tc>
          <w:tcPr>
            <w:tcW w:w="300" w:type="dxa"/>
            <w:vAlign w:val="bottom"/>
            <w:gridSpan w:val="6"/>
          </w:tcPr>
          <w:p>
            <w:pPr>
              <w:spacing w:after="0" w:line="195" w:lineRule="exact"/>
              <w:rPr>
                <w:sz w:val="20"/>
                <w:szCs w:val="20"/>
                <w:color w:val="auto"/>
              </w:rPr>
            </w:pPr>
            <w:r>
              <w:rPr>
                <w:rFonts w:ascii="Arial" w:cs="Arial" w:eastAsia="Arial" w:hAnsi="Arial"/>
                <w:sz w:val="22"/>
                <w:szCs w:val="22"/>
                <w:color w:val="FF0000"/>
                <w:strike w:val="1"/>
              </w:rPr>
              <w:t>79</w:t>
            </w:r>
          </w:p>
        </w:tc>
        <w:tc>
          <w:tcPr>
            <w:tcW w:w="1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74"/>
              </w:rPr>
              <w:t>84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7.04</w:t>
            </w:r>
          </w:p>
        </w:tc>
        <w:tc>
          <w:tcPr>
            <w:tcW w:w="1260" w:type="dxa"/>
            <w:vAlign w:val="bottom"/>
            <w:gridSpan w:val="6"/>
          </w:tcPr>
          <w:p>
            <w:pPr>
              <w:ind w:left="100"/>
              <w:spacing w:after="0" w:line="195" w:lineRule="exact"/>
              <w:rPr>
                <w:sz w:val="20"/>
                <w:szCs w:val="20"/>
                <w:color w:val="auto"/>
              </w:rPr>
            </w:pPr>
            <w:r>
              <w:rPr>
                <w:rFonts w:ascii="Arial" w:cs="Arial" w:eastAsia="Arial" w:hAnsi="Arial"/>
                <w:sz w:val="22"/>
                <w:szCs w:val="22"/>
                <w:color w:val="auto"/>
                <w:w w:val="96"/>
              </w:rPr>
              <w:t>No Violation</w:t>
            </w:r>
          </w:p>
        </w:tc>
        <w:tc>
          <w:tcPr>
            <w:tcW w:w="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28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rPr>
              <w:t>79</w:t>
            </w:r>
          </w:p>
        </w:tc>
        <w:tc>
          <w:tcPr>
            <w:tcW w:w="200" w:type="dxa"/>
            <w:vAlign w:val="bottom"/>
            <w:gridSpan w:val="3"/>
          </w:tcPr>
          <w:p>
            <w:pPr>
              <w:jc w:val="right"/>
              <w:spacing w:after="0" w:line="195" w:lineRule="exact"/>
              <w:rPr>
                <w:sz w:val="20"/>
                <w:szCs w:val="20"/>
                <w:color w:val="auto"/>
              </w:rPr>
            </w:pPr>
            <w:r>
              <w:rPr>
                <w:rFonts w:ascii="Arial" w:cs="Arial" w:eastAsia="Arial" w:hAnsi="Arial"/>
                <w:sz w:val="22"/>
                <w:szCs w:val="22"/>
                <w:color w:val="0000FF"/>
                <w:w w:val="73"/>
              </w:rPr>
              <w:t>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7.05</w:t>
            </w:r>
          </w:p>
        </w:tc>
        <w:tc>
          <w:tcPr>
            <w:tcW w:w="128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12"/>
            <w:vMerge w:val="restart"/>
          </w:tcPr>
          <w:p>
            <w:pPr>
              <w:jc w:val="center"/>
              <w:ind w:right="60"/>
              <w:spacing w:after="0" w:line="216" w:lineRule="exact"/>
              <w:rPr>
                <w:sz w:val="20"/>
                <w:szCs w:val="20"/>
                <w:color w:val="auto"/>
              </w:rPr>
            </w:pPr>
            <w:r>
              <w:rPr>
                <w:rFonts w:ascii="Arial" w:cs="Arial" w:eastAsia="Arial" w:hAnsi="Arial"/>
                <w:sz w:val="22"/>
                <w:szCs w:val="22"/>
                <w:color w:val="auto"/>
                <w:w w:val="81"/>
              </w:rPr>
              <w:t>etc</w:t>
            </w:r>
          </w:p>
        </w:tc>
        <w:tc>
          <w:tcPr>
            <w:tcW w:w="220" w:type="dxa"/>
            <w:vAlign w:val="bottom"/>
            <w:gridSpan w:val="2"/>
            <w:vMerge w:val="restart"/>
          </w:tcPr>
          <w:p>
            <w:pPr>
              <w:jc w:val="right"/>
              <w:spacing w:after="0" w:line="216" w:lineRule="exact"/>
              <w:rPr>
                <w:sz w:val="20"/>
                <w:szCs w:val="20"/>
                <w:color w:val="auto"/>
              </w:rPr>
            </w:pPr>
            <w:r>
              <w:rPr>
                <w:rFonts w:ascii="Arial" w:cs="Arial" w:eastAsia="Arial" w:hAnsi="Arial"/>
                <w:sz w:val="22"/>
                <w:szCs w:val="22"/>
                <w:color w:val="FF0000"/>
                <w:strike w:val="1"/>
                <w:w w:val="81"/>
              </w:rPr>
              <w:t>80</w:t>
            </w:r>
          </w:p>
        </w:tc>
        <w:tc>
          <w:tcPr>
            <w:tcW w:w="220" w:type="dxa"/>
            <w:vAlign w:val="bottom"/>
            <w:gridSpan w:val="4"/>
            <w:vMerge w:val="restart"/>
          </w:tcPr>
          <w:p>
            <w:pPr>
              <w:spacing w:after="0" w:line="216" w:lineRule="exact"/>
              <w:rPr>
                <w:sz w:val="20"/>
                <w:szCs w:val="20"/>
                <w:color w:val="auto"/>
              </w:rPr>
            </w:pPr>
            <w:r>
              <w:rPr>
                <w:rFonts w:ascii="Arial" w:cs="Arial" w:eastAsia="Arial" w:hAnsi="Arial"/>
                <w:sz w:val="22"/>
                <w:szCs w:val="22"/>
                <w:color w:val="0000FF"/>
                <w:w w:val="81"/>
              </w:rPr>
              <w:t>84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00" w:type="dxa"/>
            <w:vAlign w:val="bottom"/>
            <w:gridSpan w:val="2"/>
            <w:vMerge w:val="continue"/>
          </w:tcPr>
          <w:p>
            <w:pPr>
              <w:spacing w:after="0"/>
              <w:rPr>
                <w:sz w:val="17"/>
                <w:szCs w:val="17"/>
                <w:color w:val="auto"/>
              </w:rPr>
            </w:pPr>
          </w:p>
        </w:tc>
        <w:tc>
          <w:tcPr>
            <w:tcW w:w="1860" w:type="dxa"/>
            <w:vAlign w:val="bottom"/>
            <w:gridSpan w:val="20"/>
          </w:tcPr>
          <w:p>
            <w:pPr>
              <w:ind w:left="100"/>
              <w:spacing w:after="0" w:line="195" w:lineRule="exact"/>
              <w:rPr>
                <w:sz w:val="20"/>
                <w:szCs w:val="20"/>
                <w:color w:val="auto"/>
              </w:rPr>
            </w:pPr>
            <w:r>
              <w:rPr>
                <w:rFonts w:ascii="Arial" w:cs="Arial" w:eastAsia="Arial" w:hAnsi="Arial"/>
                <w:sz w:val="22"/>
                <w:szCs w:val="22"/>
                <w:color w:val="auto"/>
                <w:w w:val="82"/>
              </w:rPr>
              <w:t>Approvals, Consents,</w:t>
            </w:r>
          </w:p>
        </w:tc>
        <w:tc>
          <w:tcPr>
            <w:tcW w:w="620" w:type="dxa"/>
            <w:vAlign w:val="bottom"/>
            <w:gridSpan w:val="1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220" w:type="dxa"/>
            <w:vAlign w:val="bottom"/>
            <w:tcBorders>
              <w:bottom w:val="single" w:sz="8" w:color="0000FF"/>
            </w:tcBorders>
            <w:gridSpan w:val="4"/>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7.06</w:t>
            </w:r>
          </w:p>
        </w:tc>
        <w:tc>
          <w:tcPr>
            <w:tcW w:w="2700" w:type="dxa"/>
            <w:vAlign w:val="bottom"/>
            <w:gridSpan w:val="34"/>
          </w:tcPr>
          <w:p>
            <w:pPr>
              <w:ind w:left="100"/>
              <w:spacing w:after="0" w:line="195" w:lineRule="exact"/>
              <w:rPr>
                <w:sz w:val="20"/>
                <w:szCs w:val="20"/>
                <w:color w:val="auto"/>
              </w:rPr>
            </w:pPr>
            <w:r>
              <w:rPr>
                <w:rFonts w:ascii="Arial" w:cs="Arial" w:eastAsia="Arial" w:hAnsi="Arial"/>
                <w:sz w:val="22"/>
                <w:szCs w:val="22"/>
                <w:color w:val="auto"/>
                <w:w w:val="88"/>
              </w:rPr>
              <w:t>Use of Proceeds; Regulations</w:t>
            </w:r>
          </w:p>
        </w:tc>
        <w:tc>
          <w:tcPr>
            <w:tcW w:w="220" w:type="dxa"/>
            <w:vAlign w:val="bottom"/>
            <w:gridSpan w:val="4"/>
          </w:tcPr>
          <w:p>
            <w:pPr>
              <w:spacing w:after="0" w:line="195" w:lineRule="exact"/>
              <w:rPr>
                <w:sz w:val="20"/>
                <w:szCs w:val="20"/>
                <w:color w:val="auto"/>
              </w:rPr>
            </w:pPr>
            <w:r>
              <w:rPr>
                <w:rFonts w:ascii="Arial" w:cs="Arial" w:eastAsia="Arial" w:hAnsi="Arial"/>
                <w:sz w:val="22"/>
                <w:szCs w:val="22"/>
                <w:color w:val="auto"/>
              </w:rPr>
              <w:t>T,</w:t>
            </w:r>
          </w:p>
        </w:tc>
        <w:tc>
          <w:tcPr>
            <w:tcW w:w="960" w:type="dxa"/>
            <w:vAlign w:val="bottom"/>
            <w:gridSpan w:val="18"/>
          </w:tcPr>
          <w:p>
            <w:pPr>
              <w:spacing w:after="0" w:line="195" w:lineRule="exact"/>
              <w:rPr>
                <w:sz w:val="20"/>
                <w:szCs w:val="20"/>
                <w:color w:val="auto"/>
              </w:rPr>
            </w:pPr>
            <w:r>
              <w:rPr>
                <w:rFonts w:ascii="Arial" w:cs="Arial" w:eastAsia="Arial" w:hAnsi="Arial"/>
                <w:sz w:val="22"/>
                <w:szCs w:val="22"/>
                <w:color w:val="auto"/>
              </w:rPr>
              <w:t>U and X</w:t>
            </w:r>
          </w:p>
        </w:tc>
        <w:tc>
          <w:tcPr>
            <w:tcW w:w="2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80</w:t>
            </w:r>
          </w:p>
        </w:tc>
        <w:tc>
          <w:tcPr>
            <w:tcW w:w="240" w:type="dxa"/>
            <w:vAlign w:val="bottom"/>
            <w:gridSpan w:val="2"/>
          </w:tcPr>
          <w:p>
            <w:pPr>
              <w:jc w:val="right"/>
              <w:spacing w:after="0" w:line="195" w:lineRule="exact"/>
              <w:rPr>
                <w:sz w:val="20"/>
                <w:szCs w:val="20"/>
                <w:color w:val="auto"/>
              </w:rPr>
            </w:pPr>
            <w:r>
              <w:rPr>
                <w:rFonts w:ascii="Arial" w:cs="Arial" w:eastAsia="Arial" w:hAnsi="Arial"/>
                <w:sz w:val="22"/>
                <w:szCs w:val="22"/>
                <w:color w:val="0000FF"/>
                <w:w w:val="73"/>
              </w:rPr>
              <w:t>84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7.07</w:t>
            </w:r>
          </w:p>
        </w:tc>
        <w:tc>
          <w:tcPr>
            <w:tcW w:w="2700" w:type="dxa"/>
            <w:vAlign w:val="bottom"/>
            <w:gridSpan w:val="34"/>
          </w:tcPr>
          <w:p>
            <w:pPr>
              <w:ind w:left="100"/>
              <w:spacing w:after="0" w:line="195" w:lineRule="exact"/>
              <w:rPr>
                <w:sz w:val="20"/>
                <w:szCs w:val="20"/>
                <w:color w:val="auto"/>
              </w:rPr>
            </w:pPr>
            <w:r>
              <w:rPr>
                <w:rFonts w:ascii="Arial" w:cs="Arial" w:eastAsia="Arial" w:hAnsi="Arial"/>
                <w:sz w:val="22"/>
                <w:szCs w:val="22"/>
                <w:color w:val="auto"/>
                <w:w w:val="89"/>
              </w:rPr>
              <w:t>Investment Company Act; etc</w:t>
            </w:r>
          </w:p>
        </w:tc>
        <w:tc>
          <w:tcPr>
            <w:tcW w:w="160" w:type="dxa"/>
            <w:vAlign w:val="bottom"/>
            <w:gridSpan w:val="3"/>
          </w:tcPr>
          <w:p>
            <w:pPr>
              <w:spacing w:after="0"/>
              <w:rPr>
                <w:sz w:val="17"/>
                <w:szCs w:val="17"/>
                <w:color w:val="auto"/>
              </w:rPr>
            </w:pPr>
          </w:p>
        </w:tc>
        <w:tc>
          <w:tcPr>
            <w:tcW w:w="2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9"/>
              </w:rPr>
              <w:t>80</w:t>
            </w:r>
          </w:p>
        </w:tc>
        <w:tc>
          <w:tcPr>
            <w:tcW w:w="2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7.08</w:t>
            </w:r>
          </w:p>
        </w:tc>
        <w:tc>
          <w:tcPr>
            <w:tcW w:w="3260" w:type="dxa"/>
            <w:vAlign w:val="bottom"/>
            <w:gridSpan w:val="44"/>
          </w:tcPr>
          <w:p>
            <w:pPr>
              <w:ind w:left="100"/>
              <w:spacing w:after="0" w:line="195" w:lineRule="exact"/>
              <w:rPr>
                <w:sz w:val="20"/>
                <w:szCs w:val="20"/>
                <w:color w:val="auto"/>
              </w:rPr>
            </w:pPr>
            <w:r>
              <w:rPr>
                <w:rFonts w:ascii="Arial" w:cs="Arial" w:eastAsia="Arial" w:hAnsi="Arial"/>
                <w:sz w:val="22"/>
                <w:szCs w:val="22"/>
                <w:color w:val="auto"/>
                <w:w w:val="92"/>
              </w:rPr>
              <w:t>Litigation, Labor Controversies, etc</w:t>
            </w:r>
          </w:p>
        </w:tc>
        <w:tc>
          <w:tcPr>
            <w:tcW w:w="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9"/>
              </w:rPr>
              <w:t>80</w:t>
            </w:r>
          </w:p>
        </w:tc>
        <w:tc>
          <w:tcPr>
            <w:tcW w:w="260" w:type="dxa"/>
            <w:vAlign w:val="bottom"/>
            <w:gridSpan w:val="4"/>
          </w:tcPr>
          <w:p>
            <w:pPr>
              <w:jc w:val="right"/>
              <w:ind w:right="40"/>
              <w:spacing w:after="0" w:line="195" w:lineRule="exact"/>
              <w:rPr>
                <w:sz w:val="20"/>
                <w:szCs w:val="20"/>
                <w:color w:val="auto"/>
              </w:rPr>
            </w:pPr>
            <w:r>
              <w:rPr>
                <w:rFonts w:ascii="Arial" w:cs="Arial" w:eastAsia="Arial" w:hAnsi="Arial"/>
                <w:sz w:val="22"/>
                <w:szCs w:val="22"/>
                <w:color w:val="0000FF"/>
                <w:w w:val="81"/>
              </w:rPr>
              <w:t>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7.09</w:t>
            </w:r>
          </w:p>
        </w:tc>
        <w:tc>
          <w:tcPr>
            <w:tcW w:w="2700" w:type="dxa"/>
            <w:vAlign w:val="bottom"/>
            <w:gridSpan w:val="34"/>
          </w:tcPr>
          <w:p>
            <w:pPr>
              <w:ind w:left="100"/>
              <w:spacing w:after="0" w:line="195" w:lineRule="exact"/>
              <w:rPr>
                <w:sz w:val="20"/>
                <w:szCs w:val="20"/>
                <w:color w:val="auto"/>
              </w:rPr>
            </w:pPr>
            <w:r>
              <w:rPr>
                <w:rFonts w:ascii="Arial" w:cs="Arial" w:eastAsia="Arial" w:hAnsi="Arial"/>
                <w:sz w:val="22"/>
                <w:szCs w:val="22"/>
                <w:color w:val="auto"/>
                <w:w w:val="97"/>
              </w:rPr>
              <w:t>Capitalization; Subsidiaries</w:t>
            </w:r>
          </w:p>
        </w:tc>
        <w:tc>
          <w:tcPr>
            <w:tcW w:w="220" w:type="dxa"/>
            <w:vAlign w:val="bottom"/>
            <w:gridSpan w:val="4"/>
          </w:tcPr>
          <w:p>
            <w:pPr>
              <w:spacing w:after="0" w:line="195" w:lineRule="exact"/>
              <w:rPr>
                <w:sz w:val="20"/>
                <w:szCs w:val="20"/>
                <w:color w:val="auto"/>
              </w:rPr>
            </w:pPr>
            <w:r>
              <w:rPr>
                <w:rFonts w:ascii="Arial" w:cs="Arial" w:eastAsia="Arial" w:hAnsi="Arial"/>
                <w:sz w:val="22"/>
                <w:szCs w:val="22"/>
                <w:color w:val="FF0000"/>
                <w:strike w:val="1"/>
                <w:w w:val="81"/>
              </w:rPr>
              <w:t>80</w:t>
            </w:r>
          </w:p>
        </w:tc>
        <w:tc>
          <w:tcPr>
            <w:tcW w:w="28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97"/>
              </w:rPr>
              <w:t>85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72"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7.10</w:t>
            </w:r>
          </w:p>
        </w:tc>
        <w:tc>
          <w:tcPr>
            <w:tcW w:w="2460" w:type="dxa"/>
            <w:vAlign w:val="bottom"/>
            <w:gridSpan w:val="28"/>
          </w:tcPr>
          <w:p>
            <w:pPr>
              <w:ind w:left="100"/>
              <w:spacing w:after="0"/>
              <w:rPr>
                <w:sz w:val="20"/>
                <w:szCs w:val="20"/>
                <w:color w:val="auto"/>
              </w:rPr>
            </w:pPr>
            <w:r>
              <w:rPr>
                <w:rFonts w:ascii="Arial" w:cs="Arial" w:eastAsia="Arial" w:hAnsi="Arial"/>
                <w:sz w:val="22"/>
                <w:szCs w:val="22"/>
                <w:color w:val="auto"/>
                <w:w w:val="95"/>
              </w:rPr>
              <w:t>Accuracy of Information</w:t>
            </w: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81</w:t>
            </w:r>
          </w:p>
        </w:tc>
        <w:tc>
          <w:tcPr>
            <w:tcW w:w="220" w:type="dxa"/>
            <w:vAlign w:val="bottom"/>
            <w:tcBorders>
              <w:bottom w:val="single" w:sz="8" w:color="0000FF"/>
            </w:tcBorders>
            <w:gridSpan w:val="7"/>
          </w:tcPr>
          <w:p>
            <w:pPr>
              <w:jc w:val="right"/>
              <w:spacing w:after="0"/>
              <w:rPr>
                <w:sz w:val="20"/>
                <w:szCs w:val="20"/>
                <w:color w:val="auto"/>
              </w:rPr>
            </w:pPr>
            <w:r>
              <w:rPr>
                <w:rFonts w:ascii="Arial" w:cs="Arial" w:eastAsia="Arial" w:hAnsi="Arial"/>
                <w:sz w:val="22"/>
                <w:szCs w:val="22"/>
                <w:color w:val="0000FF"/>
                <w:w w:val="81"/>
              </w:rPr>
              <w:t>86</w:t>
            </w:r>
          </w:p>
        </w:tc>
        <w:tc>
          <w:tcPr>
            <w:tcW w:w="3620" w:type="dxa"/>
            <w:vAlign w:val="bottom"/>
            <w:gridSpan w:val="5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7.11</w:t>
            </w:r>
          </w:p>
        </w:tc>
        <w:tc>
          <w:tcPr>
            <w:tcW w:w="2900" w:type="dxa"/>
            <w:vAlign w:val="bottom"/>
            <w:gridSpan w:val="38"/>
          </w:tcPr>
          <w:p>
            <w:pPr>
              <w:ind w:left="100"/>
              <w:spacing w:after="0" w:line="195" w:lineRule="exact"/>
              <w:rPr>
                <w:sz w:val="20"/>
                <w:szCs w:val="20"/>
                <w:color w:val="auto"/>
              </w:rPr>
            </w:pPr>
            <w:r>
              <w:rPr>
                <w:rFonts w:ascii="Arial" w:cs="Arial" w:eastAsia="Arial" w:hAnsi="Arial"/>
                <w:sz w:val="22"/>
                <w:szCs w:val="22"/>
                <w:color w:val="auto"/>
                <w:w w:val="84"/>
              </w:rPr>
              <w:t>Beneficial Ownership Certification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9"/>
          </w:tcPr>
          <w:p>
            <w:pPr>
              <w:jc w:val="right"/>
              <w:spacing w:after="0" w:line="195" w:lineRule="exact"/>
              <w:rPr>
                <w:sz w:val="20"/>
                <w:szCs w:val="20"/>
                <w:color w:val="auto"/>
              </w:rPr>
            </w:pPr>
            <w:r>
              <w:rPr>
                <w:rFonts w:ascii="Arial" w:cs="Arial" w:eastAsia="Arial" w:hAnsi="Arial"/>
                <w:sz w:val="22"/>
                <w:szCs w:val="22"/>
                <w:color w:val="FF0000"/>
                <w:strike w:val="1"/>
                <w:w w:val="81"/>
              </w:rPr>
              <w:t>82</w:t>
            </w:r>
          </w:p>
        </w:tc>
        <w:tc>
          <w:tcPr>
            <w:tcW w:w="240" w:type="dxa"/>
            <w:vAlign w:val="bottom"/>
            <w:gridSpan w:val="8"/>
          </w:tcPr>
          <w:p>
            <w:pPr>
              <w:jc w:val="right"/>
              <w:ind w:right="60"/>
              <w:spacing w:after="0" w:line="196" w:lineRule="exact"/>
              <w:rPr>
                <w:sz w:val="20"/>
                <w:szCs w:val="20"/>
                <w:color w:val="auto"/>
              </w:rPr>
            </w:pPr>
            <w:r>
              <w:rPr>
                <w:rFonts w:ascii="Arial" w:cs="Arial" w:eastAsia="Arial" w:hAnsi="Arial"/>
                <w:sz w:val="19"/>
                <w:szCs w:val="19"/>
                <w:color w:val="0000FF"/>
                <w:w w:val="75"/>
              </w:rPr>
              <w:t>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7.12</w:t>
            </w:r>
          </w:p>
        </w:tc>
        <w:tc>
          <w:tcPr>
            <w:tcW w:w="2620" w:type="dxa"/>
            <w:vAlign w:val="bottom"/>
            <w:gridSpan w:val="30"/>
          </w:tcPr>
          <w:p>
            <w:pPr>
              <w:ind w:left="100"/>
              <w:spacing w:after="0" w:line="195" w:lineRule="exact"/>
              <w:rPr>
                <w:sz w:val="20"/>
                <w:szCs w:val="20"/>
                <w:color w:val="auto"/>
              </w:rPr>
            </w:pPr>
            <w:r>
              <w:rPr>
                <w:rFonts w:ascii="Arial" w:cs="Arial" w:eastAsia="Arial" w:hAnsi="Arial"/>
                <w:sz w:val="22"/>
                <w:szCs w:val="22"/>
                <w:color w:val="auto"/>
                <w:w w:val="90"/>
              </w:rPr>
              <w:t>Tax Returns and Payments</w:t>
            </w:r>
          </w:p>
        </w:tc>
        <w:tc>
          <w:tcPr>
            <w:tcW w:w="220" w:type="dxa"/>
            <w:vAlign w:val="bottom"/>
            <w:gridSpan w:val="7"/>
          </w:tcPr>
          <w:p>
            <w:pPr>
              <w:spacing w:after="0" w:line="195" w:lineRule="exact"/>
              <w:rPr>
                <w:sz w:val="20"/>
                <w:szCs w:val="20"/>
                <w:color w:val="auto"/>
              </w:rPr>
            </w:pPr>
            <w:r>
              <w:rPr>
                <w:rFonts w:ascii="Arial" w:cs="Arial" w:eastAsia="Arial" w:hAnsi="Arial"/>
                <w:sz w:val="22"/>
                <w:szCs w:val="22"/>
                <w:color w:val="FF0000"/>
                <w:strike w:val="1"/>
                <w:w w:val="81"/>
              </w:rPr>
              <w:t>82</w:t>
            </w:r>
          </w:p>
        </w:tc>
        <w:tc>
          <w:tcPr>
            <w:tcW w:w="240" w:type="dxa"/>
            <w:vAlign w:val="bottom"/>
            <w:tcBorders>
              <w:bottom w:val="single" w:sz="8" w:color="0000FF"/>
            </w:tcBorders>
            <w:gridSpan w:val="5"/>
          </w:tcPr>
          <w:p>
            <w:pPr>
              <w:jc w:val="center"/>
              <w:ind w:right="20"/>
              <w:spacing w:after="0" w:line="195" w:lineRule="exact"/>
              <w:rPr>
                <w:sz w:val="20"/>
                <w:szCs w:val="20"/>
                <w:color w:val="auto"/>
              </w:rPr>
            </w:pPr>
            <w:r>
              <w:rPr>
                <w:rFonts w:ascii="Arial" w:cs="Arial" w:eastAsia="Arial" w:hAnsi="Arial"/>
                <w:sz w:val="22"/>
                <w:szCs w:val="22"/>
                <w:color w:val="0000FF"/>
                <w:w w:val="89"/>
              </w:rPr>
              <w:t>87</w:t>
            </w:r>
          </w:p>
        </w:tc>
        <w:tc>
          <w:tcPr>
            <w:tcW w:w="520" w:type="dxa"/>
            <w:vAlign w:val="bottom"/>
            <w:gridSpan w:val="18"/>
          </w:tcPr>
          <w:p>
            <w:pPr>
              <w:spacing w:after="0"/>
              <w:rPr>
                <w:sz w:val="17"/>
                <w:szCs w:val="17"/>
                <w:color w:val="auto"/>
              </w:rPr>
            </w:pPr>
          </w:p>
        </w:tc>
        <w:tc>
          <w:tcPr>
            <w:tcW w:w="180" w:type="dxa"/>
            <w:vAlign w:val="bottom"/>
            <w:tcBorders>
              <w:top w:val="single" w:sz="8" w:color="0000FF"/>
            </w:tcBorders>
            <w:gridSpan w:val="7"/>
          </w:tcPr>
          <w:p>
            <w:pPr>
              <w:spacing w:after="0"/>
              <w:rPr>
                <w:sz w:val="17"/>
                <w:szCs w:val="17"/>
                <w:color w:val="auto"/>
              </w:rPr>
            </w:pPr>
          </w:p>
        </w:tc>
        <w:tc>
          <w:tcPr>
            <w:tcW w:w="27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7.13</w:t>
            </w:r>
          </w:p>
        </w:tc>
        <w:tc>
          <w:tcPr>
            <w:tcW w:w="2460" w:type="dxa"/>
            <w:vAlign w:val="bottom"/>
            <w:gridSpan w:val="28"/>
          </w:tcPr>
          <w:p>
            <w:pPr>
              <w:ind w:left="100"/>
              <w:spacing w:after="0" w:line="195" w:lineRule="exact"/>
              <w:rPr>
                <w:sz w:val="20"/>
                <w:szCs w:val="20"/>
                <w:color w:val="auto"/>
              </w:rPr>
            </w:pPr>
            <w:r>
              <w:rPr>
                <w:rFonts w:ascii="Arial" w:cs="Arial" w:eastAsia="Arial" w:hAnsi="Arial"/>
                <w:sz w:val="22"/>
                <w:szCs w:val="22"/>
                <w:color w:val="auto"/>
                <w:w w:val="94"/>
              </w:rPr>
              <w:t>Compliance with ERISA</w:t>
            </w:r>
          </w:p>
        </w:tc>
        <w:tc>
          <w:tcPr>
            <w:tcW w:w="2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9"/>
              </w:rPr>
              <w:t>82</w:t>
            </w:r>
          </w:p>
        </w:tc>
        <w:tc>
          <w:tcPr>
            <w:tcW w:w="220" w:type="dxa"/>
            <w:vAlign w:val="bottom"/>
            <w:tcBorders>
              <w:bottom w:val="single" w:sz="8" w:color="0000FF"/>
            </w:tcBorders>
            <w:gridSpan w:val="7"/>
          </w:tcPr>
          <w:p>
            <w:pPr>
              <w:jc w:val="right"/>
              <w:spacing w:after="0" w:line="195" w:lineRule="exact"/>
              <w:rPr>
                <w:sz w:val="20"/>
                <w:szCs w:val="20"/>
                <w:color w:val="auto"/>
              </w:rPr>
            </w:pPr>
            <w:r>
              <w:rPr>
                <w:rFonts w:ascii="Arial" w:cs="Arial" w:eastAsia="Arial" w:hAnsi="Arial"/>
                <w:sz w:val="22"/>
                <w:szCs w:val="22"/>
                <w:color w:val="0000FF"/>
                <w:w w:val="81"/>
              </w:rPr>
              <w:t>87</w:t>
            </w:r>
          </w:p>
        </w:tc>
        <w:tc>
          <w:tcPr>
            <w:tcW w:w="3600" w:type="dxa"/>
            <w:vAlign w:val="bottom"/>
            <w:gridSpan w:val="5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7.14</w:t>
            </w:r>
          </w:p>
        </w:tc>
        <w:tc>
          <w:tcPr>
            <w:tcW w:w="2700" w:type="dxa"/>
            <w:vAlign w:val="bottom"/>
            <w:gridSpan w:val="32"/>
          </w:tcPr>
          <w:p>
            <w:pPr>
              <w:ind w:left="100"/>
              <w:spacing w:after="0" w:line="195" w:lineRule="exact"/>
              <w:rPr>
                <w:sz w:val="20"/>
                <w:szCs w:val="20"/>
                <w:color w:val="auto"/>
              </w:rPr>
            </w:pPr>
            <w:r>
              <w:rPr>
                <w:rFonts w:ascii="Arial" w:cs="Arial" w:eastAsia="Arial" w:hAnsi="Arial"/>
                <w:sz w:val="22"/>
                <w:szCs w:val="22"/>
                <w:color w:val="auto"/>
                <w:w w:val="86"/>
              </w:rPr>
              <w:t>Intellectual Property; Licenses,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10"/>
          </w:tcPr>
          <w:p>
            <w:pPr>
              <w:jc w:val="right"/>
              <w:ind w:right="200"/>
              <w:spacing w:after="0"/>
              <w:rPr>
                <w:sz w:val="20"/>
                <w:szCs w:val="20"/>
                <w:color w:val="auto"/>
              </w:rPr>
            </w:pPr>
            <w:r>
              <w:rPr>
                <w:rFonts w:ascii="Arial" w:cs="Arial" w:eastAsia="Arial" w:hAnsi="Arial"/>
                <w:sz w:val="17"/>
                <w:szCs w:val="17"/>
                <w:color w:val="auto"/>
                <w:w w:val="70"/>
              </w:rPr>
              <w:t>etc</w:t>
            </w:r>
          </w:p>
        </w:tc>
        <w:tc>
          <w:tcPr>
            <w:tcW w:w="20" w:type="dxa"/>
            <w:vAlign w:val="bottom"/>
          </w:tcPr>
          <w:p>
            <w:pPr>
              <w:spacing w:after="0"/>
              <w:rPr>
                <w:sz w:val="17"/>
                <w:szCs w:val="17"/>
                <w:color w:val="auto"/>
              </w:rPr>
            </w:pPr>
          </w:p>
        </w:tc>
        <w:tc>
          <w:tcPr>
            <w:tcW w:w="260" w:type="dxa"/>
            <w:vAlign w:val="bottom"/>
            <w:gridSpan w:val="9"/>
          </w:tcPr>
          <w:p>
            <w:pPr>
              <w:spacing w:after="0" w:line="195" w:lineRule="exact"/>
              <w:rPr>
                <w:sz w:val="20"/>
                <w:szCs w:val="20"/>
                <w:color w:val="auto"/>
              </w:rPr>
            </w:pPr>
            <w:r>
              <w:rPr>
                <w:rFonts w:ascii="Arial" w:cs="Arial" w:eastAsia="Arial" w:hAnsi="Arial"/>
                <w:sz w:val="22"/>
                <w:szCs w:val="22"/>
                <w:color w:val="FF0000"/>
                <w:strike w:val="1"/>
                <w:w w:val="97"/>
              </w:rPr>
              <w:t>83</w:t>
            </w:r>
          </w:p>
        </w:tc>
        <w:tc>
          <w:tcPr>
            <w:tcW w:w="18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9"/>
                <w:szCs w:val="19"/>
                <w:color w:val="0000FF"/>
                <w:w w:val="75"/>
              </w:rPr>
              <w:t>87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7.15</w:t>
            </w:r>
          </w:p>
        </w:tc>
        <w:tc>
          <w:tcPr>
            <w:tcW w:w="4960" w:type="dxa"/>
            <w:vAlign w:val="bottom"/>
            <w:gridSpan w:val="81"/>
          </w:tcPr>
          <w:p>
            <w:pPr>
              <w:ind w:left="100"/>
              <w:spacing w:after="0" w:line="195" w:lineRule="exact"/>
              <w:rPr>
                <w:sz w:val="20"/>
                <w:szCs w:val="20"/>
                <w:color w:val="auto"/>
              </w:rPr>
            </w:pPr>
            <w:r>
              <w:rPr>
                <w:rFonts w:ascii="Arial" w:cs="Arial" w:eastAsia="Arial" w:hAnsi="Arial"/>
                <w:sz w:val="22"/>
                <w:szCs w:val="22"/>
                <w:color w:val="auto"/>
                <w:w w:val="93"/>
              </w:rPr>
              <w:t>Ownership of Properties; Title; Real Property; Leases</w:t>
            </w:r>
          </w:p>
        </w:tc>
        <w:tc>
          <w:tcPr>
            <w:tcW w:w="20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73"/>
              </w:rPr>
              <w:t>84</w:t>
            </w:r>
          </w:p>
        </w:tc>
        <w:tc>
          <w:tcPr>
            <w:tcW w:w="420" w:type="dxa"/>
            <w:vAlign w:val="bottom"/>
            <w:gridSpan w:val="4"/>
          </w:tcPr>
          <w:p>
            <w:pPr>
              <w:jc w:val="right"/>
              <w:ind w:right="200"/>
              <w:spacing w:after="0" w:line="195" w:lineRule="exact"/>
              <w:rPr>
                <w:sz w:val="20"/>
                <w:szCs w:val="20"/>
                <w:color w:val="auto"/>
              </w:rPr>
            </w:pPr>
            <w:r>
              <w:rPr>
                <w:rFonts w:ascii="Arial" w:cs="Arial" w:eastAsia="Arial" w:hAnsi="Arial"/>
                <w:sz w:val="22"/>
                <w:szCs w:val="22"/>
                <w:color w:val="0000FF"/>
                <w:w w:val="81"/>
              </w:rPr>
              <w:t>88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7.16</w:t>
            </w:r>
          </w:p>
        </w:tc>
        <w:tc>
          <w:tcPr>
            <w:tcW w:w="2320" w:type="dxa"/>
            <w:vAlign w:val="bottom"/>
            <w:gridSpan w:val="25"/>
          </w:tcPr>
          <w:p>
            <w:pPr>
              <w:ind w:left="100"/>
              <w:spacing w:after="0" w:line="195" w:lineRule="exact"/>
              <w:rPr>
                <w:sz w:val="20"/>
                <w:szCs w:val="20"/>
                <w:color w:val="auto"/>
              </w:rPr>
            </w:pPr>
            <w:r>
              <w:rPr>
                <w:rFonts w:ascii="Arial" w:cs="Arial" w:eastAsia="Arial" w:hAnsi="Arial"/>
                <w:sz w:val="22"/>
                <w:szCs w:val="22"/>
                <w:color w:val="auto"/>
                <w:w w:val="99"/>
              </w:rPr>
              <w:t>Environmental Matters</w:t>
            </w:r>
          </w:p>
        </w:tc>
        <w:tc>
          <w:tcPr>
            <w:tcW w:w="2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1"/>
              </w:rPr>
              <w:t>84</w:t>
            </w:r>
          </w:p>
        </w:tc>
        <w:tc>
          <w:tcPr>
            <w:tcW w:w="2620" w:type="dxa"/>
            <w:vAlign w:val="bottom"/>
            <w:gridSpan w:val="54"/>
          </w:tcPr>
          <w:p>
            <w:pPr>
              <w:spacing w:after="0" w:line="195" w:lineRule="exact"/>
              <w:rPr>
                <w:sz w:val="20"/>
                <w:szCs w:val="20"/>
                <w:color w:val="auto"/>
              </w:rPr>
            </w:pPr>
            <w:r>
              <w:rPr>
                <w:rFonts w:ascii="Arial" w:cs="Arial" w:eastAsia="Arial" w:hAnsi="Arial"/>
                <w:sz w:val="22"/>
                <w:szCs w:val="22"/>
                <w:color w:val="0000FF"/>
                <w:w w:val="89"/>
              </w:rPr>
              <w:t>88</w:t>
            </w:r>
          </w:p>
        </w:tc>
        <w:tc>
          <w:tcPr>
            <w:tcW w:w="220" w:type="dxa"/>
            <w:vAlign w:val="bottom"/>
            <w:tcBorders>
              <w:top w:val="single" w:sz="8" w:color="0000FF"/>
            </w:tcBorders>
            <w:gridSpan w:val="3"/>
          </w:tcPr>
          <w:p>
            <w:pPr>
              <w:spacing w:after="0"/>
              <w:rPr>
                <w:sz w:val="17"/>
                <w:szCs w:val="17"/>
                <w:color w:val="auto"/>
              </w:rPr>
            </w:pPr>
          </w:p>
        </w:tc>
        <w:tc>
          <w:tcPr>
            <w:tcW w:w="11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7.17</w:t>
            </w:r>
          </w:p>
        </w:tc>
        <w:tc>
          <w:tcPr>
            <w:tcW w:w="112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Solvency</w:t>
            </w:r>
          </w:p>
        </w:tc>
        <w:tc>
          <w:tcPr>
            <w:tcW w:w="2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85</w:t>
            </w:r>
          </w:p>
        </w:tc>
        <w:tc>
          <w:tcPr>
            <w:tcW w:w="220" w:type="dxa"/>
            <w:vAlign w:val="bottom"/>
            <w:tcBorders>
              <w:bottom w:val="single" w:sz="8" w:color="0000FF"/>
            </w:tcBorders>
            <w:gridSpan w:val="6"/>
          </w:tcPr>
          <w:p>
            <w:pPr>
              <w:jc w:val="right"/>
              <w:spacing w:after="0" w:line="195" w:lineRule="exact"/>
              <w:rPr>
                <w:sz w:val="20"/>
                <w:szCs w:val="20"/>
                <w:color w:val="auto"/>
              </w:rPr>
            </w:pPr>
            <w:r>
              <w:rPr>
                <w:rFonts w:ascii="Arial" w:cs="Arial" w:eastAsia="Arial" w:hAnsi="Arial"/>
                <w:sz w:val="22"/>
                <w:szCs w:val="22"/>
                <w:color w:val="0000FF"/>
                <w:w w:val="81"/>
              </w:rPr>
              <w:t>89</w:t>
            </w:r>
          </w:p>
        </w:tc>
        <w:tc>
          <w:tcPr>
            <w:tcW w:w="980" w:type="dxa"/>
            <w:vAlign w:val="bottom"/>
            <w:gridSpan w:val="19"/>
          </w:tcPr>
          <w:p>
            <w:pPr>
              <w:spacing w:after="0"/>
              <w:rPr>
                <w:sz w:val="17"/>
                <w:szCs w:val="17"/>
                <w:color w:val="auto"/>
              </w:rPr>
            </w:pPr>
          </w:p>
        </w:tc>
        <w:tc>
          <w:tcPr>
            <w:tcW w:w="200" w:type="dxa"/>
            <w:vAlign w:val="bottom"/>
            <w:tcBorders>
              <w:top w:val="single" w:sz="8" w:color="0000FF"/>
            </w:tcBorders>
            <w:gridSpan w:val="5"/>
          </w:tcPr>
          <w:p>
            <w:pPr>
              <w:spacing w:after="0"/>
              <w:rPr>
                <w:sz w:val="17"/>
                <w:szCs w:val="17"/>
                <w:color w:val="auto"/>
              </w:rPr>
            </w:pPr>
          </w:p>
        </w:tc>
        <w:tc>
          <w:tcPr>
            <w:tcW w:w="3780" w:type="dxa"/>
            <w:vAlign w:val="bottom"/>
            <w:gridSpan w:val="6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7.18</w:t>
            </w:r>
          </w:p>
        </w:tc>
        <w:tc>
          <w:tcPr>
            <w:tcW w:w="1160" w:type="dxa"/>
            <w:vAlign w:val="bottom"/>
            <w:gridSpan w:val="3"/>
          </w:tcPr>
          <w:p>
            <w:pPr>
              <w:ind w:left="100"/>
              <w:spacing w:after="0" w:line="195" w:lineRule="exact"/>
              <w:rPr>
                <w:sz w:val="20"/>
                <w:szCs w:val="20"/>
                <w:color w:val="auto"/>
              </w:rPr>
            </w:pPr>
            <w:r>
              <w:rPr>
                <w:rFonts w:ascii="Arial" w:cs="Arial" w:eastAsia="Arial" w:hAnsi="Arial"/>
                <w:sz w:val="22"/>
                <w:szCs w:val="22"/>
                <w:color w:val="auto"/>
                <w:w w:val="93"/>
              </w:rPr>
              <w:t>[Reserved]</w:t>
            </w:r>
          </w:p>
        </w:tc>
        <w:tc>
          <w:tcPr>
            <w:tcW w:w="3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rPr>
              <w:t>85</w:t>
            </w:r>
          </w:p>
        </w:tc>
        <w:tc>
          <w:tcPr>
            <w:tcW w:w="22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81"/>
              </w:rPr>
              <w:t>89</w:t>
            </w:r>
          </w:p>
        </w:tc>
        <w:tc>
          <w:tcPr>
            <w:tcW w:w="4820" w:type="dxa"/>
            <w:vAlign w:val="bottom"/>
            <w:gridSpan w:val="8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7.19</w:t>
            </w:r>
          </w:p>
        </w:tc>
        <w:tc>
          <w:tcPr>
            <w:tcW w:w="1700" w:type="dxa"/>
            <w:vAlign w:val="bottom"/>
            <w:gridSpan w:val="12"/>
          </w:tcPr>
          <w:p>
            <w:pPr>
              <w:ind w:left="100"/>
              <w:spacing w:after="0" w:line="195" w:lineRule="exact"/>
              <w:rPr>
                <w:sz w:val="20"/>
                <w:szCs w:val="20"/>
                <w:color w:val="auto"/>
              </w:rPr>
            </w:pPr>
            <w:r>
              <w:rPr>
                <w:rFonts w:ascii="Arial" w:cs="Arial" w:eastAsia="Arial" w:hAnsi="Arial"/>
                <w:sz w:val="22"/>
                <w:szCs w:val="22"/>
                <w:color w:val="auto"/>
                <w:w w:val="77"/>
              </w:rPr>
              <w:t>Security Documents;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0"/>
          </w:tcPr>
          <w:p>
            <w:pPr>
              <w:ind w:left="40"/>
              <w:spacing w:after="0" w:line="195" w:lineRule="exact"/>
              <w:rPr>
                <w:sz w:val="20"/>
                <w:szCs w:val="20"/>
                <w:color w:val="auto"/>
              </w:rPr>
            </w:pPr>
            <w:r>
              <w:rPr>
                <w:rFonts w:ascii="Arial" w:cs="Arial" w:eastAsia="Arial" w:hAnsi="Arial"/>
                <w:sz w:val="22"/>
                <w:szCs w:val="22"/>
                <w:color w:val="auto"/>
                <w:w w:val="90"/>
              </w:rPr>
              <w:t>Perfection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81"/>
              </w:rPr>
              <w:t>85</w:t>
            </w:r>
          </w:p>
        </w:tc>
        <w:tc>
          <w:tcPr>
            <w:tcW w:w="240" w:type="dxa"/>
            <w:vAlign w:val="bottom"/>
            <w:tcBorders>
              <w:bottom w:val="single" w:sz="8" w:color="0000FF"/>
            </w:tcBorders>
            <w:gridSpan w:val="8"/>
          </w:tcPr>
          <w:p>
            <w:pPr>
              <w:jc w:val="right"/>
              <w:spacing w:after="0" w:line="195" w:lineRule="exact"/>
              <w:rPr>
                <w:sz w:val="20"/>
                <w:szCs w:val="20"/>
                <w:color w:val="auto"/>
              </w:rPr>
            </w:pPr>
            <w:r>
              <w:rPr>
                <w:rFonts w:ascii="Arial" w:cs="Arial" w:eastAsia="Arial" w:hAnsi="Arial"/>
                <w:sz w:val="22"/>
                <w:szCs w:val="22"/>
                <w:color w:val="0000FF"/>
                <w:w w:val="81"/>
              </w:rPr>
              <w:t>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7.20</w:t>
            </w:r>
          </w:p>
        </w:tc>
        <w:tc>
          <w:tcPr>
            <w:tcW w:w="3300" w:type="dxa"/>
            <w:vAlign w:val="bottom"/>
            <w:gridSpan w:val="49"/>
          </w:tcPr>
          <w:p>
            <w:pPr>
              <w:ind w:left="100"/>
              <w:spacing w:after="0" w:line="195" w:lineRule="exact"/>
              <w:rPr>
                <w:sz w:val="20"/>
                <w:szCs w:val="20"/>
                <w:color w:val="auto"/>
              </w:rPr>
            </w:pPr>
            <w:r>
              <w:rPr>
                <w:rFonts w:ascii="Arial" w:cs="Arial" w:eastAsia="Arial" w:hAnsi="Arial"/>
                <w:sz w:val="22"/>
                <w:szCs w:val="22"/>
                <w:color w:val="auto"/>
                <w:w w:val="91"/>
              </w:rPr>
              <w:t>Compliance with Laws and Permits;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1"/>
          </w:tcPr>
          <w:p>
            <w:pPr>
              <w:spacing w:after="0" w:line="195" w:lineRule="exact"/>
              <w:rPr>
                <w:sz w:val="20"/>
                <w:szCs w:val="20"/>
                <w:color w:val="auto"/>
              </w:rPr>
            </w:pPr>
            <w:r>
              <w:rPr>
                <w:rFonts w:ascii="Arial" w:cs="Arial" w:eastAsia="Arial" w:hAnsi="Arial"/>
                <w:sz w:val="22"/>
                <w:szCs w:val="22"/>
                <w:color w:val="auto"/>
                <w:w w:val="87"/>
              </w:rPr>
              <w:t>Authorizations</w:t>
            </w:r>
          </w:p>
        </w:tc>
        <w:tc>
          <w:tcPr>
            <w:tcW w:w="2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1"/>
              </w:rPr>
              <w:t>86</w:t>
            </w:r>
          </w:p>
        </w:tc>
        <w:tc>
          <w:tcPr>
            <w:tcW w:w="260" w:type="dxa"/>
            <w:vAlign w:val="bottom"/>
            <w:gridSpan w:val="3"/>
          </w:tcPr>
          <w:p>
            <w:pPr>
              <w:jc w:val="right"/>
              <w:ind w:right="40"/>
              <w:spacing w:after="0" w:line="195" w:lineRule="exact"/>
              <w:rPr>
                <w:sz w:val="20"/>
                <w:szCs w:val="20"/>
                <w:color w:val="auto"/>
              </w:rPr>
            </w:pPr>
            <w:r>
              <w:rPr>
                <w:rFonts w:ascii="Arial" w:cs="Arial" w:eastAsia="Arial" w:hAnsi="Arial"/>
                <w:sz w:val="22"/>
                <w:szCs w:val="22"/>
                <w:color w:val="0000FF"/>
                <w:w w:val="81"/>
              </w:rPr>
              <w:t>90</w:t>
            </w:r>
          </w:p>
        </w:tc>
        <w:tc>
          <w:tcPr>
            <w:tcW w:w="3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7.21</w:t>
            </w:r>
          </w:p>
        </w:tc>
        <w:tc>
          <w:tcPr>
            <w:tcW w:w="1160" w:type="dxa"/>
            <w:vAlign w:val="bottom"/>
            <w:gridSpan w:val="3"/>
          </w:tcPr>
          <w:p>
            <w:pPr>
              <w:ind w:left="100"/>
              <w:spacing w:after="0" w:line="195" w:lineRule="exact"/>
              <w:rPr>
                <w:sz w:val="20"/>
                <w:szCs w:val="20"/>
                <w:color w:val="auto"/>
              </w:rPr>
            </w:pPr>
            <w:r>
              <w:rPr>
                <w:rFonts w:ascii="Arial" w:cs="Arial" w:eastAsia="Arial" w:hAnsi="Arial"/>
                <w:sz w:val="22"/>
                <w:szCs w:val="22"/>
                <w:color w:val="auto"/>
                <w:w w:val="93"/>
              </w:rPr>
              <w:t>[Reserved]</w:t>
            </w:r>
          </w:p>
        </w:tc>
        <w:tc>
          <w:tcPr>
            <w:tcW w:w="3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rPr>
              <w:t>86</w:t>
            </w:r>
          </w:p>
        </w:tc>
        <w:tc>
          <w:tcPr>
            <w:tcW w:w="22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81"/>
              </w:rPr>
              <w:t>90</w:t>
            </w:r>
          </w:p>
        </w:tc>
        <w:tc>
          <w:tcPr>
            <w:tcW w:w="3300" w:type="dxa"/>
            <w:vAlign w:val="bottom"/>
            <w:gridSpan w:val="70"/>
          </w:tcPr>
          <w:p>
            <w:pPr>
              <w:spacing w:after="0"/>
              <w:rPr>
                <w:sz w:val="17"/>
                <w:szCs w:val="17"/>
                <w:color w:val="auto"/>
              </w:rPr>
            </w:pPr>
          </w:p>
        </w:tc>
        <w:tc>
          <w:tcPr>
            <w:tcW w:w="220" w:type="dxa"/>
            <w:vAlign w:val="bottom"/>
            <w:tcBorders>
              <w:top w:val="single" w:sz="8" w:color="0000FF"/>
            </w:tcBorders>
            <w:gridSpan w:val="2"/>
          </w:tcPr>
          <w:p>
            <w:pPr>
              <w:spacing w:after="0"/>
              <w:rPr>
                <w:sz w:val="17"/>
                <w:szCs w:val="17"/>
                <w:color w:val="auto"/>
              </w:rPr>
            </w:pPr>
          </w:p>
        </w:tc>
        <w:tc>
          <w:tcPr>
            <w:tcW w:w="1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7.22</w:t>
            </w:r>
          </w:p>
        </w:tc>
        <w:tc>
          <w:tcPr>
            <w:tcW w:w="1480" w:type="dxa"/>
            <w:vAlign w:val="bottom"/>
            <w:gridSpan w:val="7"/>
          </w:tcPr>
          <w:p>
            <w:pPr>
              <w:ind w:left="100"/>
              <w:spacing w:after="0" w:line="195" w:lineRule="exact"/>
              <w:rPr>
                <w:sz w:val="20"/>
                <w:szCs w:val="20"/>
                <w:color w:val="auto"/>
              </w:rPr>
            </w:pPr>
            <w:r>
              <w:rPr>
                <w:rFonts w:ascii="Arial" w:cs="Arial" w:eastAsia="Arial" w:hAnsi="Arial"/>
                <w:sz w:val="22"/>
                <w:szCs w:val="22"/>
                <w:color w:val="auto"/>
                <w:w w:val="98"/>
              </w:rPr>
              <w:t>Contractual or</w:t>
            </w:r>
          </w:p>
        </w:tc>
        <w:tc>
          <w:tcPr>
            <w:tcW w:w="1580" w:type="dxa"/>
            <w:vAlign w:val="bottom"/>
            <w:gridSpan w:val="34"/>
          </w:tcPr>
          <w:p>
            <w:pPr>
              <w:jc w:val="center"/>
              <w:spacing w:after="0" w:line="195" w:lineRule="exact"/>
              <w:rPr>
                <w:sz w:val="20"/>
                <w:szCs w:val="20"/>
                <w:color w:val="auto"/>
              </w:rPr>
            </w:pPr>
            <w:r>
              <w:rPr>
                <w:rFonts w:ascii="Arial" w:cs="Arial" w:eastAsia="Arial" w:hAnsi="Arial"/>
                <w:sz w:val="22"/>
                <w:szCs w:val="22"/>
                <w:color w:val="auto"/>
                <w:w w:val="85"/>
              </w:rPr>
              <w:t>Other Restrictions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73"/>
              </w:rPr>
              <w:t>86</w:t>
            </w:r>
          </w:p>
        </w:tc>
        <w:tc>
          <w:tcPr>
            <w:tcW w:w="240" w:type="dxa"/>
            <w:vAlign w:val="bottom"/>
            <w:gridSpan w:val="8"/>
          </w:tcPr>
          <w:p>
            <w:pPr>
              <w:jc w:val="right"/>
              <w:ind w:right="20"/>
              <w:spacing w:after="0" w:line="195" w:lineRule="exact"/>
              <w:rPr>
                <w:sz w:val="20"/>
                <w:szCs w:val="20"/>
                <w:color w:val="auto"/>
              </w:rPr>
            </w:pPr>
            <w:r>
              <w:rPr>
                <w:rFonts w:ascii="Arial" w:cs="Arial" w:eastAsia="Arial" w:hAnsi="Arial"/>
                <w:sz w:val="22"/>
                <w:szCs w:val="22"/>
                <w:color w:val="0000FF"/>
                <w:w w:val="81"/>
              </w:rPr>
              <w:t>90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7.23</w:t>
            </w:r>
          </w:p>
        </w:tc>
        <w:tc>
          <w:tcPr>
            <w:tcW w:w="1160" w:type="dxa"/>
            <w:vAlign w:val="bottom"/>
            <w:gridSpan w:val="3"/>
          </w:tcPr>
          <w:p>
            <w:pPr>
              <w:ind w:left="100"/>
              <w:spacing w:after="0" w:line="195" w:lineRule="exact"/>
              <w:rPr>
                <w:sz w:val="20"/>
                <w:szCs w:val="20"/>
                <w:color w:val="auto"/>
              </w:rPr>
            </w:pPr>
            <w:r>
              <w:rPr>
                <w:rFonts w:ascii="Arial" w:cs="Arial" w:eastAsia="Arial" w:hAnsi="Arial"/>
                <w:sz w:val="22"/>
                <w:szCs w:val="22"/>
                <w:color w:val="auto"/>
                <w:w w:val="90"/>
              </w:rPr>
              <w:t>No Brokers</w:t>
            </w:r>
          </w:p>
        </w:tc>
        <w:tc>
          <w:tcPr>
            <w:tcW w:w="38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rPr>
              <w:t>86</w:t>
            </w:r>
          </w:p>
        </w:tc>
        <w:tc>
          <w:tcPr>
            <w:tcW w:w="1860" w:type="dxa"/>
            <w:vAlign w:val="bottom"/>
            <w:gridSpan w:val="45"/>
          </w:tcPr>
          <w:p>
            <w:pPr>
              <w:jc w:val="right"/>
              <w:ind w:right="1532"/>
              <w:spacing w:after="0" w:line="195" w:lineRule="exact"/>
              <w:rPr>
                <w:sz w:val="20"/>
                <w:szCs w:val="20"/>
                <w:color w:val="auto"/>
              </w:rPr>
            </w:pPr>
            <w:r>
              <w:rPr>
                <w:rFonts w:ascii="Arial" w:cs="Arial" w:eastAsia="Arial" w:hAnsi="Arial"/>
                <w:sz w:val="22"/>
                <w:szCs w:val="22"/>
                <w:color w:val="0000FF"/>
                <w:w w:val="81"/>
              </w:rPr>
              <w:t>90</w:t>
            </w:r>
          </w:p>
        </w:tc>
        <w:tc>
          <w:tcPr>
            <w:tcW w:w="220" w:type="dxa"/>
            <w:vAlign w:val="bottom"/>
            <w:tcBorders>
              <w:top w:val="single" w:sz="8" w:color="0000FF"/>
            </w:tcBorders>
            <w:gridSpan w:val="7"/>
          </w:tcPr>
          <w:p>
            <w:pPr>
              <w:spacing w:after="0"/>
              <w:rPr>
                <w:sz w:val="17"/>
                <w:szCs w:val="17"/>
                <w:color w:val="auto"/>
              </w:rPr>
            </w:pPr>
          </w:p>
        </w:tc>
        <w:tc>
          <w:tcPr>
            <w:tcW w:w="29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7.24</w:t>
            </w:r>
          </w:p>
        </w:tc>
        <w:tc>
          <w:tcPr>
            <w:tcW w:w="112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Insurance</w:t>
            </w:r>
          </w:p>
        </w:tc>
        <w:tc>
          <w:tcPr>
            <w:tcW w:w="26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97"/>
              </w:rPr>
              <w:t>86</w:t>
            </w:r>
          </w:p>
        </w:tc>
        <w:tc>
          <w:tcPr>
            <w:tcW w:w="160" w:type="dxa"/>
            <w:vAlign w:val="bottom"/>
            <w:tcBorders>
              <w:bottom w:val="single" w:sz="8" w:color="0000FF"/>
            </w:tcBorders>
            <w:gridSpan w:val="4"/>
          </w:tcPr>
          <w:p>
            <w:pPr>
              <w:jc w:val="right"/>
              <w:spacing w:after="0"/>
              <w:rPr>
                <w:sz w:val="20"/>
                <w:szCs w:val="20"/>
                <w:color w:val="auto"/>
              </w:rPr>
            </w:pPr>
            <w:r>
              <w:rPr>
                <w:rFonts w:ascii="Arial" w:cs="Arial" w:eastAsia="Arial" w:hAnsi="Arial"/>
                <w:sz w:val="17"/>
                <w:szCs w:val="17"/>
                <w:color w:val="0000FF"/>
                <w:w w:val="73"/>
              </w:rPr>
              <w:t>91</w:t>
            </w:r>
          </w:p>
        </w:tc>
        <w:tc>
          <w:tcPr>
            <w:tcW w:w="60" w:type="dxa"/>
            <w:vAlign w:val="bottom"/>
            <w:tcBorders>
              <w:top w:val="single" w:sz="8" w:color="0000FF"/>
              <w:bottom w:val="single" w:sz="8" w:color="0000FF"/>
            </w:tcBorders>
            <w:gridSpan w:val="2"/>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4740" w:type="dxa"/>
            <w:vAlign w:val="bottom"/>
            <w:gridSpan w:val="8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7.25</w:t>
            </w:r>
          </w:p>
        </w:tc>
        <w:tc>
          <w:tcPr>
            <w:tcW w:w="1600" w:type="dxa"/>
            <w:vAlign w:val="bottom"/>
            <w:gridSpan w:val="11"/>
          </w:tcPr>
          <w:p>
            <w:pPr>
              <w:ind w:left="100"/>
              <w:spacing w:after="0" w:line="195" w:lineRule="exact"/>
              <w:rPr>
                <w:sz w:val="20"/>
                <w:szCs w:val="20"/>
                <w:color w:val="auto"/>
              </w:rPr>
            </w:pPr>
            <w:r>
              <w:rPr>
                <w:rFonts w:ascii="Arial" w:cs="Arial" w:eastAsia="Arial" w:hAnsi="Arial"/>
                <w:sz w:val="22"/>
                <w:szCs w:val="22"/>
                <w:color w:val="auto"/>
                <w:w w:val="84"/>
              </w:rPr>
              <w:t>Evidence of Other</w:t>
            </w:r>
          </w:p>
        </w:tc>
        <w:tc>
          <w:tcPr>
            <w:tcW w:w="120" w:type="dxa"/>
            <w:vAlign w:val="bottom"/>
            <w:gridSpan w:val="2"/>
          </w:tcPr>
          <w:p>
            <w:pPr>
              <w:spacing w:after="0"/>
              <w:rPr>
                <w:sz w:val="17"/>
                <w:szCs w:val="17"/>
                <w:color w:val="auto"/>
              </w:rPr>
            </w:pPr>
          </w:p>
        </w:tc>
        <w:tc>
          <w:tcPr>
            <w:tcW w:w="1180" w:type="dxa"/>
            <w:vAlign w:val="bottom"/>
            <w:gridSpan w:val="25"/>
          </w:tcPr>
          <w:p>
            <w:pPr>
              <w:ind w:left="20"/>
              <w:spacing w:after="0" w:line="195" w:lineRule="exact"/>
              <w:rPr>
                <w:sz w:val="20"/>
                <w:szCs w:val="20"/>
                <w:color w:val="auto"/>
              </w:rPr>
            </w:pPr>
            <w:r>
              <w:rPr>
                <w:rFonts w:ascii="Arial" w:cs="Arial" w:eastAsia="Arial" w:hAnsi="Arial"/>
                <w:sz w:val="22"/>
                <w:szCs w:val="22"/>
                <w:color w:val="auto"/>
                <w:w w:val="86"/>
              </w:rPr>
              <w:t>Indebtedness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1"/>
              </w:rPr>
              <w:t>86</w:t>
            </w:r>
          </w:p>
        </w:tc>
        <w:tc>
          <w:tcPr>
            <w:tcW w:w="260" w:type="dxa"/>
            <w:vAlign w:val="bottom"/>
            <w:gridSpan w:val="9"/>
          </w:tcPr>
          <w:p>
            <w:pPr>
              <w:jc w:val="right"/>
              <w:spacing w:after="0" w:line="195" w:lineRule="exact"/>
              <w:rPr>
                <w:sz w:val="20"/>
                <w:szCs w:val="20"/>
                <w:color w:val="auto"/>
              </w:rPr>
            </w:pPr>
            <w:r>
              <w:rPr>
                <w:rFonts w:ascii="Arial" w:cs="Arial" w:eastAsia="Arial" w:hAnsi="Arial"/>
                <w:sz w:val="22"/>
                <w:szCs w:val="22"/>
                <w:color w:val="0000FF"/>
                <w:w w:val="73"/>
              </w:rPr>
              <w:t>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7.26</w:t>
            </w:r>
          </w:p>
        </w:tc>
        <w:tc>
          <w:tcPr>
            <w:tcW w:w="3320" w:type="dxa"/>
            <w:vAlign w:val="bottom"/>
            <w:gridSpan w:val="50"/>
          </w:tcPr>
          <w:p>
            <w:pPr>
              <w:ind w:left="100"/>
              <w:spacing w:after="0" w:line="195" w:lineRule="exact"/>
              <w:rPr>
                <w:sz w:val="20"/>
                <w:szCs w:val="20"/>
                <w:color w:val="auto"/>
              </w:rPr>
            </w:pPr>
            <w:r>
              <w:rPr>
                <w:rFonts w:ascii="Arial" w:cs="Arial" w:eastAsia="Arial" w:hAnsi="Arial"/>
                <w:sz w:val="22"/>
                <w:szCs w:val="22"/>
                <w:color w:val="auto"/>
                <w:w w:val="84"/>
              </w:rPr>
              <w:t>Deposit Accounts, Securities Accounts</w:t>
            </w: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20" w:type="dxa"/>
            <w:vAlign w:val="bottom"/>
            <w:gridSpan w:val="31"/>
          </w:tcPr>
          <w:p>
            <w:pPr>
              <w:spacing w:after="0" w:line="195" w:lineRule="exact"/>
              <w:rPr>
                <w:sz w:val="20"/>
                <w:szCs w:val="20"/>
                <w:color w:val="auto"/>
              </w:rPr>
            </w:pPr>
            <w:r>
              <w:rPr>
                <w:rFonts w:ascii="Arial" w:cs="Arial" w:eastAsia="Arial" w:hAnsi="Arial"/>
                <w:sz w:val="22"/>
                <w:szCs w:val="22"/>
                <w:color w:val="auto"/>
                <w:w w:val="95"/>
              </w:rPr>
              <w:t>and Commodity Accounts</w:t>
            </w:r>
          </w:p>
        </w:tc>
        <w:tc>
          <w:tcPr>
            <w:tcW w:w="2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87</w:t>
            </w:r>
          </w:p>
        </w:tc>
        <w:tc>
          <w:tcPr>
            <w:tcW w:w="320" w:type="dxa"/>
            <w:vAlign w:val="bottom"/>
            <w:gridSpan w:val="4"/>
          </w:tcPr>
          <w:p>
            <w:pPr>
              <w:jc w:val="right"/>
              <w:ind w:right="120"/>
              <w:spacing w:after="0" w:line="195" w:lineRule="exact"/>
              <w:rPr>
                <w:sz w:val="20"/>
                <w:szCs w:val="20"/>
                <w:color w:val="auto"/>
              </w:rPr>
            </w:pPr>
            <w:r>
              <w:rPr>
                <w:rFonts w:ascii="Arial" w:cs="Arial" w:eastAsia="Arial" w:hAnsi="Arial"/>
                <w:sz w:val="22"/>
                <w:szCs w:val="22"/>
                <w:color w:val="0000FF"/>
                <w:w w:val="73"/>
              </w:rPr>
              <w:t>91</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7.27</w:t>
            </w:r>
          </w:p>
        </w:tc>
        <w:tc>
          <w:tcPr>
            <w:tcW w:w="1820" w:type="dxa"/>
            <w:vAlign w:val="bottom"/>
            <w:gridSpan w:val="17"/>
          </w:tcPr>
          <w:p>
            <w:pPr>
              <w:ind w:left="100"/>
              <w:spacing w:after="0" w:line="195" w:lineRule="exact"/>
              <w:rPr>
                <w:sz w:val="20"/>
                <w:szCs w:val="20"/>
                <w:color w:val="auto"/>
              </w:rPr>
            </w:pPr>
            <w:r>
              <w:rPr>
                <w:rFonts w:ascii="Arial" w:cs="Arial" w:eastAsia="Arial" w:hAnsi="Arial"/>
                <w:sz w:val="22"/>
                <w:szCs w:val="22"/>
                <w:color w:val="auto"/>
                <w:w w:val="94"/>
              </w:rPr>
              <w:t>Principal Business</w:t>
            </w:r>
          </w:p>
        </w:tc>
        <w:tc>
          <w:tcPr>
            <w:tcW w:w="3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rPr>
              <w:t>87</w:t>
            </w:r>
          </w:p>
        </w:tc>
        <w:tc>
          <w:tcPr>
            <w:tcW w:w="220" w:type="dxa"/>
            <w:vAlign w:val="bottom"/>
            <w:tcBorders>
              <w:bottom w:val="single" w:sz="8" w:color="0000FF"/>
            </w:tcBorders>
            <w:gridSpan w:val="6"/>
          </w:tcPr>
          <w:p>
            <w:pPr>
              <w:jc w:val="right"/>
              <w:spacing w:after="0" w:line="195" w:lineRule="exact"/>
              <w:rPr>
                <w:sz w:val="20"/>
                <w:szCs w:val="20"/>
                <w:color w:val="auto"/>
              </w:rPr>
            </w:pPr>
            <w:r>
              <w:rPr>
                <w:rFonts w:ascii="Arial" w:cs="Arial" w:eastAsia="Arial" w:hAnsi="Arial"/>
                <w:sz w:val="22"/>
                <w:szCs w:val="22"/>
                <w:color w:val="0000FF"/>
                <w:w w:val="81"/>
              </w:rPr>
              <w:t>91</w:t>
            </w:r>
          </w:p>
        </w:tc>
        <w:tc>
          <w:tcPr>
            <w:tcW w:w="3840" w:type="dxa"/>
            <w:vAlign w:val="bottom"/>
            <w:gridSpan w:val="65"/>
          </w:tcPr>
          <w:p>
            <w:pPr>
              <w:spacing w:after="0"/>
              <w:rPr>
                <w:sz w:val="17"/>
                <w:szCs w:val="17"/>
                <w:color w:val="auto"/>
              </w:rPr>
            </w:pPr>
          </w:p>
        </w:tc>
        <w:tc>
          <w:tcPr>
            <w:tcW w:w="200" w:type="dxa"/>
            <w:vAlign w:val="bottom"/>
            <w:tcBorders>
              <w:top w:val="single" w:sz="8" w:color="0000FF"/>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7.28</w:t>
            </w:r>
          </w:p>
        </w:tc>
        <w:tc>
          <w:tcPr>
            <w:tcW w:w="2360" w:type="dxa"/>
            <w:vAlign w:val="bottom"/>
            <w:gridSpan w:val="26"/>
          </w:tcPr>
          <w:p>
            <w:pPr>
              <w:ind w:left="100"/>
              <w:spacing w:after="0" w:line="195" w:lineRule="exact"/>
              <w:rPr>
                <w:sz w:val="20"/>
                <w:szCs w:val="20"/>
                <w:color w:val="auto"/>
              </w:rPr>
            </w:pPr>
            <w:r>
              <w:rPr>
                <w:rFonts w:ascii="Arial" w:cs="Arial" w:eastAsia="Arial" w:hAnsi="Arial"/>
                <w:sz w:val="22"/>
                <w:szCs w:val="22"/>
                <w:color w:val="auto"/>
                <w:w w:val="80"/>
              </w:rPr>
              <w:t>Absence of any Undisclosed</w:t>
            </w:r>
          </w:p>
        </w:tc>
        <w:tc>
          <w:tcPr>
            <w:tcW w:w="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100" w:type="dxa"/>
            <w:vAlign w:val="bottom"/>
            <w:gridSpan w:val="33"/>
          </w:tcPr>
          <w:p>
            <w:pPr>
              <w:ind w:left="80"/>
              <w:spacing w:after="0" w:line="195" w:lineRule="exact"/>
              <w:rPr>
                <w:sz w:val="20"/>
                <w:szCs w:val="20"/>
                <w:color w:val="auto"/>
              </w:rPr>
            </w:pPr>
            <w:r>
              <w:rPr>
                <w:rFonts w:ascii="Arial" w:cs="Arial" w:eastAsia="Arial" w:hAnsi="Arial"/>
                <w:sz w:val="22"/>
                <w:szCs w:val="22"/>
                <w:color w:val="auto"/>
              </w:rPr>
              <w:t>Liabilities</w:t>
            </w:r>
          </w:p>
        </w:tc>
        <w:tc>
          <w:tcPr>
            <w:tcW w:w="60" w:type="dxa"/>
            <w:vAlign w:val="bottom"/>
          </w:tcPr>
          <w:p>
            <w:pPr>
              <w:spacing w:after="0"/>
              <w:rPr>
                <w:sz w:val="17"/>
                <w:szCs w:val="17"/>
                <w:color w:val="auto"/>
              </w:rPr>
            </w:pPr>
          </w:p>
        </w:tc>
        <w:tc>
          <w:tcPr>
            <w:tcW w:w="240" w:type="dxa"/>
            <w:vAlign w:val="bottom"/>
            <w:gridSpan w:val="6"/>
          </w:tcPr>
          <w:p>
            <w:pPr>
              <w:ind w:left="20"/>
              <w:spacing w:after="0" w:line="195" w:lineRule="exact"/>
              <w:rPr>
                <w:sz w:val="20"/>
                <w:szCs w:val="20"/>
                <w:color w:val="auto"/>
              </w:rPr>
            </w:pPr>
            <w:r>
              <w:rPr>
                <w:rFonts w:ascii="Arial" w:cs="Arial" w:eastAsia="Arial" w:hAnsi="Arial"/>
                <w:sz w:val="22"/>
                <w:szCs w:val="22"/>
                <w:color w:val="FF0000"/>
                <w:strike w:val="1"/>
                <w:w w:val="81"/>
              </w:rPr>
              <w:t>87</w:t>
            </w:r>
          </w:p>
        </w:tc>
        <w:tc>
          <w:tcPr>
            <w:tcW w:w="20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73"/>
              </w:rPr>
              <w:t>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7.29</w:t>
            </w:r>
          </w:p>
        </w:tc>
        <w:tc>
          <w:tcPr>
            <w:tcW w:w="3300" w:type="dxa"/>
            <w:vAlign w:val="bottom"/>
            <w:gridSpan w:val="49"/>
          </w:tcPr>
          <w:p>
            <w:pPr>
              <w:ind w:left="100"/>
              <w:spacing w:after="0" w:line="195" w:lineRule="exact"/>
              <w:rPr>
                <w:sz w:val="20"/>
                <w:szCs w:val="20"/>
                <w:color w:val="auto"/>
              </w:rPr>
            </w:pPr>
            <w:r>
              <w:rPr>
                <w:rFonts w:ascii="Arial" w:cs="Arial" w:eastAsia="Arial" w:hAnsi="Arial"/>
                <w:sz w:val="22"/>
                <w:szCs w:val="22"/>
                <w:color w:val="auto"/>
                <w:w w:val="91"/>
              </w:rPr>
              <w:t>Anti-Terrorism Laws; the Patriot Act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9"/>
          </w:tcPr>
          <w:p>
            <w:pPr>
              <w:ind w:left="40"/>
              <w:spacing w:after="0" w:line="195" w:lineRule="exact"/>
              <w:rPr>
                <w:sz w:val="20"/>
                <w:szCs w:val="20"/>
                <w:color w:val="auto"/>
              </w:rPr>
            </w:pPr>
            <w:r>
              <w:rPr>
                <w:rFonts w:ascii="Arial" w:cs="Arial" w:eastAsia="Arial" w:hAnsi="Arial"/>
                <w:sz w:val="22"/>
                <w:szCs w:val="22"/>
                <w:color w:val="FF0000"/>
                <w:strike w:val="1"/>
                <w:w w:val="81"/>
              </w:rPr>
              <w:t>87</w:t>
            </w:r>
          </w:p>
        </w:tc>
        <w:tc>
          <w:tcPr>
            <w:tcW w:w="22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81"/>
              </w:rPr>
              <w:t>91</w:t>
            </w:r>
          </w:p>
        </w:tc>
        <w:tc>
          <w:tcPr>
            <w:tcW w:w="20" w:type="dxa"/>
            <w:vAlign w:val="bottom"/>
            <w:tcBorders>
              <w:bottom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7.30</w:t>
            </w:r>
          </w:p>
        </w:tc>
        <w:tc>
          <w:tcPr>
            <w:tcW w:w="2540" w:type="dxa"/>
            <w:vAlign w:val="bottom"/>
            <w:gridSpan w:val="29"/>
          </w:tcPr>
          <w:p>
            <w:pPr>
              <w:ind w:left="100"/>
              <w:spacing w:after="0" w:line="195" w:lineRule="exact"/>
              <w:rPr>
                <w:sz w:val="20"/>
                <w:szCs w:val="20"/>
                <w:color w:val="auto"/>
              </w:rPr>
            </w:pPr>
            <w:r>
              <w:rPr>
                <w:rFonts w:ascii="Arial" w:cs="Arial" w:eastAsia="Arial" w:hAnsi="Arial"/>
                <w:sz w:val="22"/>
                <w:szCs w:val="22"/>
                <w:color w:val="auto"/>
                <w:w w:val="90"/>
              </w:rPr>
              <w:t>Economic Sanctions/OFAC</w:t>
            </w: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2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81"/>
              </w:rPr>
              <w:t>88</w:t>
            </w:r>
          </w:p>
        </w:tc>
        <w:tc>
          <w:tcPr>
            <w:tcW w:w="240" w:type="dxa"/>
            <w:vAlign w:val="bottom"/>
            <w:gridSpan w:val="7"/>
          </w:tcPr>
          <w:p>
            <w:pPr>
              <w:spacing w:after="0" w:line="195" w:lineRule="exact"/>
              <w:rPr>
                <w:sz w:val="20"/>
                <w:szCs w:val="20"/>
                <w:color w:val="auto"/>
              </w:rPr>
            </w:pPr>
            <w:r>
              <w:rPr>
                <w:rFonts w:ascii="Arial" w:cs="Arial" w:eastAsia="Arial" w:hAnsi="Arial"/>
                <w:sz w:val="22"/>
                <w:szCs w:val="22"/>
                <w:color w:val="0000FF"/>
                <w:w w:val="89"/>
              </w:rPr>
              <w:t>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7.31</w:t>
            </w:r>
          </w:p>
        </w:tc>
        <w:tc>
          <w:tcPr>
            <w:tcW w:w="2900" w:type="dxa"/>
            <w:vAlign w:val="bottom"/>
            <w:gridSpan w:val="38"/>
          </w:tcPr>
          <w:p>
            <w:pPr>
              <w:ind w:left="100"/>
              <w:spacing w:after="0" w:line="195" w:lineRule="exact"/>
              <w:rPr>
                <w:sz w:val="20"/>
                <w:szCs w:val="20"/>
                <w:color w:val="auto"/>
              </w:rPr>
            </w:pPr>
            <w:r>
              <w:rPr>
                <w:rFonts w:ascii="Arial" w:cs="Arial" w:eastAsia="Arial" w:hAnsi="Arial"/>
                <w:sz w:val="22"/>
                <w:szCs w:val="22"/>
                <w:color w:val="auto"/>
                <w:w w:val="96"/>
              </w:rPr>
              <w:t>Foreign Corrupt Practices Act</w:t>
            </w:r>
          </w:p>
        </w:tc>
        <w:tc>
          <w:tcPr>
            <w:tcW w:w="20" w:type="dxa"/>
            <w:vAlign w:val="bottom"/>
          </w:tcPr>
          <w:p>
            <w:pPr>
              <w:spacing w:after="0"/>
              <w:rPr>
                <w:sz w:val="17"/>
                <w:szCs w:val="17"/>
                <w:color w:val="auto"/>
              </w:rPr>
            </w:pPr>
          </w:p>
        </w:tc>
        <w:tc>
          <w:tcPr>
            <w:tcW w:w="200" w:type="dxa"/>
            <w:vAlign w:val="bottom"/>
            <w:tcBorders>
              <w:top w:val="single" w:sz="8" w:color="0000FF"/>
            </w:tcBorders>
            <w:gridSpan w:val="5"/>
          </w:tcPr>
          <w:p>
            <w:pPr>
              <w:spacing w:after="0" w:line="195" w:lineRule="exact"/>
              <w:rPr>
                <w:sz w:val="20"/>
                <w:szCs w:val="20"/>
                <w:color w:val="auto"/>
              </w:rPr>
            </w:pPr>
            <w:r>
              <w:rPr>
                <w:rFonts w:ascii="Arial" w:cs="Arial" w:eastAsia="Arial" w:hAnsi="Arial"/>
                <w:sz w:val="22"/>
                <w:szCs w:val="22"/>
                <w:color w:val="FF0000"/>
                <w:strike w:val="1"/>
                <w:w w:val="73"/>
              </w:rPr>
              <w:t>88</w:t>
            </w:r>
          </w:p>
        </w:tc>
        <w:tc>
          <w:tcPr>
            <w:tcW w:w="20" w:type="dxa"/>
            <w:vAlign w:val="bottom"/>
            <w:tcBorders>
              <w:top w:val="single" w:sz="8" w:color="0000FF"/>
              <w:bottom w:val="single" w:sz="8" w:color="0000FF"/>
            </w:tcBorders>
          </w:tcPr>
          <w:p>
            <w:pPr>
              <w:spacing w:after="0"/>
              <w:rPr>
                <w:sz w:val="17"/>
                <w:szCs w:val="17"/>
                <w:color w:val="auto"/>
              </w:rPr>
            </w:pPr>
          </w:p>
        </w:tc>
        <w:tc>
          <w:tcPr>
            <w:tcW w:w="200" w:type="dxa"/>
            <w:vAlign w:val="bottom"/>
            <w:tcBorders>
              <w:bottom w:val="single" w:sz="8" w:color="0000FF"/>
            </w:tcBorders>
            <w:gridSpan w:val="6"/>
          </w:tcPr>
          <w:p>
            <w:pPr>
              <w:jc w:val="right"/>
              <w:spacing w:after="0" w:line="195" w:lineRule="exact"/>
              <w:rPr>
                <w:sz w:val="20"/>
                <w:szCs w:val="20"/>
                <w:color w:val="auto"/>
              </w:rPr>
            </w:pPr>
            <w:r>
              <w:rPr>
                <w:rFonts w:ascii="Arial" w:cs="Arial" w:eastAsia="Arial" w:hAnsi="Arial"/>
                <w:sz w:val="22"/>
                <w:szCs w:val="22"/>
                <w:color w:val="0000FF"/>
                <w:w w:val="73"/>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7.32</w:t>
            </w:r>
          </w:p>
        </w:tc>
        <w:tc>
          <w:tcPr>
            <w:tcW w:w="5820" w:type="dxa"/>
            <w:vAlign w:val="bottom"/>
            <w:gridSpan w:val="88"/>
          </w:tcPr>
          <w:p>
            <w:pPr>
              <w:ind w:left="100"/>
              <w:spacing w:after="0" w:line="195" w:lineRule="exact"/>
              <w:rPr>
                <w:sz w:val="20"/>
                <w:szCs w:val="20"/>
                <w:color w:val="auto"/>
              </w:rPr>
            </w:pPr>
            <w:r>
              <w:rPr>
                <w:rFonts w:ascii="Arial" w:cs="Arial" w:eastAsia="Arial" w:hAnsi="Arial"/>
                <w:sz w:val="22"/>
                <w:szCs w:val="22"/>
                <w:color w:val="auto"/>
                <w:w w:val="92"/>
              </w:rPr>
              <w:t>Material Contracts; Customer Contracts; No Hedging Contracts</w:t>
            </w:r>
          </w:p>
        </w:tc>
        <w:tc>
          <w:tcPr>
            <w:tcW w:w="2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88</w:t>
            </w:r>
          </w:p>
        </w:tc>
        <w:tc>
          <w:tcPr>
            <w:tcW w:w="260" w:type="dxa"/>
            <w:vAlign w:val="bottom"/>
            <w:gridSpan w:val="3"/>
          </w:tcPr>
          <w:p>
            <w:pPr>
              <w:jc w:val="right"/>
              <w:ind w:right="40"/>
              <w:spacing w:after="0" w:line="195" w:lineRule="exact"/>
              <w:rPr>
                <w:sz w:val="20"/>
                <w:szCs w:val="20"/>
                <w:color w:val="auto"/>
              </w:rPr>
            </w:pPr>
            <w:r>
              <w:rPr>
                <w:rFonts w:ascii="Arial" w:cs="Arial" w:eastAsia="Arial" w:hAnsi="Arial"/>
                <w:sz w:val="22"/>
                <w:szCs w:val="22"/>
                <w:color w:val="0000FF"/>
                <w:w w:val="81"/>
              </w:rPr>
              <w:t>92</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7.33</w:t>
            </w:r>
          </w:p>
        </w:tc>
        <w:tc>
          <w:tcPr>
            <w:tcW w:w="2200" w:type="dxa"/>
            <w:vAlign w:val="bottom"/>
            <w:gridSpan w:val="21"/>
          </w:tcPr>
          <w:p>
            <w:pPr>
              <w:ind w:left="100"/>
              <w:spacing w:after="0" w:line="195" w:lineRule="exact"/>
              <w:rPr>
                <w:sz w:val="20"/>
                <w:szCs w:val="20"/>
                <w:color w:val="auto"/>
              </w:rPr>
            </w:pPr>
            <w:r>
              <w:rPr>
                <w:rFonts w:ascii="Arial" w:cs="Arial" w:eastAsia="Arial" w:hAnsi="Arial"/>
                <w:sz w:val="22"/>
                <w:szCs w:val="22"/>
                <w:color w:val="auto"/>
              </w:rPr>
              <w:t>Affiliate Transactions</w:t>
            </w:r>
          </w:p>
        </w:tc>
        <w:tc>
          <w:tcPr>
            <w:tcW w:w="20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73"/>
              </w:rPr>
              <w:t>89</w:t>
            </w:r>
          </w:p>
        </w:tc>
        <w:tc>
          <w:tcPr>
            <w:tcW w:w="2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93</w:t>
            </w:r>
          </w:p>
        </w:tc>
        <w:tc>
          <w:tcPr>
            <w:tcW w:w="3420" w:type="dxa"/>
            <w:vAlign w:val="bottom"/>
            <w:gridSpan w:val="60"/>
          </w:tcPr>
          <w:p>
            <w:pPr>
              <w:spacing w:after="0"/>
              <w:rPr>
                <w:sz w:val="17"/>
                <w:szCs w:val="17"/>
                <w:color w:val="auto"/>
              </w:rPr>
            </w:pPr>
          </w:p>
        </w:tc>
        <w:tc>
          <w:tcPr>
            <w:tcW w:w="220" w:type="dxa"/>
            <w:vAlign w:val="bottom"/>
            <w:tcBorders>
              <w:top w:val="single" w:sz="8" w:color="0000FF"/>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7.34</w:t>
            </w:r>
          </w:p>
        </w:tc>
        <w:tc>
          <w:tcPr>
            <w:tcW w:w="3300" w:type="dxa"/>
            <w:vAlign w:val="bottom"/>
            <w:gridSpan w:val="49"/>
          </w:tcPr>
          <w:p>
            <w:pPr>
              <w:ind w:left="100"/>
              <w:spacing w:after="0" w:line="195" w:lineRule="exact"/>
              <w:rPr>
                <w:sz w:val="20"/>
                <w:szCs w:val="20"/>
                <w:color w:val="auto"/>
              </w:rPr>
            </w:pPr>
            <w:r>
              <w:rPr>
                <w:rFonts w:ascii="Arial" w:cs="Arial" w:eastAsia="Arial" w:hAnsi="Arial"/>
                <w:sz w:val="22"/>
                <w:szCs w:val="22"/>
                <w:color w:val="auto"/>
                <w:w w:val="95"/>
              </w:rPr>
              <w:t>Collective Bargaining Agreements</w:t>
            </w:r>
          </w:p>
        </w:tc>
        <w:tc>
          <w:tcPr>
            <w:tcW w:w="20" w:type="dxa"/>
            <w:vAlign w:val="bottom"/>
          </w:tcPr>
          <w:p>
            <w:pPr>
              <w:spacing w:after="0"/>
              <w:rPr>
                <w:sz w:val="17"/>
                <w:szCs w:val="17"/>
                <w:color w:val="auto"/>
              </w:rPr>
            </w:pPr>
          </w:p>
        </w:tc>
        <w:tc>
          <w:tcPr>
            <w:tcW w:w="260" w:type="dxa"/>
            <w:vAlign w:val="bottom"/>
            <w:gridSpan w:val="9"/>
          </w:tcPr>
          <w:p>
            <w:pPr>
              <w:jc w:val="right"/>
              <w:spacing w:after="0" w:line="195" w:lineRule="exact"/>
              <w:rPr>
                <w:sz w:val="20"/>
                <w:szCs w:val="20"/>
                <w:color w:val="auto"/>
              </w:rPr>
            </w:pPr>
            <w:r>
              <w:rPr>
                <w:rFonts w:ascii="Arial" w:cs="Arial" w:eastAsia="Arial" w:hAnsi="Arial"/>
                <w:sz w:val="22"/>
                <w:szCs w:val="22"/>
                <w:color w:val="FF0000"/>
                <w:strike w:val="1"/>
                <w:w w:val="73"/>
              </w:rPr>
              <w:t>89</w:t>
            </w:r>
          </w:p>
        </w:tc>
        <w:tc>
          <w:tcPr>
            <w:tcW w:w="160" w:type="dxa"/>
            <w:vAlign w:val="bottom"/>
            <w:tcBorders>
              <w:bottom w:val="single" w:sz="8" w:color="0000FF"/>
            </w:tcBorders>
            <w:gridSpan w:val="6"/>
          </w:tcPr>
          <w:p>
            <w:pPr>
              <w:jc w:val="right"/>
              <w:spacing w:after="0"/>
              <w:rPr>
                <w:sz w:val="20"/>
                <w:szCs w:val="20"/>
                <w:color w:val="auto"/>
              </w:rPr>
            </w:pPr>
            <w:r>
              <w:rPr>
                <w:rFonts w:ascii="Arial" w:cs="Arial" w:eastAsia="Arial" w:hAnsi="Arial"/>
                <w:sz w:val="17"/>
                <w:szCs w:val="17"/>
                <w:color w:val="0000FF"/>
                <w:w w:val="73"/>
              </w:rPr>
              <w:t>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7.35</w:t>
            </w:r>
          </w:p>
        </w:tc>
        <w:tc>
          <w:tcPr>
            <w:tcW w:w="2900" w:type="dxa"/>
            <w:vAlign w:val="bottom"/>
            <w:gridSpan w:val="38"/>
          </w:tcPr>
          <w:p>
            <w:pPr>
              <w:ind w:left="100"/>
              <w:spacing w:after="0" w:line="195" w:lineRule="exact"/>
              <w:rPr>
                <w:sz w:val="20"/>
                <w:szCs w:val="20"/>
                <w:color w:val="auto"/>
              </w:rPr>
            </w:pPr>
            <w:r>
              <w:rPr>
                <w:rFonts w:ascii="Arial" w:cs="Arial" w:eastAsia="Arial" w:hAnsi="Arial"/>
                <w:sz w:val="22"/>
                <w:szCs w:val="22"/>
                <w:color w:val="auto"/>
                <w:w w:val="89"/>
              </w:rPr>
              <w:t>Health Care Regulatory Matters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1"/>
              </w:rPr>
              <w:t>89</w:t>
            </w:r>
          </w:p>
        </w:tc>
        <w:tc>
          <w:tcPr>
            <w:tcW w:w="260" w:type="dxa"/>
            <w:vAlign w:val="bottom"/>
            <w:gridSpan w:val="9"/>
          </w:tcPr>
          <w:p>
            <w:pPr>
              <w:jc w:val="right"/>
              <w:spacing w:after="0" w:line="195" w:lineRule="exact"/>
              <w:rPr>
                <w:sz w:val="20"/>
                <w:szCs w:val="20"/>
                <w:color w:val="auto"/>
              </w:rPr>
            </w:pPr>
            <w:r>
              <w:rPr>
                <w:rFonts w:ascii="Arial" w:cs="Arial" w:eastAsia="Arial" w:hAnsi="Arial"/>
                <w:sz w:val="22"/>
                <w:szCs w:val="22"/>
                <w:color w:val="0000FF"/>
                <w:w w:val="73"/>
              </w:rPr>
              <w:t>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4520" w:type="dxa"/>
            <w:vAlign w:val="bottom"/>
            <w:gridSpan w:val="52"/>
          </w:tcPr>
          <w:p>
            <w:pPr>
              <w:spacing w:after="0"/>
              <w:rPr>
                <w:sz w:val="20"/>
                <w:szCs w:val="20"/>
                <w:color w:val="auto"/>
              </w:rPr>
            </w:pPr>
            <w:r>
              <w:rPr>
                <w:rFonts w:ascii="Arial" w:cs="Arial" w:eastAsia="Arial" w:hAnsi="Arial"/>
                <w:sz w:val="22"/>
                <w:szCs w:val="22"/>
                <w:color w:val="auto"/>
              </w:rPr>
              <w:t>Article VIII</w:t>
            </w:r>
          </w:p>
        </w:tc>
        <w:tc>
          <w:tcPr>
            <w:tcW w:w="240" w:type="dxa"/>
            <w:vAlign w:val="bottom"/>
            <w:tcBorders>
              <w:top w:val="single" w:sz="8" w:color="0000FF"/>
            </w:tcBorders>
            <w:gridSpan w:val="8"/>
          </w:tcPr>
          <w:p>
            <w:pPr>
              <w:spacing w:after="0"/>
              <w:rPr>
                <w:sz w:val="24"/>
                <w:szCs w:val="24"/>
                <w:color w:val="auto"/>
              </w:rPr>
            </w:pPr>
          </w:p>
        </w:tc>
        <w:tc>
          <w:tcPr>
            <w:tcW w:w="2960" w:type="dxa"/>
            <w:vAlign w:val="bottom"/>
            <w:gridSpan w:val="37"/>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20" w:type="dxa"/>
            <w:vAlign w:val="bottom"/>
            <w:tcBorders>
              <w:bottom w:val="single" w:sz="8" w:color="0000FF"/>
            </w:tcBorders>
          </w:tcPr>
          <w:p>
            <w:pPr>
              <w:spacing w:after="0"/>
              <w:rPr>
                <w:sz w:val="24"/>
                <w:szCs w:val="24"/>
                <w:color w:val="auto"/>
              </w:rPr>
            </w:pPr>
          </w:p>
        </w:tc>
        <w:tc>
          <w:tcPr>
            <w:tcW w:w="2800" w:type="dxa"/>
            <w:vAlign w:val="bottom"/>
            <w:gridSpan w:val="18"/>
          </w:tcPr>
          <w:p>
            <w:pPr>
              <w:spacing w:after="0"/>
              <w:rPr>
                <w:sz w:val="20"/>
                <w:szCs w:val="20"/>
                <w:color w:val="auto"/>
              </w:rPr>
            </w:pPr>
            <w:r>
              <w:rPr>
                <w:rFonts w:ascii="Arial" w:cs="Arial" w:eastAsia="Arial" w:hAnsi="Arial"/>
                <w:sz w:val="22"/>
                <w:szCs w:val="22"/>
                <w:color w:val="auto"/>
                <w:w w:val="96"/>
              </w:rPr>
              <w:t>AFFIRMATIVE COVENANTS</w:t>
            </w:r>
          </w:p>
        </w:tc>
        <w:tc>
          <w:tcPr>
            <w:tcW w:w="420" w:type="dxa"/>
            <w:vAlign w:val="bottom"/>
            <w:tcBorders>
              <w:bottom w:val="single" w:sz="8" w:color="0000FF"/>
            </w:tcBorders>
            <w:gridSpan w:val="5"/>
          </w:tcPr>
          <w:p>
            <w:pPr>
              <w:ind w:left="220"/>
              <w:spacing w:after="0"/>
              <w:rPr>
                <w:sz w:val="20"/>
                <w:szCs w:val="20"/>
                <w:color w:val="auto"/>
              </w:rPr>
            </w:pPr>
            <w:r>
              <w:rPr>
                <w:rFonts w:ascii="Arial" w:cs="Arial" w:eastAsia="Arial" w:hAnsi="Arial"/>
                <w:sz w:val="22"/>
                <w:szCs w:val="22"/>
                <w:color w:val="0000FF"/>
                <w:w w:val="73"/>
              </w:rPr>
              <w:t>95</w:t>
            </w:r>
          </w:p>
        </w:tc>
        <w:tc>
          <w:tcPr>
            <w:tcW w:w="4280" w:type="dxa"/>
            <w:vAlign w:val="bottom"/>
            <w:gridSpan w:val="7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22"/>
                <w:szCs w:val="22"/>
                <w:color w:val="auto"/>
                <w:w w:val="96"/>
              </w:rPr>
              <w:t>Section 8.01</w:t>
            </w:r>
          </w:p>
        </w:tc>
        <w:tc>
          <w:tcPr>
            <w:tcW w:w="5980" w:type="dxa"/>
            <w:vAlign w:val="bottom"/>
            <w:gridSpan w:val="89"/>
          </w:tcPr>
          <w:p>
            <w:pPr>
              <w:ind w:left="100"/>
              <w:spacing w:after="0"/>
              <w:rPr>
                <w:sz w:val="20"/>
                <w:szCs w:val="20"/>
                <w:color w:val="auto"/>
              </w:rPr>
            </w:pPr>
            <w:r>
              <w:rPr>
                <w:rFonts w:ascii="Arial" w:cs="Arial" w:eastAsia="Arial" w:hAnsi="Arial"/>
                <w:sz w:val="22"/>
                <w:szCs w:val="22"/>
                <w:color w:val="auto"/>
                <w:w w:val="92"/>
              </w:rPr>
              <w:t>Financial Information, Reports, Certificates and Other Information</w:t>
            </w: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22"/>
                <w:szCs w:val="22"/>
                <w:color w:val="FF0000"/>
                <w:strike w:val="1"/>
                <w:w w:val="97"/>
              </w:rPr>
              <w:t>91</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8.02</w:t>
            </w:r>
          </w:p>
        </w:tc>
        <w:tc>
          <w:tcPr>
            <w:tcW w:w="2900" w:type="dxa"/>
            <w:vAlign w:val="bottom"/>
            <w:gridSpan w:val="38"/>
          </w:tcPr>
          <w:p>
            <w:pPr>
              <w:ind w:left="100"/>
              <w:spacing w:after="0" w:line="195" w:lineRule="exact"/>
              <w:rPr>
                <w:sz w:val="20"/>
                <w:szCs w:val="20"/>
                <w:color w:val="auto"/>
              </w:rPr>
            </w:pPr>
            <w:r>
              <w:rPr>
                <w:rFonts w:ascii="Arial" w:cs="Arial" w:eastAsia="Arial" w:hAnsi="Arial"/>
                <w:sz w:val="22"/>
                <w:szCs w:val="22"/>
                <w:color w:val="auto"/>
                <w:w w:val="88"/>
              </w:rPr>
              <w:t>Books, Records and Inspections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1"/>
              </w:rPr>
              <w:t>95</w:t>
            </w:r>
          </w:p>
        </w:tc>
        <w:tc>
          <w:tcPr>
            <w:tcW w:w="260" w:type="dxa"/>
            <w:vAlign w:val="bottom"/>
            <w:tcBorders>
              <w:bottom w:val="single" w:sz="8" w:color="0000FF"/>
            </w:tcBorders>
            <w:gridSpan w:val="9"/>
          </w:tcPr>
          <w:p>
            <w:pPr>
              <w:jc w:val="right"/>
              <w:spacing w:after="0" w:line="195" w:lineRule="exact"/>
              <w:rPr>
                <w:sz w:val="20"/>
                <w:szCs w:val="20"/>
                <w:color w:val="auto"/>
              </w:rPr>
            </w:pPr>
            <w:r>
              <w:rPr>
                <w:rFonts w:ascii="Arial" w:cs="Arial" w:eastAsia="Arial" w:hAnsi="Arial"/>
                <w:sz w:val="22"/>
                <w:szCs w:val="22"/>
                <w:color w:val="0000FF"/>
                <w:w w:val="73"/>
              </w:rPr>
              <w:t>99</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8.03</w:t>
            </w:r>
          </w:p>
        </w:tc>
        <w:tc>
          <w:tcPr>
            <w:tcW w:w="2540" w:type="dxa"/>
            <w:vAlign w:val="bottom"/>
            <w:gridSpan w:val="29"/>
          </w:tcPr>
          <w:p>
            <w:pPr>
              <w:ind w:left="100"/>
              <w:spacing w:after="0" w:line="195" w:lineRule="exact"/>
              <w:rPr>
                <w:sz w:val="20"/>
                <w:szCs w:val="20"/>
                <w:color w:val="auto"/>
              </w:rPr>
            </w:pPr>
            <w:r>
              <w:rPr>
                <w:rFonts w:ascii="Arial" w:cs="Arial" w:eastAsia="Arial" w:hAnsi="Arial"/>
                <w:sz w:val="22"/>
                <w:szCs w:val="22"/>
                <w:color w:val="auto"/>
                <w:w w:val="95"/>
              </w:rPr>
              <w:t>Maintenance of Insurance</w:t>
            </w:r>
          </w:p>
        </w:tc>
        <w:tc>
          <w:tcPr>
            <w:tcW w:w="240" w:type="dxa"/>
            <w:vAlign w:val="bottom"/>
            <w:gridSpan w:val="6"/>
          </w:tcPr>
          <w:p>
            <w:pPr>
              <w:ind w:left="20"/>
              <w:spacing w:after="0" w:line="195" w:lineRule="exact"/>
              <w:rPr>
                <w:sz w:val="20"/>
                <w:szCs w:val="20"/>
                <w:color w:val="auto"/>
              </w:rPr>
            </w:pPr>
            <w:r>
              <w:rPr>
                <w:rFonts w:ascii="Arial" w:cs="Arial" w:eastAsia="Arial" w:hAnsi="Arial"/>
                <w:sz w:val="22"/>
                <w:szCs w:val="22"/>
                <w:color w:val="FF0000"/>
                <w:strike w:val="1"/>
                <w:w w:val="81"/>
              </w:rPr>
              <w:t>95</w:t>
            </w:r>
          </w:p>
        </w:tc>
        <w:tc>
          <w:tcPr>
            <w:tcW w:w="320" w:type="dxa"/>
            <w:vAlign w:val="bottom"/>
            <w:tcBorders>
              <w:bottom w:val="single" w:sz="8" w:color="0000FF"/>
            </w:tcBorders>
            <w:gridSpan w:val="8"/>
          </w:tcPr>
          <w:p>
            <w:pPr>
              <w:jc w:val="center"/>
              <w:spacing w:after="0" w:line="195" w:lineRule="exact"/>
              <w:rPr>
                <w:sz w:val="20"/>
                <w:szCs w:val="20"/>
                <w:color w:val="auto"/>
              </w:rPr>
            </w:pPr>
            <w:r>
              <w:rPr>
                <w:rFonts w:ascii="Arial" w:cs="Arial" w:eastAsia="Arial" w:hAnsi="Arial"/>
                <w:sz w:val="22"/>
                <w:szCs w:val="22"/>
                <w:color w:val="0000FF"/>
                <w:w w:val="87"/>
              </w:rPr>
              <w:t>100</w:t>
            </w:r>
          </w:p>
        </w:tc>
        <w:tc>
          <w:tcPr>
            <w:tcW w:w="3420" w:type="dxa"/>
            <w:vAlign w:val="bottom"/>
            <w:gridSpan w:val="5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8.04</w:t>
            </w:r>
          </w:p>
        </w:tc>
        <w:tc>
          <w:tcPr>
            <w:tcW w:w="2780" w:type="dxa"/>
            <w:vAlign w:val="bottom"/>
            <w:gridSpan w:val="35"/>
          </w:tcPr>
          <w:p>
            <w:pPr>
              <w:ind w:left="100"/>
              <w:spacing w:after="0" w:line="195" w:lineRule="exact"/>
              <w:rPr>
                <w:sz w:val="20"/>
                <w:szCs w:val="20"/>
                <w:color w:val="auto"/>
              </w:rPr>
            </w:pPr>
            <w:r>
              <w:rPr>
                <w:rFonts w:ascii="Arial" w:cs="Arial" w:eastAsia="Arial" w:hAnsi="Arial"/>
                <w:sz w:val="22"/>
                <w:szCs w:val="22"/>
                <w:color w:val="auto"/>
                <w:w w:val="83"/>
              </w:rPr>
              <w:t>Payment of Taxes and Liabilities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81"/>
              </w:rPr>
              <w:t>96</w:t>
            </w:r>
          </w:p>
        </w:tc>
        <w:tc>
          <w:tcPr>
            <w:tcW w:w="320" w:type="dxa"/>
            <w:vAlign w:val="bottom"/>
            <w:tcBorders>
              <w:bottom w:val="single" w:sz="8" w:color="0000FF"/>
            </w:tcBorders>
            <w:gridSpan w:val="10"/>
          </w:tcPr>
          <w:p>
            <w:pPr>
              <w:jc w:val="right"/>
              <w:spacing w:after="0" w:line="195" w:lineRule="exact"/>
              <w:rPr>
                <w:sz w:val="20"/>
                <w:szCs w:val="20"/>
                <w:color w:val="auto"/>
              </w:rPr>
            </w:pPr>
            <w:r>
              <w:rPr>
                <w:rFonts w:ascii="Arial" w:cs="Arial" w:eastAsia="Arial" w:hAnsi="Arial"/>
                <w:sz w:val="22"/>
                <w:szCs w:val="22"/>
                <w:color w:val="0000FF"/>
                <w:w w:val="81"/>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8.05</w:t>
            </w:r>
          </w:p>
        </w:tc>
        <w:tc>
          <w:tcPr>
            <w:tcW w:w="3380" w:type="dxa"/>
            <w:vAlign w:val="bottom"/>
            <w:gridSpan w:val="53"/>
          </w:tcPr>
          <w:p>
            <w:pPr>
              <w:ind w:left="100"/>
              <w:spacing w:after="0" w:line="195" w:lineRule="exact"/>
              <w:rPr>
                <w:sz w:val="20"/>
                <w:szCs w:val="20"/>
                <w:color w:val="auto"/>
              </w:rPr>
            </w:pPr>
            <w:r>
              <w:rPr>
                <w:rFonts w:ascii="Arial" w:cs="Arial" w:eastAsia="Arial" w:hAnsi="Arial"/>
                <w:sz w:val="22"/>
                <w:szCs w:val="22"/>
                <w:color w:val="auto"/>
                <w:w w:val="85"/>
              </w:rPr>
              <w:t>Maintenance of Existence; Compliance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5"/>
          </w:tcPr>
          <w:p>
            <w:pPr>
              <w:ind w:left="40"/>
              <w:spacing w:after="0" w:line="195" w:lineRule="exact"/>
              <w:rPr>
                <w:sz w:val="20"/>
                <w:szCs w:val="20"/>
                <w:color w:val="auto"/>
              </w:rPr>
            </w:pPr>
            <w:r>
              <w:rPr>
                <w:rFonts w:ascii="Arial" w:cs="Arial" w:eastAsia="Arial" w:hAnsi="Arial"/>
                <w:sz w:val="22"/>
                <w:szCs w:val="22"/>
                <w:color w:val="auto"/>
                <w:w w:val="99"/>
              </w:rPr>
              <w:t>with Laws, etc</w:t>
            </w:r>
          </w:p>
        </w:tc>
        <w:tc>
          <w:tcPr>
            <w:tcW w:w="40" w:type="dxa"/>
            <w:vAlign w:val="bottom"/>
          </w:tcPr>
          <w:p>
            <w:pPr>
              <w:spacing w:after="0"/>
              <w:rPr>
                <w:sz w:val="17"/>
                <w:szCs w:val="17"/>
                <w:color w:val="auto"/>
              </w:rPr>
            </w:pPr>
          </w:p>
        </w:tc>
        <w:tc>
          <w:tcPr>
            <w:tcW w:w="26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97"/>
              </w:rPr>
              <w:t>96</w:t>
            </w:r>
          </w:p>
        </w:tc>
        <w:tc>
          <w:tcPr>
            <w:tcW w:w="560" w:type="dxa"/>
            <w:vAlign w:val="bottom"/>
            <w:gridSpan w:val="3"/>
          </w:tcPr>
          <w:p>
            <w:pPr>
              <w:jc w:val="right"/>
              <w:ind w:right="240"/>
              <w:spacing w:after="0" w:line="195" w:lineRule="exact"/>
              <w:rPr>
                <w:sz w:val="20"/>
                <w:szCs w:val="20"/>
                <w:color w:val="auto"/>
              </w:rPr>
            </w:pPr>
            <w:r>
              <w:rPr>
                <w:rFonts w:ascii="Arial" w:cs="Arial" w:eastAsia="Arial" w:hAnsi="Arial"/>
                <w:sz w:val="22"/>
                <w:szCs w:val="22"/>
                <w:color w:val="0000FF"/>
                <w:w w:val="81"/>
              </w:rPr>
              <w:t>100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8.06</w:t>
            </w:r>
          </w:p>
        </w:tc>
        <w:tc>
          <w:tcPr>
            <w:tcW w:w="2540" w:type="dxa"/>
            <w:vAlign w:val="bottom"/>
            <w:gridSpan w:val="29"/>
          </w:tcPr>
          <w:p>
            <w:pPr>
              <w:ind w:left="100"/>
              <w:spacing w:after="0" w:line="195" w:lineRule="exact"/>
              <w:rPr>
                <w:sz w:val="20"/>
                <w:szCs w:val="20"/>
                <w:color w:val="auto"/>
              </w:rPr>
            </w:pPr>
            <w:r>
              <w:rPr>
                <w:rFonts w:ascii="Arial" w:cs="Arial" w:eastAsia="Arial" w:hAnsi="Arial"/>
                <w:sz w:val="22"/>
                <w:szCs w:val="22"/>
                <w:color w:val="auto"/>
                <w:w w:val="92"/>
              </w:rPr>
              <w:t>Environmental Compliance</w:t>
            </w: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2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81"/>
              </w:rPr>
              <w:t>96</w:t>
            </w:r>
          </w:p>
        </w:tc>
        <w:tc>
          <w:tcPr>
            <w:tcW w:w="320" w:type="dxa"/>
            <w:vAlign w:val="bottom"/>
            <w:tcBorders>
              <w:bottom w:val="single" w:sz="8" w:color="0000FF"/>
            </w:tcBorders>
            <w:gridSpan w:val="9"/>
          </w:tcPr>
          <w:p>
            <w:pPr>
              <w:spacing w:after="0" w:line="195" w:lineRule="exact"/>
              <w:rPr>
                <w:sz w:val="20"/>
                <w:szCs w:val="20"/>
                <w:color w:val="auto"/>
              </w:rPr>
            </w:pPr>
            <w:r>
              <w:rPr>
                <w:rFonts w:ascii="Arial" w:cs="Arial" w:eastAsia="Arial" w:hAnsi="Arial"/>
                <w:sz w:val="22"/>
                <w:szCs w:val="22"/>
                <w:color w:val="0000FF"/>
                <w:w w:val="81"/>
              </w:rPr>
              <w:t>101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8.07</w:t>
            </w:r>
          </w:p>
        </w:tc>
        <w:tc>
          <w:tcPr>
            <w:tcW w:w="940" w:type="dxa"/>
            <w:vAlign w:val="bottom"/>
          </w:tcPr>
          <w:p>
            <w:pPr>
              <w:ind w:left="100"/>
              <w:spacing w:after="0" w:line="195" w:lineRule="exact"/>
              <w:rPr>
                <w:sz w:val="20"/>
                <w:szCs w:val="20"/>
                <w:color w:val="auto"/>
              </w:rPr>
            </w:pPr>
            <w:r>
              <w:rPr>
                <w:rFonts w:ascii="Arial" w:cs="Arial" w:eastAsia="Arial" w:hAnsi="Arial"/>
                <w:sz w:val="22"/>
                <w:szCs w:val="22"/>
                <w:color w:val="auto"/>
              </w:rPr>
              <w:t>ERISA</w:t>
            </w:r>
          </w:p>
        </w:tc>
        <w:tc>
          <w:tcPr>
            <w:tcW w:w="2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97</w:t>
            </w:r>
          </w:p>
        </w:tc>
        <w:tc>
          <w:tcPr>
            <w:tcW w:w="5360" w:type="dxa"/>
            <w:vAlign w:val="bottom"/>
            <w:gridSpan w:val="92"/>
          </w:tcPr>
          <w:p>
            <w:pPr>
              <w:jc w:val="right"/>
              <w:ind w:right="5040"/>
              <w:spacing w:after="0" w:line="195" w:lineRule="exact"/>
              <w:rPr>
                <w:sz w:val="20"/>
                <w:szCs w:val="20"/>
                <w:color w:val="auto"/>
              </w:rPr>
            </w:pPr>
            <w:r>
              <w:rPr>
                <w:rFonts w:ascii="Arial" w:cs="Arial" w:eastAsia="Arial" w:hAnsi="Arial"/>
                <w:sz w:val="22"/>
                <w:szCs w:val="22"/>
                <w:color w:val="0000FF"/>
                <w:w w:val="81"/>
              </w:rPr>
              <w:t>102</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8.08</w:t>
            </w:r>
          </w:p>
        </w:tc>
        <w:tc>
          <w:tcPr>
            <w:tcW w:w="1160" w:type="dxa"/>
            <w:vAlign w:val="bottom"/>
            <w:gridSpan w:val="3"/>
          </w:tcPr>
          <w:p>
            <w:pPr>
              <w:ind w:left="100"/>
              <w:spacing w:after="0" w:line="195" w:lineRule="exact"/>
              <w:rPr>
                <w:sz w:val="20"/>
                <w:szCs w:val="20"/>
                <w:color w:val="auto"/>
              </w:rPr>
            </w:pPr>
            <w:r>
              <w:rPr>
                <w:rFonts w:ascii="Arial" w:cs="Arial" w:eastAsia="Arial" w:hAnsi="Arial"/>
                <w:sz w:val="22"/>
                <w:szCs w:val="22"/>
                <w:color w:val="auto"/>
                <w:w w:val="82"/>
              </w:rPr>
              <w:t>Maintenance</w:t>
            </w:r>
          </w:p>
        </w:tc>
        <w:tc>
          <w:tcPr>
            <w:tcW w:w="340" w:type="dxa"/>
            <w:vAlign w:val="bottom"/>
            <w:tcBorders>
              <w:top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auto"/>
              </w:rPr>
              <w:t>of</w:t>
            </w:r>
          </w:p>
        </w:tc>
        <w:tc>
          <w:tcPr>
            <w:tcW w:w="1040" w:type="dxa"/>
            <w:vAlign w:val="bottom"/>
            <w:gridSpan w:val="21"/>
          </w:tcPr>
          <w:p>
            <w:pPr>
              <w:jc w:val="right"/>
              <w:ind w:right="52"/>
              <w:spacing w:after="0" w:line="195" w:lineRule="exact"/>
              <w:rPr>
                <w:sz w:val="20"/>
                <w:szCs w:val="20"/>
                <w:color w:val="auto"/>
              </w:rPr>
            </w:pPr>
            <w:r>
              <w:rPr>
                <w:rFonts w:ascii="Arial" w:cs="Arial" w:eastAsia="Arial" w:hAnsi="Arial"/>
                <w:sz w:val="22"/>
                <w:szCs w:val="22"/>
                <w:color w:val="auto"/>
                <w:w w:val="85"/>
              </w:rPr>
              <w:t>Properties</w:t>
            </w:r>
          </w:p>
        </w:tc>
        <w:tc>
          <w:tcPr>
            <w:tcW w:w="280" w:type="dxa"/>
            <w:vAlign w:val="bottom"/>
            <w:gridSpan w:val="7"/>
          </w:tcPr>
          <w:p>
            <w:pPr>
              <w:ind w:left="60"/>
              <w:spacing w:after="0" w:line="195" w:lineRule="exact"/>
              <w:rPr>
                <w:sz w:val="20"/>
                <w:szCs w:val="20"/>
                <w:color w:val="auto"/>
              </w:rPr>
            </w:pPr>
            <w:r>
              <w:rPr>
                <w:rFonts w:ascii="Arial" w:cs="Arial" w:eastAsia="Arial" w:hAnsi="Arial"/>
                <w:sz w:val="22"/>
                <w:szCs w:val="22"/>
                <w:color w:val="FF0000"/>
                <w:strike w:val="1"/>
                <w:w w:val="81"/>
              </w:rPr>
              <w:t>98</w:t>
            </w:r>
          </w:p>
        </w:tc>
        <w:tc>
          <w:tcPr>
            <w:tcW w:w="320" w:type="dxa"/>
            <w:vAlign w:val="bottom"/>
            <w:tcBorders>
              <w:bottom w:val="single" w:sz="8" w:color="0000FF"/>
            </w:tcBorders>
            <w:gridSpan w:val="9"/>
          </w:tcPr>
          <w:p>
            <w:pPr>
              <w:jc w:val="center"/>
              <w:spacing w:after="0" w:line="195" w:lineRule="exact"/>
              <w:rPr>
                <w:sz w:val="20"/>
                <w:szCs w:val="20"/>
                <w:color w:val="auto"/>
              </w:rPr>
            </w:pPr>
            <w:r>
              <w:rPr>
                <w:rFonts w:ascii="Arial" w:cs="Arial" w:eastAsia="Arial" w:hAnsi="Arial"/>
                <w:sz w:val="22"/>
                <w:szCs w:val="22"/>
                <w:color w:val="0000FF"/>
                <w:w w:val="87"/>
              </w:rPr>
              <w:t>102</w:t>
            </w:r>
          </w:p>
        </w:tc>
        <w:tc>
          <w:tcPr>
            <w:tcW w:w="3380" w:type="dxa"/>
            <w:vAlign w:val="bottom"/>
            <w:gridSpan w:val="5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8.09</w:t>
            </w:r>
          </w:p>
        </w:tc>
        <w:tc>
          <w:tcPr>
            <w:tcW w:w="1160" w:type="dxa"/>
            <w:vAlign w:val="bottom"/>
            <w:gridSpan w:val="3"/>
          </w:tcPr>
          <w:p>
            <w:pPr>
              <w:ind w:left="100"/>
              <w:spacing w:after="0" w:line="195" w:lineRule="exact"/>
              <w:rPr>
                <w:sz w:val="20"/>
                <w:szCs w:val="20"/>
                <w:color w:val="auto"/>
              </w:rPr>
            </w:pPr>
            <w:r>
              <w:rPr>
                <w:rFonts w:ascii="Arial" w:cs="Arial" w:eastAsia="Arial" w:hAnsi="Arial"/>
                <w:sz w:val="22"/>
                <w:szCs w:val="22"/>
                <w:color w:val="auto"/>
                <w:w w:val="93"/>
              </w:rPr>
              <w:t>[Reserved]</w:t>
            </w:r>
          </w:p>
        </w:tc>
        <w:tc>
          <w:tcPr>
            <w:tcW w:w="3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rPr>
              <w:t>98</w:t>
            </w:r>
          </w:p>
        </w:tc>
        <w:tc>
          <w:tcPr>
            <w:tcW w:w="5040" w:type="dxa"/>
            <w:vAlign w:val="bottom"/>
            <w:gridSpan w:val="88"/>
          </w:tcPr>
          <w:p>
            <w:pPr>
              <w:spacing w:after="0" w:line="195" w:lineRule="exact"/>
              <w:rPr>
                <w:sz w:val="20"/>
                <w:szCs w:val="20"/>
                <w:color w:val="auto"/>
              </w:rPr>
            </w:pPr>
            <w:r>
              <w:rPr>
                <w:rFonts w:ascii="Arial" w:cs="Arial" w:eastAsia="Arial" w:hAnsi="Arial"/>
                <w:sz w:val="22"/>
                <w:szCs w:val="22"/>
                <w:color w:val="0000FF"/>
                <w:w w:val="87"/>
              </w:rPr>
              <w:t>102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8.10</w:t>
            </w:r>
          </w:p>
        </w:tc>
        <w:tc>
          <w:tcPr>
            <w:tcW w:w="14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340" w:type="dxa"/>
            <w:vAlign w:val="bottom"/>
            <w:gridSpan w:val="55"/>
            <w:vMerge w:val="restart"/>
          </w:tcPr>
          <w:p>
            <w:pPr>
              <w:ind w:left="100"/>
              <w:spacing w:after="0" w:line="216" w:lineRule="exact"/>
              <w:rPr>
                <w:sz w:val="20"/>
                <w:szCs w:val="20"/>
                <w:color w:val="auto"/>
              </w:rPr>
            </w:pPr>
            <w:r>
              <w:rPr>
                <w:rFonts w:ascii="Arial" w:cs="Arial" w:eastAsia="Arial" w:hAnsi="Arial"/>
                <w:sz w:val="22"/>
                <w:szCs w:val="22"/>
                <w:color w:val="auto"/>
                <w:w w:val="90"/>
              </w:rPr>
              <w:t>Guarantors and Grantors</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2"/>
            <w:vMerge w:val="restart"/>
          </w:tcPr>
          <w:p>
            <w:pPr>
              <w:jc w:val="right"/>
              <w:spacing w:after="0" w:line="216" w:lineRule="exact"/>
              <w:rPr>
                <w:sz w:val="20"/>
                <w:szCs w:val="20"/>
                <w:color w:val="auto"/>
              </w:rPr>
            </w:pPr>
            <w:r>
              <w:rPr>
                <w:rFonts w:ascii="Arial" w:cs="Arial" w:eastAsia="Arial" w:hAnsi="Arial"/>
                <w:sz w:val="22"/>
                <w:szCs w:val="22"/>
                <w:color w:val="FF0000"/>
                <w:strike w:val="1"/>
                <w:w w:val="73"/>
              </w:rPr>
              <w:t>98</w:t>
            </w:r>
          </w:p>
        </w:tc>
        <w:tc>
          <w:tcPr>
            <w:tcW w:w="340" w:type="dxa"/>
            <w:vAlign w:val="bottom"/>
            <w:gridSpan w:val="3"/>
            <w:vMerge w:val="restart"/>
          </w:tcPr>
          <w:p>
            <w:pPr>
              <w:jc w:val="right"/>
              <w:spacing w:after="0" w:line="216" w:lineRule="exact"/>
              <w:rPr>
                <w:sz w:val="20"/>
                <w:szCs w:val="20"/>
                <w:color w:val="auto"/>
              </w:rPr>
            </w:pPr>
            <w:r>
              <w:rPr>
                <w:rFonts w:ascii="Arial" w:cs="Arial" w:eastAsia="Arial" w:hAnsi="Arial"/>
                <w:sz w:val="22"/>
                <w:szCs w:val="22"/>
                <w:color w:val="0000FF"/>
                <w:w w:val="87"/>
              </w:rPr>
              <w:t>102</w:t>
            </w: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00" w:type="dxa"/>
            <w:vAlign w:val="bottom"/>
            <w:gridSpan w:val="2"/>
            <w:vMerge w:val="continue"/>
          </w:tcPr>
          <w:p>
            <w:pPr>
              <w:spacing w:after="0"/>
              <w:rPr>
                <w:sz w:val="17"/>
                <w:szCs w:val="17"/>
                <w:color w:val="auto"/>
              </w:rPr>
            </w:pPr>
          </w:p>
        </w:tc>
        <w:tc>
          <w:tcPr>
            <w:tcW w:w="1800" w:type="dxa"/>
            <w:vAlign w:val="bottom"/>
            <w:gridSpan w:val="16"/>
          </w:tcPr>
          <w:p>
            <w:pPr>
              <w:ind w:left="100"/>
              <w:spacing w:after="0" w:line="195" w:lineRule="exact"/>
              <w:rPr>
                <w:sz w:val="20"/>
                <w:szCs w:val="20"/>
                <w:color w:val="auto"/>
              </w:rPr>
            </w:pPr>
            <w:r>
              <w:rPr>
                <w:rFonts w:ascii="Arial" w:cs="Arial" w:eastAsia="Arial" w:hAnsi="Arial"/>
                <w:sz w:val="22"/>
                <w:szCs w:val="22"/>
                <w:color w:val="auto"/>
                <w:w w:val="83"/>
              </w:rPr>
              <w:t>Additional Collateral,</w:t>
            </w:r>
          </w:p>
        </w:tc>
        <w:tc>
          <w:tcPr>
            <w:tcW w:w="140" w:type="dxa"/>
            <w:vAlign w:val="bottom"/>
            <w:gridSpan w:val="2"/>
            <w:vMerge w:val="continue"/>
          </w:tcPr>
          <w:p>
            <w:pPr>
              <w:spacing w:after="0"/>
              <w:rPr>
                <w:sz w:val="17"/>
                <w:szCs w:val="17"/>
                <w:color w:val="auto"/>
              </w:rPr>
            </w:pPr>
          </w:p>
        </w:tc>
        <w:tc>
          <w:tcPr>
            <w:tcW w:w="2340" w:type="dxa"/>
            <w:vAlign w:val="bottom"/>
            <w:gridSpan w:val="5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40" w:type="dxa"/>
            <w:vAlign w:val="bottom"/>
            <w:tcBorders>
              <w:bottom w:val="single" w:sz="8" w:color="0000FF"/>
            </w:tcBorders>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8.11</w:t>
            </w:r>
          </w:p>
        </w:tc>
        <w:tc>
          <w:tcPr>
            <w:tcW w:w="4280" w:type="dxa"/>
            <w:vAlign w:val="bottom"/>
            <w:gridSpan w:val="73"/>
          </w:tcPr>
          <w:p>
            <w:pPr>
              <w:ind w:left="100"/>
              <w:spacing w:after="0" w:line="195" w:lineRule="exact"/>
              <w:rPr>
                <w:sz w:val="20"/>
                <w:szCs w:val="20"/>
                <w:color w:val="auto"/>
              </w:rPr>
            </w:pPr>
            <w:r>
              <w:rPr>
                <w:rFonts w:ascii="Arial" w:cs="Arial" w:eastAsia="Arial" w:hAnsi="Arial"/>
                <w:sz w:val="22"/>
                <w:szCs w:val="22"/>
                <w:color w:val="auto"/>
                <w:w w:val="92"/>
              </w:rPr>
              <w:t>Pledges of Additional Stock and Indebtedness</w:t>
            </w:r>
          </w:p>
        </w:tc>
        <w:tc>
          <w:tcPr>
            <w:tcW w:w="2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99</w:t>
            </w:r>
          </w:p>
        </w:tc>
        <w:tc>
          <w:tcPr>
            <w:tcW w:w="440" w:type="dxa"/>
            <w:vAlign w:val="bottom"/>
            <w:gridSpan w:val="4"/>
          </w:tcPr>
          <w:p>
            <w:pPr>
              <w:jc w:val="right"/>
              <w:ind w:right="120"/>
              <w:spacing w:after="0" w:line="195" w:lineRule="exact"/>
              <w:rPr>
                <w:sz w:val="20"/>
                <w:szCs w:val="20"/>
                <w:color w:val="auto"/>
              </w:rPr>
            </w:pPr>
            <w:r>
              <w:rPr>
                <w:rFonts w:ascii="Arial" w:cs="Arial" w:eastAsia="Arial" w:hAnsi="Arial"/>
                <w:sz w:val="22"/>
                <w:szCs w:val="22"/>
                <w:color w:val="0000FF"/>
                <w:w w:val="81"/>
              </w:rPr>
              <w:t>103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8.12</w:t>
            </w:r>
          </w:p>
        </w:tc>
        <w:tc>
          <w:tcPr>
            <w:tcW w:w="1720" w:type="dxa"/>
            <w:vAlign w:val="bottom"/>
            <w:gridSpan w:val="13"/>
          </w:tcPr>
          <w:p>
            <w:pPr>
              <w:ind w:left="100"/>
              <w:spacing w:after="0" w:line="195" w:lineRule="exact"/>
              <w:rPr>
                <w:sz w:val="20"/>
                <w:szCs w:val="20"/>
                <w:color w:val="auto"/>
              </w:rPr>
            </w:pPr>
            <w:r>
              <w:rPr>
                <w:rFonts w:ascii="Arial" w:cs="Arial" w:eastAsia="Arial" w:hAnsi="Arial"/>
                <w:sz w:val="22"/>
                <w:szCs w:val="22"/>
                <w:color w:val="auto"/>
                <w:w w:val="98"/>
              </w:rPr>
              <w:t>Use of Proceeds</w:t>
            </w:r>
          </w:p>
        </w:tc>
        <w:tc>
          <w:tcPr>
            <w:tcW w:w="220" w:type="dxa"/>
            <w:vAlign w:val="bottom"/>
            <w:gridSpan w:val="5"/>
          </w:tcPr>
          <w:p>
            <w:pPr>
              <w:spacing w:after="0" w:line="195" w:lineRule="exact"/>
              <w:rPr>
                <w:sz w:val="20"/>
                <w:szCs w:val="20"/>
                <w:color w:val="auto"/>
              </w:rPr>
            </w:pPr>
            <w:r>
              <w:rPr>
                <w:rFonts w:ascii="Arial" w:cs="Arial" w:eastAsia="Arial" w:hAnsi="Arial"/>
                <w:sz w:val="22"/>
                <w:szCs w:val="22"/>
                <w:color w:val="FF0000"/>
                <w:strike w:val="1"/>
                <w:w w:val="81"/>
              </w:rPr>
              <w:t>99</w:t>
            </w:r>
          </w:p>
        </w:tc>
        <w:tc>
          <w:tcPr>
            <w:tcW w:w="2560" w:type="dxa"/>
            <w:vAlign w:val="bottom"/>
            <w:gridSpan w:val="58"/>
          </w:tcPr>
          <w:p>
            <w:pPr>
              <w:spacing w:after="0" w:line="195" w:lineRule="exact"/>
              <w:rPr>
                <w:sz w:val="20"/>
                <w:szCs w:val="20"/>
                <w:color w:val="auto"/>
              </w:rPr>
            </w:pPr>
            <w:r>
              <w:rPr>
                <w:rFonts w:ascii="Arial" w:cs="Arial" w:eastAsia="Arial" w:hAnsi="Arial"/>
                <w:sz w:val="22"/>
                <w:szCs w:val="22"/>
                <w:color w:val="0000FF"/>
                <w:w w:val="92"/>
              </w:rPr>
              <w:t>103</w:t>
            </w:r>
          </w:p>
        </w:tc>
        <w:tc>
          <w:tcPr>
            <w:tcW w:w="320" w:type="dxa"/>
            <w:vAlign w:val="bottom"/>
            <w:tcBorders>
              <w:top w:val="single" w:sz="8" w:color="0000FF"/>
            </w:tcBorders>
            <w:gridSpan w:val="3"/>
          </w:tcPr>
          <w:p>
            <w:pPr>
              <w:spacing w:after="0"/>
              <w:rPr>
                <w:sz w:val="17"/>
                <w:szCs w:val="17"/>
                <w:color w:val="auto"/>
              </w:rPr>
            </w:pPr>
          </w:p>
        </w:tc>
        <w:tc>
          <w:tcPr>
            <w:tcW w:w="1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6"/>
              </w:rPr>
              <w:t>Section 8.13</w:t>
            </w:r>
          </w:p>
        </w:tc>
        <w:tc>
          <w:tcPr>
            <w:tcW w:w="1940" w:type="dxa"/>
            <w:vAlign w:val="bottom"/>
            <w:gridSpan w:val="18"/>
            <w:vMerge w:val="restart"/>
          </w:tcPr>
          <w:p>
            <w:pPr>
              <w:ind w:left="100"/>
              <w:spacing w:after="0" w:line="216" w:lineRule="exact"/>
              <w:rPr>
                <w:sz w:val="20"/>
                <w:szCs w:val="20"/>
                <w:color w:val="auto"/>
              </w:rPr>
            </w:pPr>
            <w:r>
              <w:rPr>
                <w:rFonts w:ascii="Arial" w:cs="Arial" w:eastAsia="Arial" w:hAnsi="Arial"/>
                <w:sz w:val="22"/>
                <w:szCs w:val="22"/>
                <w:color w:val="auto"/>
                <w:w w:val="90"/>
              </w:rPr>
              <w:t>Mortgages; Landlord</w:t>
            </w:r>
          </w:p>
        </w:tc>
        <w:tc>
          <w:tcPr>
            <w:tcW w:w="14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gridSpan w:val="8"/>
            <w:vMerge w:val="restart"/>
          </w:tcPr>
          <w:p>
            <w:pPr>
              <w:jc w:val="right"/>
              <w:spacing w:after="0" w:line="216" w:lineRule="exact"/>
              <w:rPr>
                <w:sz w:val="20"/>
                <w:szCs w:val="20"/>
                <w:color w:val="auto"/>
              </w:rPr>
            </w:pPr>
            <w:r>
              <w:rPr>
                <w:rFonts w:ascii="Arial" w:cs="Arial" w:eastAsia="Arial" w:hAnsi="Arial"/>
                <w:sz w:val="22"/>
                <w:szCs w:val="22"/>
                <w:color w:val="FF0000"/>
                <w:strike w:val="1"/>
                <w:w w:val="97"/>
              </w:rPr>
              <w:t>99</w:t>
            </w:r>
          </w:p>
        </w:tc>
        <w:tc>
          <w:tcPr>
            <w:tcW w:w="320" w:type="dxa"/>
            <w:vAlign w:val="bottom"/>
            <w:gridSpan w:val="12"/>
            <w:vMerge w:val="restart"/>
          </w:tcPr>
          <w:p>
            <w:pPr>
              <w:jc w:val="right"/>
              <w:spacing w:after="0" w:line="216" w:lineRule="exact"/>
              <w:rPr>
                <w:sz w:val="20"/>
                <w:szCs w:val="20"/>
                <w:color w:val="auto"/>
              </w:rPr>
            </w:pPr>
            <w:r>
              <w:rPr>
                <w:rFonts w:ascii="Arial" w:cs="Arial" w:eastAsia="Arial" w:hAnsi="Arial"/>
                <w:sz w:val="22"/>
                <w:szCs w:val="22"/>
                <w:color w:val="0000FF"/>
                <w:w w:val="81"/>
              </w:rPr>
              <w:t>103</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00" w:type="dxa"/>
            <w:vAlign w:val="bottom"/>
            <w:gridSpan w:val="2"/>
            <w:vMerge w:val="continue"/>
          </w:tcPr>
          <w:p>
            <w:pPr>
              <w:spacing w:after="0"/>
              <w:rPr>
                <w:sz w:val="17"/>
                <w:szCs w:val="17"/>
                <w:color w:val="auto"/>
              </w:rPr>
            </w:pPr>
          </w:p>
        </w:tc>
        <w:tc>
          <w:tcPr>
            <w:tcW w:w="1940" w:type="dxa"/>
            <w:vAlign w:val="bottom"/>
            <w:gridSpan w:val="18"/>
            <w:vMerge w:val="continue"/>
          </w:tcPr>
          <w:p>
            <w:pPr>
              <w:spacing w:after="0"/>
              <w:rPr>
                <w:sz w:val="17"/>
                <w:szCs w:val="17"/>
                <w:color w:val="auto"/>
              </w:rPr>
            </w:pPr>
          </w:p>
        </w:tc>
        <w:tc>
          <w:tcPr>
            <w:tcW w:w="1120" w:type="dxa"/>
            <w:vAlign w:val="bottom"/>
            <w:gridSpan w:val="23"/>
          </w:tcPr>
          <w:p>
            <w:pPr>
              <w:ind w:left="40"/>
              <w:spacing w:after="0" w:line="195" w:lineRule="exact"/>
              <w:rPr>
                <w:sz w:val="20"/>
                <w:szCs w:val="20"/>
                <w:color w:val="auto"/>
              </w:rPr>
            </w:pPr>
            <w:r>
              <w:rPr>
                <w:rFonts w:ascii="Arial" w:cs="Arial" w:eastAsia="Arial" w:hAnsi="Arial"/>
                <w:sz w:val="22"/>
                <w:szCs w:val="22"/>
                <w:color w:val="auto"/>
                <w:w w:val="89"/>
              </w:rPr>
              <w:t>Agreements</w:t>
            </w:r>
          </w:p>
        </w:tc>
        <w:tc>
          <w:tcPr>
            <w:tcW w:w="100" w:type="dxa"/>
            <w:vAlign w:val="bottom"/>
            <w:gridSpan w:val="5"/>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60" w:type="dxa"/>
            <w:vAlign w:val="bottom"/>
            <w:gridSpan w:val="8"/>
            <w:vMerge w:val="continue"/>
          </w:tcPr>
          <w:p>
            <w:pPr>
              <w:spacing w:after="0"/>
              <w:rPr>
                <w:sz w:val="17"/>
                <w:szCs w:val="17"/>
                <w:color w:val="auto"/>
              </w:rPr>
            </w:pPr>
          </w:p>
        </w:tc>
        <w:tc>
          <w:tcPr>
            <w:tcW w:w="320" w:type="dxa"/>
            <w:vAlign w:val="bottom"/>
            <w:tcBorders>
              <w:bottom w:val="single" w:sz="8" w:color="0000FF"/>
            </w:tcBorders>
            <w:gridSpan w:val="1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8.14</w:t>
            </w:r>
          </w:p>
        </w:tc>
        <w:tc>
          <w:tcPr>
            <w:tcW w:w="2900" w:type="dxa"/>
            <w:vAlign w:val="bottom"/>
            <w:gridSpan w:val="38"/>
          </w:tcPr>
          <w:p>
            <w:pPr>
              <w:ind w:left="100"/>
              <w:spacing w:after="0" w:line="195" w:lineRule="exact"/>
              <w:rPr>
                <w:sz w:val="20"/>
                <w:szCs w:val="20"/>
                <w:color w:val="auto"/>
              </w:rPr>
            </w:pPr>
            <w:r>
              <w:rPr>
                <w:rFonts w:ascii="Arial" w:cs="Arial" w:eastAsia="Arial" w:hAnsi="Arial"/>
                <w:sz w:val="22"/>
                <w:szCs w:val="22"/>
                <w:color w:val="auto"/>
                <w:w w:val="93"/>
              </w:rPr>
              <w:t>Accounts; Control Agreements</w:t>
            </w:r>
          </w:p>
        </w:tc>
        <w:tc>
          <w:tcPr>
            <w:tcW w:w="20" w:type="dxa"/>
            <w:vAlign w:val="bottom"/>
          </w:tcPr>
          <w:p>
            <w:pPr>
              <w:spacing w:after="0"/>
              <w:rPr>
                <w:sz w:val="17"/>
                <w:szCs w:val="17"/>
                <w:color w:val="auto"/>
              </w:rPr>
            </w:pPr>
          </w:p>
        </w:tc>
        <w:tc>
          <w:tcPr>
            <w:tcW w:w="400" w:type="dxa"/>
            <w:vAlign w:val="bottom"/>
            <w:gridSpan w:val="11"/>
          </w:tcPr>
          <w:p>
            <w:pPr>
              <w:jc w:val="right"/>
              <w:spacing w:after="0" w:line="195" w:lineRule="exact"/>
              <w:rPr>
                <w:sz w:val="20"/>
                <w:szCs w:val="20"/>
                <w:color w:val="auto"/>
              </w:rPr>
            </w:pPr>
            <w:r>
              <w:rPr>
                <w:rFonts w:ascii="Arial" w:cs="Arial" w:eastAsia="Arial" w:hAnsi="Arial"/>
                <w:sz w:val="22"/>
                <w:szCs w:val="22"/>
                <w:color w:val="FF0000"/>
                <w:strike w:val="1"/>
              </w:rPr>
              <w:t>100</w:t>
            </w:r>
          </w:p>
        </w:tc>
        <w:tc>
          <w:tcPr>
            <w:tcW w:w="32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22"/>
                <w:szCs w:val="22"/>
                <w:color w:val="0000FF"/>
                <w:w w:val="81"/>
              </w:rPr>
              <w:t>104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8.15</w:t>
            </w:r>
          </w:p>
        </w:tc>
        <w:tc>
          <w:tcPr>
            <w:tcW w:w="1940" w:type="dxa"/>
            <w:vAlign w:val="bottom"/>
            <w:gridSpan w:val="18"/>
          </w:tcPr>
          <w:p>
            <w:pPr>
              <w:ind w:left="100"/>
              <w:spacing w:after="0" w:line="195" w:lineRule="exact"/>
              <w:rPr>
                <w:sz w:val="20"/>
                <w:szCs w:val="20"/>
                <w:color w:val="auto"/>
              </w:rPr>
            </w:pPr>
            <w:r>
              <w:rPr>
                <w:rFonts w:ascii="Arial" w:cs="Arial" w:eastAsia="Arial" w:hAnsi="Arial"/>
                <w:sz w:val="22"/>
                <w:szCs w:val="22"/>
                <w:color w:val="auto"/>
                <w:w w:val="88"/>
              </w:rPr>
              <w:t>Further Assurances</w:t>
            </w:r>
          </w:p>
        </w:tc>
        <w:tc>
          <w:tcPr>
            <w:tcW w:w="360" w:type="dxa"/>
            <w:vAlign w:val="bottom"/>
            <w:gridSpan w:val="6"/>
          </w:tcPr>
          <w:p>
            <w:pPr>
              <w:ind w:left="40"/>
              <w:spacing w:after="0" w:line="195" w:lineRule="exact"/>
              <w:rPr>
                <w:sz w:val="20"/>
                <w:szCs w:val="20"/>
                <w:color w:val="auto"/>
              </w:rPr>
            </w:pPr>
            <w:r>
              <w:rPr>
                <w:rFonts w:ascii="Arial" w:cs="Arial" w:eastAsia="Arial" w:hAnsi="Arial"/>
                <w:sz w:val="22"/>
                <w:szCs w:val="22"/>
                <w:color w:val="FF0000"/>
                <w:strike w:val="1"/>
                <w:w w:val="81"/>
              </w:rPr>
              <w:t>100</w:t>
            </w:r>
          </w:p>
        </w:tc>
        <w:tc>
          <w:tcPr>
            <w:tcW w:w="4220" w:type="dxa"/>
            <w:vAlign w:val="bottom"/>
            <w:gridSpan w:val="71"/>
          </w:tcPr>
          <w:p>
            <w:pPr>
              <w:jc w:val="right"/>
              <w:ind w:right="3900"/>
              <w:spacing w:after="0" w:line="195" w:lineRule="exact"/>
              <w:rPr>
                <w:sz w:val="20"/>
                <w:szCs w:val="20"/>
                <w:color w:val="auto"/>
              </w:rPr>
            </w:pPr>
            <w:r>
              <w:rPr>
                <w:rFonts w:ascii="Arial" w:cs="Arial" w:eastAsia="Arial" w:hAnsi="Arial"/>
                <w:sz w:val="22"/>
                <w:szCs w:val="22"/>
                <w:color w:val="0000FF"/>
                <w:w w:val="81"/>
              </w:rPr>
              <w:t>105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8.16</w:t>
            </w:r>
          </w:p>
        </w:tc>
        <w:tc>
          <w:tcPr>
            <w:tcW w:w="1420" w:type="dxa"/>
            <w:vAlign w:val="bottom"/>
            <w:gridSpan w:val="6"/>
          </w:tcPr>
          <w:p>
            <w:pPr>
              <w:ind w:left="100"/>
              <w:spacing w:after="0" w:line="195" w:lineRule="exact"/>
              <w:rPr>
                <w:sz w:val="20"/>
                <w:szCs w:val="20"/>
                <w:color w:val="auto"/>
              </w:rPr>
            </w:pPr>
            <w:r>
              <w:rPr>
                <w:rFonts w:ascii="Arial" w:cs="Arial" w:eastAsia="Arial" w:hAnsi="Arial"/>
                <w:sz w:val="22"/>
                <w:szCs w:val="22"/>
                <w:color w:val="auto"/>
              </w:rPr>
              <w:t>Lender Calls</w:t>
            </w:r>
          </w:p>
        </w:tc>
        <w:tc>
          <w:tcPr>
            <w:tcW w:w="34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7"/>
              </w:rPr>
              <w:t>102</w:t>
            </w:r>
          </w:p>
        </w:tc>
        <w:tc>
          <w:tcPr>
            <w:tcW w:w="540" w:type="dxa"/>
            <w:vAlign w:val="bottom"/>
            <w:gridSpan w:val="10"/>
          </w:tcPr>
          <w:p>
            <w:pPr>
              <w:spacing w:after="0" w:line="195" w:lineRule="exact"/>
              <w:rPr>
                <w:sz w:val="20"/>
                <w:szCs w:val="20"/>
                <w:color w:val="auto"/>
              </w:rPr>
            </w:pPr>
            <w:r>
              <w:rPr>
                <w:rFonts w:ascii="Arial" w:cs="Arial" w:eastAsia="Arial" w:hAnsi="Arial"/>
                <w:sz w:val="22"/>
                <w:szCs w:val="22"/>
                <w:color w:val="0000FF"/>
              </w:rPr>
              <w:t>106</w:t>
            </w:r>
          </w:p>
        </w:tc>
        <w:tc>
          <w:tcPr>
            <w:tcW w:w="320" w:type="dxa"/>
            <w:vAlign w:val="bottom"/>
            <w:tcBorders>
              <w:top w:val="single" w:sz="8" w:color="0000FF"/>
            </w:tcBorders>
            <w:gridSpan w:val="6"/>
          </w:tcPr>
          <w:p>
            <w:pPr>
              <w:spacing w:after="0"/>
              <w:rPr>
                <w:sz w:val="17"/>
                <w:szCs w:val="17"/>
                <w:color w:val="auto"/>
              </w:rPr>
            </w:pPr>
          </w:p>
        </w:tc>
        <w:tc>
          <w:tcPr>
            <w:tcW w:w="3900" w:type="dxa"/>
            <w:vAlign w:val="bottom"/>
            <w:gridSpan w:val="6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8.17</w:t>
            </w:r>
          </w:p>
        </w:tc>
        <w:tc>
          <w:tcPr>
            <w:tcW w:w="1760" w:type="dxa"/>
            <w:vAlign w:val="bottom"/>
            <w:gridSpan w:val="14"/>
          </w:tcPr>
          <w:p>
            <w:pPr>
              <w:ind w:left="100"/>
              <w:spacing w:after="0" w:line="195" w:lineRule="exact"/>
              <w:rPr>
                <w:sz w:val="20"/>
                <w:szCs w:val="20"/>
                <w:color w:val="auto"/>
              </w:rPr>
            </w:pPr>
            <w:r>
              <w:rPr>
                <w:rFonts w:ascii="Arial" w:cs="Arial" w:eastAsia="Arial" w:hAnsi="Arial"/>
                <w:sz w:val="22"/>
                <w:szCs w:val="22"/>
                <w:color w:val="auto"/>
                <w:w w:val="95"/>
              </w:rPr>
              <w:t>Changes in Legal</w:t>
            </w:r>
          </w:p>
        </w:tc>
        <w:tc>
          <w:tcPr>
            <w:tcW w:w="32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w w:val="71"/>
              </w:rPr>
              <w:t>Form,</w:t>
            </w:r>
          </w:p>
        </w:tc>
        <w:tc>
          <w:tcPr>
            <w:tcW w:w="460" w:type="dxa"/>
            <w:vAlign w:val="bottom"/>
            <w:gridSpan w:val="10"/>
          </w:tcPr>
          <w:p>
            <w:pPr>
              <w:jc w:val="right"/>
              <w:spacing w:after="0" w:line="195" w:lineRule="exact"/>
              <w:rPr>
                <w:sz w:val="20"/>
                <w:szCs w:val="20"/>
                <w:color w:val="auto"/>
              </w:rPr>
            </w:pPr>
            <w:r>
              <w:rPr>
                <w:rFonts w:ascii="Arial" w:cs="Arial" w:eastAsia="Arial" w:hAnsi="Arial"/>
                <w:sz w:val="22"/>
                <w:szCs w:val="22"/>
                <w:color w:val="auto"/>
              </w:rPr>
              <w:t>etc</w:t>
            </w:r>
          </w:p>
        </w:tc>
        <w:tc>
          <w:tcPr>
            <w:tcW w:w="160" w:type="dxa"/>
            <w:vAlign w:val="bottom"/>
            <w:gridSpan w:val="3"/>
          </w:tcPr>
          <w:p>
            <w:pPr>
              <w:spacing w:after="0"/>
              <w:rPr>
                <w:sz w:val="17"/>
                <w:szCs w:val="17"/>
                <w:color w:val="auto"/>
              </w:rPr>
            </w:pPr>
          </w:p>
        </w:tc>
        <w:tc>
          <w:tcPr>
            <w:tcW w:w="34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7"/>
              </w:rPr>
              <w:t>102</w:t>
            </w:r>
          </w:p>
        </w:tc>
        <w:tc>
          <w:tcPr>
            <w:tcW w:w="320" w:type="dxa"/>
            <w:vAlign w:val="bottom"/>
            <w:tcBorders>
              <w:bottom w:val="single" w:sz="8" w:color="0000FF"/>
            </w:tcBorders>
            <w:gridSpan w:val="12"/>
          </w:tcPr>
          <w:p>
            <w:pPr>
              <w:jc w:val="right"/>
              <w:spacing w:after="0" w:line="195" w:lineRule="exact"/>
              <w:rPr>
                <w:sz w:val="20"/>
                <w:szCs w:val="20"/>
                <w:color w:val="auto"/>
              </w:rPr>
            </w:pPr>
            <w:r>
              <w:rPr>
                <w:rFonts w:ascii="Arial" w:cs="Arial" w:eastAsia="Arial" w:hAnsi="Arial"/>
                <w:sz w:val="22"/>
                <w:szCs w:val="22"/>
                <w:color w:val="0000FF"/>
                <w:w w:val="81"/>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8.18</w:t>
            </w:r>
          </w:p>
        </w:tc>
        <w:tc>
          <w:tcPr>
            <w:tcW w:w="2360" w:type="dxa"/>
            <w:vAlign w:val="bottom"/>
            <w:gridSpan w:val="26"/>
          </w:tcPr>
          <w:p>
            <w:pPr>
              <w:ind w:left="100"/>
              <w:spacing w:after="0" w:line="195" w:lineRule="exact"/>
              <w:rPr>
                <w:sz w:val="20"/>
                <w:szCs w:val="20"/>
                <w:color w:val="auto"/>
              </w:rPr>
            </w:pPr>
            <w:r>
              <w:rPr>
                <w:rFonts w:ascii="Arial" w:cs="Arial" w:eastAsia="Arial" w:hAnsi="Arial"/>
                <w:sz w:val="22"/>
                <w:szCs w:val="22"/>
                <w:color w:val="auto"/>
                <w:w w:val="96"/>
              </w:rPr>
              <w:t>Contractual Obligations</w:t>
            </w:r>
          </w:p>
        </w:tc>
        <w:tc>
          <w:tcPr>
            <w:tcW w:w="36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92"/>
              </w:rPr>
              <w:t>102</w:t>
            </w:r>
          </w:p>
        </w:tc>
        <w:tc>
          <w:tcPr>
            <w:tcW w:w="340" w:type="dxa"/>
            <w:vAlign w:val="bottom"/>
            <w:tcBorders>
              <w:bottom w:val="single" w:sz="8" w:color="0000FF"/>
            </w:tcBorders>
            <w:gridSpan w:val="8"/>
          </w:tcPr>
          <w:p>
            <w:pPr>
              <w:jc w:val="right"/>
              <w:spacing w:after="0" w:line="195" w:lineRule="exact"/>
              <w:rPr>
                <w:sz w:val="20"/>
                <w:szCs w:val="20"/>
                <w:color w:val="auto"/>
              </w:rPr>
            </w:pPr>
            <w:r>
              <w:rPr>
                <w:rFonts w:ascii="Arial" w:cs="Arial" w:eastAsia="Arial" w:hAnsi="Arial"/>
                <w:sz w:val="22"/>
                <w:szCs w:val="22"/>
                <w:color w:val="0000FF"/>
                <w:w w:val="81"/>
              </w:rPr>
              <w:t>106</w:t>
            </w:r>
          </w:p>
        </w:tc>
        <w:tc>
          <w:tcPr>
            <w:tcW w:w="3460" w:type="dxa"/>
            <w:vAlign w:val="bottom"/>
            <w:gridSpan w:val="5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8.19</w:t>
            </w:r>
          </w:p>
        </w:tc>
        <w:tc>
          <w:tcPr>
            <w:tcW w:w="2720" w:type="dxa"/>
            <w:vAlign w:val="bottom"/>
            <w:gridSpan w:val="33"/>
          </w:tcPr>
          <w:p>
            <w:pPr>
              <w:ind w:left="100"/>
              <w:spacing w:after="0" w:line="195" w:lineRule="exact"/>
              <w:rPr>
                <w:sz w:val="20"/>
                <w:szCs w:val="20"/>
                <w:color w:val="auto"/>
              </w:rPr>
            </w:pPr>
            <w:r>
              <w:rPr>
                <w:rFonts w:ascii="Arial" w:cs="Arial" w:eastAsia="Arial" w:hAnsi="Arial"/>
                <w:sz w:val="22"/>
                <w:szCs w:val="22"/>
                <w:color w:val="auto"/>
                <w:w w:val="91"/>
              </w:rPr>
              <w:t>Compliance with Health Care</w:t>
            </w:r>
          </w:p>
        </w:tc>
        <w:tc>
          <w:tcPr>
            <w:tcW w:w="580" w:type="dxa"/>
            <w:vAlign w:val="bottom"/>
            <w:gridSpan w:val="16"/>
          </w:tcPr>
          <w:p>
            <w:pPr>
              <w:jc w:val="center"/>
              <w:ind w:right="80"/>
              <w:spacing w:after="0" w:line="195" w:lineRule="exact"/>
              <w:rPr>
                <w:sz w:val="20"/>
                <w:szCs w:val="20"/>
                <w:color w:val="auto"/>
              </w:rPr>
            </w:pPr>
            <w:r>
              <w:rPr>
                <w:rFonts w:ascii="Arial" w:cs="Arial" w:eastAsia="Arial" w:hAnsi="Arial"/>
                <w:sz w:val="22"/>
                <w:szCs w:val="22"/>
                <w:color w:val="auto"/>
                <w:w w:val="89"/>
              </w:rPr>
              <w:t>Laws</w:t>
            </w:r>
          </w:p>
        </w:tc>
        <w:tc>
          <w:tcPr>
            <w:tcW w:w="100" w:type="dxa"/>
            <w:vAlign w:val="bottom"/>
            <w:gridSpan w:val="5"/>
          </w:tcPr>
          <w:p>
            <w:pPr>
              <w:spacing w:after="0"/>
              <w:rPr>
                <w:sz w:val="17"/>
                <w:szCs w:val="17"/>
                <w:color w:val="auto"/>
              </w:rPr>
            </w:pPr>
          </w:p>
        </w:tc>
        <w:tc>
          <w:tcPr>
            <w:tcW w:w="340" w:type="dxa"/>
            <w:vAlign w:val="bottom"/>
            <w:gridSpan w:val="11"/>
          </w:tcPr>
          <w:p>
            <w:pPr>
              <w:jc w:val="right"/>
              <w:spacing w:after="0" w:line="195" w:lineRule="exact"/>
              <w:rPr>
                <w:sz w:val="20"/>
                <w:szCs w:val="20"/>
                <w:color w:val="auto"/>
              </w:rPr>
            </w:pPr>
            <w:r>
              <w:rPr>
                <w:rFonts w:ascii="Arial" w:cs="Arial" w:eastAsia="Arial" w:hAnsi="Arial"/>
                <w:sz w:val="22"/>
                <w:szCs w:val="22"/>
                <w:color w:val="FF0000"/>
                <w:strike w:val="1"/>
                <w:w w:val="87"/>
              </w:rPr>
              <w:t>102</w:t>
            </w:r>
          </w:p>
        </w:tc>
        <w:tc>
          <w:tcPr>
            <w:tcW w:w="320" w:type="dxa"/>
            <w:vAlign w:val="bottom"/>
            <w:tcBorders>
              <w:bottom w:val="single" w:sz="8" w:color="0000FF"/>
            </w:tcBorders>
            <w:gridSpan w:val="6"/>
          </w:tcPr>
          <w:p>
            <w:pPr>
              <w:jc w:val="right"/>
              <w:spacing w:after="0" w:line="195" w:lineRule="exact"/>
              <w:rPr>
                <w:sz w:val="20"/>
                <w:szCs w:val="20"/>
                <w:color w:val="auto"/>
              </w:rPr>
            </w:pPr>
            <w:r>
              <w:rPr>
                <w:rFonts w:ascii="Arial" w:cs="Arial" w:eastAsia="Arial" w:hAnsi="Arial"/>
                <w:sz w:val="22"/>
                <w:szCs w:val="22"/>
                <w:color w:val="0000FF"/>
                <w:w w:val="81"/>
              </w:rPr>
              <w:t>107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8.20</w:t>
            </w:r>
          </w:p>
        </w:tc>
        <w:tc>
          <w:tcPr>
            <w:tcW w:w="3060" w:type="dxa"/>
            <w:vAlign w:val="bottom"/>
            <w:gridSpan w:val="41"/>
          </w:tcPr>
          <w:p>
            <w:pPr>
              <w:ind w:left="100"/>
              <w:spacing w:after="0" w:line="195" w:lineRule="exact"/>
              <w:rPr>
                <w:sz w:val="20"/>
                <w:szCs w:val="20"/>
                <w:color w:val="auto"/>
              </w:rPr>
            </w:pPr>
            <w:r>
              <w:rPr>
                <w:rFonts w:ascii="Arial" w:cs="Arial" w:eastAsia="Arial" w:hAnsi="Arial"/>
                <w:sz w:val="22"/>
                <w:szCs w:val="22"/>
                <w:color w:val="auto"/>
                <w:w w:val="91"/>
              </w:rPr>
              <w:t>Security Interests; Perfection, etc</w:t>
            </w:r>
          </w:p>
        </w:tc>
        <w:tc>
          <w:tcPr>
            <w:tcW w:w="100" w:type="dxa"/>
            <w:vAlign w:val="bottom"/>
            <w:gridSpan w:val="5"/>
          </w:tcPr>
          <w:p>
            <w:pPr>
              <w:spacing w:after="0"/>
              <w:rPr>
                <w:sz w:val="17"/>
                <w:szCs w:val="17"/>
                <w:color w:val="auto"/>
              </w:rPr>
            </w:pPr>
          </w:p>
        </w:tc>
        <w:tc>
          <w:tcPr>
            <w:tcW w:w="360" w:type="dxa"/>
            <w:vAlign w:val="bottom"/>
            <w:gridSpan w:val="10"/>
          </w:tcPr>
          <w:p>
            <w:pPr>
              <w:jc w:val="right"/>
              <w:spacing w:after="0" w:line="195" w:lineRule="exact"/>
              <w:rPr>
                <w:sz w:val="20"/>
                <w:szCs w:val="20"/>
                <w:color w:val="auto"/>
              </w:rPr>
            </w:pPr>
            <w:r>
              <w:rPr>
                <w:rFonts w:ascii="Arial" w:cs="Arial" w:eastAsia="Arial" w:hAnsi="Arial"/>
                <w:sz w:val="22"/>
                <w:szCs w:val="22"/>
                <w:color w:val="FF0000"/>
                <w:strike w:val="1"/>
                <w:w w:val="92"/>
              </w:rPr>
              <w:t>103</w:t>
            </w:r>
          </w:p>
        </w:tc>
        <w:tc>
          <w:tcPr>
            <w:tcW w:w="32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22"/>
                <w:szCs w:val="22"/>
                <w:color w:val="0000FF"/>
                <w:w w:val="81"/>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5" w:lineRule="exact"/>
              <w:rPr>
                <w:sz w:val="20"/>
                <w:szCs w:val="20"/>
                <w:color w:val="auto"/>
              </w:rPr>
            </w:pPr>
            <w:r>
              <w:rPr>
                <w:rFonts w:ascii="Arial" w:cs="Arial" w:eastAsia="Arial" w:hAnsi="Arial"/>
                <w:sz w:val="22"/>
                <w:szCs w:val="22"/>
                <w:color w:val="auto"/>
                <w:w w:val="96"/>
              </w:rPr>
              <w:t>Section 8.21</w:t>
            </w:r>
          </w:p>
        </w:tc>
        <w:tc>
          <w:tcPr>
            <w:tcW w:w="3520" w:type="dxa"/>
            <w:vAlign w:val="bottom"/>
            <w:gridSpan w:val="56"/>
          </w:tcPr>
          <w:p>
            <w:pPr>
              <w:ind w:left="100"/>
              <w:spacing w:after="0" w:line="195" w:lineRule="exact"/>
              <w:rPr>
                <w:sz w:val="20"/>
                <w:szCs w:val="20"/>
                <w:color w:val="auto"/>
              </w:rPr>
            </w:pPr>
            <w:r>
              <w:rPr>
                <w:rFonts w:ascii="Arial" w:cs="Arial" w:eastAsia="Arial" w:hAnsi="Arial"/>
                <w:sz w:val="22"/>
                <w:szCs w:val="22"/>
                <w:color w:val="auto"/>
                <w:w w:val="91"/>
              </w:rPr>
              <w:t>Foreign Corrupt Practices Act Policies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1"/>
              </w:rPr>
              <w:t>103</w:t>
            </w:r>
          </w:p>
        </w:tc>
        <w:tc>
          <w:tcPr>
            <w:tcW w:w="34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7"/>
              </w:rPr>
              <w:t>108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72" w:right="1440" w:bottom="1440" w:gutter="0" w:footer="0" w:header="0"/>
        </w:sectPr>
      </w:pPr>
    </w:p>
    <w:bookmarkStart w:id="51" w:name="page52"/>
    <w:bookmarkEnd w:id="51"/>
    <w:p>
      <w:pPr>
        <w:spacing w:after="0"/>
        <w:tabs>
          <w:tab w:leader="none" w:pos="1280" w:val="left"/>
          <w:tab w:leader="none" w:pos="3680" w:val="left"/>
        </w:tabs>
        <w:rPr>
          <w:sz w:val="20"/>
          <w:szCs w:val="20"/>
          <w:color w:val="auto"/>
        </w:rPr>
      </w:pPr>
      <w:r>
        <w:rPr>
          <w:rFonts w:ascii="Arial" w:cs="Arial" w:eastAsia="Arial" w:hAnsi="Arial"/>
          <w:sz w:val="22"/>
          <w:szCs w:val="22"/>
          <w:color w:val="auto"/>
        </w:rPr>
        <w:t>Section 8.22</w:t>
        <w:tab/>
        <w:t>Post-Closing Obligations</w:t>
      </w:r>
      <w:r>
        <w:rPr>
          <w:sz w:val="20"/>
          <w:szCs w:val="20"/>
          <w:color w:val="auto"/>
        </w:rPr>
        <w:tab/>
      </w:r>
      <w:r>
        <w:rPr>
          <w:rFonts w:ascii="Arial" w:cs="Arial" w:eastAsia="Arial" w:hAnsi="Arial"/>
          <w:sz w:val="19"/>
          <w:szCs w:val="19"/>
          <w:color w:val="FF0000"/>
          <w:strike w:val="1"/>
        </w:rPr>
        <w:t>103</w:t>
      </w:r>
      <w:r>
        <w:rPr>
          <w:rFonts w:ascii="Arial" w:cs="Arial" w:eastAsia="Arial" w:hAnsi="Arial"/>
          <w:sz w:val="19"/>
          <w:szCs w:val="19"/>
          <w:u w:val="single" w:color="auto"/>
          <w:color w:val="0000FF"/>
          <w:strike w:val="1"/>
        </w:rPr>
        <w:t>108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Article IX</w:t>
      </w:r>
    </w:p>
    <w:p>
      <w:pPr>
        <w:spacing w:after="0" w:line="179" w:lineRule="exact"/>
        <w:rPr>
          <w:sz w:val="20"/>
          <w:szCs w:val="20"/>
          <w:color w:val="auto"/>
        </w:rPr>
      </w:pPr>
    </w:p>
    <w:p>
      <w:pPr>
        <w:ind w:left="220"/>
        <w:spacing w:after="0"/>
        <w:tabs>
          <w:tab w:leader="none" w:pos="2840" w:val="left"/>
        </w:tabs>
        <w:rPr>
          <w:sz w:val="20"/>
          <w:szCs w:val="20"/>
          <w:color w:val="auto"/>
        </w:rPr>
      </w:pPr>
      <w:r>
        <w:rPr>
          <w:rFonts w:ascii="Arial" w:cs="Arial" w:eastAsia="Arial" w:hAnsi="Arial"/>
          <w:sz w:val="22"/>
          <w:szCs w:val="22"/>
          <w:color w:val="auto"/>
        </w:rPr>
        <w:t>NEGATIVE COVENANTS</w:t>
      </w:r>
      <w:r>
        <w:rPr>
          <w:sz w:val="20"/>
          <w:szCs w:val="20"/>
          <w:color w:val="auto"/>
        </w:rPr>
        <w:tab/>
      </w:r>
      <w:r>
        <w:rPr>
          <w:rFonts w:ascii="Arial" w:cs="Arial" w:eastAsia="Arial" w:hAnsi="Arial"/>
          <w:sz w:val="19"/>
          <w:szCs w:val="19"/>
          <w:color w:val="0000F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-17780</wp:posOffset>
            </wp:positionV>
            <wp:extent cx="3429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gridSpan w:val="2"/>
          </w:tcPr>
          <w:p>
            <w:pPr>
              <w:spacing w:after="0"/>
              <w:rPr>
                <w:sz w:val="20"/>
                <w:szCs w:val="20"/>
                <w:color w:val="auto"/>
              </w:rPr>
            </w:pPr>
            <w:r>
              <w:rPr>
                <w:rFonts w:ascii="Arial" w:cs="Arial" w:eastAsia="Arial" w:hAnsi="Arial"/>
                <w:sz w:val="22"/>
                <w:szCs w:val="22"/>
                <w:color w:val="auto"/>
                <w:w w:val="99"/>
              </w:rPr>
              <w:t>Section 9.01</w:t>
            </w:r>
          </w:p>
        </w:tc>
        <w:tc>
          <w:tcPr>
            <w:tcW w:w="2720" w:type="dxa"/>
            <w:vAlign w:val="bottom"/>
            <w:gridSpan w:val="28"/>
          </w:tcPr>
          <w:p>
            <w:pPr>
              <w:ind w:left="60"/>
              <w:spacing w:after="0"/>
              <w:rPr>
                <w:sz w:val="20"/>
                <w:szCs w:val="20"/>
                <w:color w:val="auto"/>
              </w:rPr>
            </w:pPr>
            <w:r>
              <w:rPr>
                <w:rFonts w:ascii="Arial" w:cs="Arial" w:eastAsia="Arial" w:hAnsi="Arial"/>
                <w:sz w:val="22"/>
                <w:szCs w:val="22"/>
                <w:color w:val="auto"/>
                <w:w w:val="99"/>
              </w:rPr>
              <w:t>Limitation on Indebtedness</w:t>
            </w:r>
          </w:p>
        </w:tc>
        <w:tc>
          <w:tcPr>
            <w:tcW w:w="240" w:type="dxa"/>
            <w:vAlign w:val="bottom"/>
            <w:gridSpan w:val="3"/>
          </w:tcPr>
          <w:p>
            <w:pPr>
              <w:jc w:val="right"/>
              <w:spacing w:after="0"/>
              <w:rPr>
                <w:sz w:val="20"/>
                <w:szCs w:val="20"/>
                <w:color w:val="auto"/>
              </w:rPr>
            </w:pPr>
            <w:r>
              <w:rPr>
                <w:rFonts w:ascii="Arial" w:cs="Arial" w:eastAsia="Arial" w:hAnsi="Arial"/>
                <w:sz w:val="18"/>
                <w:szCs w:val="18"/>
                <w:color w:val="FF0000"/>
                <w:strike w:val="1"/>
                <w:w w:val="73"/>
              </w:rPr>
              <w:t>104</w:t>
            </w:r>
          </w:p>
        </w:tc>
        <w:tc>
          <w:tcPr>
            <w:tcW w:w="340" w:type="dxa"/>
            <w:vAlign w:val="bottom"/>
            <w:tcBorders>
              <w:bottom w:val="single" w:sz="8" w:color="0000FF"/>
            </w:tcBorders>
            <w:gridSpan w:val="7"/>
          </w:tcPr>
          <w:p>
            <w:pPr>
              <w:jc w:val="right"/>
              <w:spacing w:after="0"/>
              <w:rPr>
                <w:sz w:val="20"/>
                <w:szCs w:val="20"/>
                <w:color w:val="auto"/>
              </w:rPr>
            </w:pPr>
            <w:r>
              <w:rPr>
                <w:rFonts w:ascii="Arial" w:cs="Arial" w:eastAsia="Arial" w:hAnsi="Arial"/>
                <w:sz w:val="22"/>
                <w:szCs w:val="22"/>
                <w:color w:val="0000FF"/>
                <w:w w:val="87"/>
              </w:rPr>
              <w:t>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9.02</w:t>
            </w:r>
          </w:p>
        </w:tc>
        <w:tc>
          <w:tcPr>
            <w:tcW w:w="1900" w:type="dxa"/>
            <w:vAlign w:val="bottom"/>
            <w:gridSpan w:val="11"/>
          </w:tcPr>
          <w:p>
            <w:pPr>
              <w:ind w:left="60"/>
              <w:spacing w:after="0" w:line="195" w:lineRule="exact"/>
              <w:rPr>
                <w:sz w:val="20"/>
                <w:szCs w:val="20"/>
                <w:color w:val="auto"/>
              </w:rPr>
            </w:pPr>
            <w:r>
              <w:rPr>
                <w:rFonts w:ascii="Arial" w:cs="Arial" w:eastAsia="Arial" w:hAnsi="Arial"/>
                <w:sz w:val="22"/>
                <w:szCs w:val="22"/>
                <w:color w:val="auto"/>
                <w:w w:val="99"/>
              </w:rPr>
              <w:t>Limitation on Liens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7"/>
              </w:rPr>
              <w:t>107</w:t>
            </w:r>
          </w:p>
        </w:tc>
        <w:tc>
          <w:tcPr>
            <w:tcW w:w="400" w:type="dxa"/>
            <w:vAlign w:val="bottom"/>
            <w:tcBorders>
              <w:bottom w:val="single" w:sz="8" w:color="0000FF"/>
            </w:tcBorders>
            <w:gridSpan w:val="7"/>
          </w:tcPr>
          <w:p>
            <w:pPr>
              <w:jc w:val="right"/>
              <w:ind w:right="100"/>
              <w:spacing w:after="0" w:line="195" w:lineRule="exact"/>
              <w:rPr>
                <w:sz w:val="20"/>
                <w:szCs w:val="20"/>
                <w:color w:val="auto"/>
              </w:rPr>
            </w:pPr>
            <w:r>
              <w:rPr>
                <w:rFonts w:ascii="Arial" w:cs="Arial" w:eastAsia="Arial" w:hAnsi="Arial"/>
                <w:sz w:val="22"/>
                <w:szCs w:val="22"/>
                <w:color w:val="0000FF"/>
                <w:w w:val="76"/>
              </w:rPr>
              <w:t>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9.03</w:t>
            </w:r>
          </w:p>
        </w:tc>
        <w:tc>
          <w:tcPr>
            <w:tcW w:w="2320" w:type="dxa"/>
            <w:vAlign w:val="bottom"/>
            <w:gridSpan w:val="21"/>
          </w:tcPr>
          <w:p>
            <w:pPr>
              <w:ind w:left="60"/>
              <w:spacing w:after="0" w:line="195" w:lineRule="exact"/>
              <w:rPr>
                <w:sz w:val="20"/>
                <w:szCs w:val="20"/>
                <w:color w:val="auto"/>
              </w:rPr>
            </w:pPr>
            <w:r>
              <w:rPr>
                <w:rFonts w:ascii="Arial" w:cs="Arial" w:eastAsia="Arial" w:hAnsi="Arial"/>
                <w:sz w:val="22"/>
                <w:szCs w:val="22"/>
                <w:color w:val="auto"/>
                <w:w w:val="87"/>
              </w:rPr>
              <w:t>Consolidation, Merger, etc</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5"/>
                <w:szCs w:val="15"/>
                <w:color w:val="FF0000"/>
                <w:strike w:val="1"/>
                <w:w w:val="71"/>
              </w:rPr>
              <w:t>110</w:t>
            </w:r>
          </w:p>
        </w:tc>
        <w:tc>
          <w:tcPr>
            <w:tcW w:w="320" w:type="dxa"/>
            <w:vAlign w:val="bottom"/>
            <w:gridSpan w:val="7"/>
          </w:tcPr>
          <w:p>
            <w:pPr>
              <w:jc w:val="right"/>
              <w:ind w:right="40"/>
              <w:spacing w:after="0" w:line="195" w:lineRule="exact"/>
              <w:rPr>
                <w:sz w:val="20"/>
                <w:szCs w:val="20"/>
                <w:color w:val="auto"/>
              </w:rPr>
            </w:pPr>
            <w:r>
              <w:rPr>
                <w:rFonts w:ascii="Arial" w:cs="Arial" w:eastAsia="Arial" w:hAnsi="Arial"/>
                <w:sz w:val="22"/>
                <w:szCs w:val="22"/>
                <w:color w:val="0000FF"/>
                <w:w w:val="70"/>
              </w:rPr>
              <w:t>114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9.04</w:t>
            </w:r>
          </w:p>
        </w:tc>
        <w:tc>
          <w:tcPr>
            <w:tcW w:w="1220" w:type="dxa"/>
            <w:vAlign w:val="bottom"/>
            <w:gridSpan w:val="4"/>
          </w:tcPr>
          <w:p>
            <w:pPr>
              <w:ind w:left="60"/>
              <w:spacing w:after="0" w:line="195" w:lineRule="exact"/>
              <w:rPr>
                <w:sz w:val="20"/>
                <w:szCs w:val="20"/>
                <w:color w:val="auto"/>
              </w:rPr>
            </w:pPr>
            <w:r>
              <w:rPr>
                <w:rFonts w:ascii="Arial" w:cs="Arial" w:eastAsia="Arial" w:hAnsi="Arial"/>
                <w:sz w:val="22"/>
                <w:szCs w:val="22"/>
                <w:color w:val="auto"/>
                <w:w w:val="96"/>
              </w:rPr>
              <w:t>Dispositions</w:t>
            </w:r>
          </w:p>
        </w:tc>
        <w:tc>
          <w:tcPr>
            <w:tcW w:w="440" w:type="dxa"/>
            <w:vAlign w:val="bottom"/>
            <w:gridSpan w:val="4"/>
          </w:tcPr>
          <w:p>
            <w:pPr>
              <w:ind w:left="140"/>
              <w:spacing w:after="0" w:line="195" w:lineRule="exact"/>
              <w:rPr>
                <w:sz w:val="20"/>
                <w:szCs w:val="20"/>
                <w:color w:val="auto"/>
              </w:rPr>
            </w:pPr>
            <w:r>
              <w:rPr>
                <w:rFonts w:ascii="Arial" w:cs="Arial" w:eastAsia="Arial" w:hAnsi="Arial"/>
                <w:sz w:val="22"/>
                <w:szCs w:val="22"/>
                <w:color w:val="FF0000"/>
                <w:strike w:val="1"/>
                <w:w w:val="76"/>
              </w:rPr>
              <w:t>111</w:t>
            </w:r>
          </w:p>
        </w:tc>
        <w:tc>
          <w:tcPr>
            <w:tcW w:w="32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22"/>
                <w:szCs w:val="22"/>
                <w:color w:val="0000FF"/>
                <w:w w:val="81"/>
              </w:rPr>
              <w:t>115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9.05</w:t>
            </w:r>
          </w:p>
        </w:tc>
        <w:tc>
          <w:tcPr>
            <w:tcW w:w="1220" w:type="dxa"/>
            <w:vAlign w:val="bottom"/>
            <w:gridSpan w:val="4"/>
          </w:tcPr>
          <w:p>
            <w:pPr>
              <w:ind w:left="60"/>
              <w:spacing w:after="0" w:line="195" w:lineRule="exact"/>
              <w:rPr>
                <w:sz w:val="20"/>
                <w:szCs w:val="20"/>
                <w:color w:val="auto"/>
              </w:rPr>
            </w:pPr>
            <w:r>
              <w:rPr>
                <w:rFonts w:ascii="Arial" w:cs="Arial" w:eastAsia="Arial" w:hAnsi="Arial"/>
                <w:sz w:val="22"/>
                <w:szCs w:val="22"/>
                <w:color w:val="auto"/>
                <w:w w:val="96"/>
              </w:rPr>
              <w:t>Investments</w:t>
            </w:r>
          </w:p>
        </w:tc>
        <w:tc>
          <w:tcPr>
            <w:tcW w:w="4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rPr>
              <w:t>112</w:t>
            </w:r>
          </w:p>
        </w:tc>
        <w:tc>
          <w:tcPr>
            <w:tcW w:w="20" w:type="dxa"/>
            <w:vAlign w:val="bottom"/>
            <w:tcBorders>
              <w:bottom w:val="single" w:sz="8" w:color="0000FF"/>
            </w:tcBorders>
          </w:tcPr>
          <w:p>
            <w:pPr>
              <w:spacing w:after="0"/>
              <w:rPr>
                <w:sz w:val="17"/>
                <w:szCs w:val="17"/>
                <w:color w:val="auto"/>
              </w:rPr>
            </w:pPr>
          </w:p>
        </w:tc>
        <w:tc>
          <w:tcPr>
            <w:tcW w:w="30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22"/>
                <w:szCs w:val="22"/>
                <w:color w:val="0000FF"/>
                <w:w w:val="76"/>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9.06</w:t>
            </w:r>
          </w:p>
        </w:tc>
        <w:tc>
          <w:tcPr>
            <w:tcW w:w="1640" w:type="dxa"/>
            <w:vAlign w:val="bottom"/>
            <w:gridSpan w:val="7"/>
          </w:tcPr>
          <w:p>
            <w:pPr>
              <w:ind w:left="60"/>
              <w:spacing w:after="0" w:line="195" w:lineRule="exact"/>
              <w:rPr>
                <w:sz w:val="20"/>
                <w:szCs w:val="20"/>
                <w:color w:val="auto"/>
              </w:rPr>
            </w:pPr>
            <w:r>
              <w:rPr>
                <w:rFonts w:ascii="Arial" w:cs="Arial" w:eastAsia="Arial" w:hAnsi="Arial"/>
                <w:sz w:val="22"/>
                <w:szCs w:val="22"/>
                <w:color w:val="auto"/>
                <w:w w:val="76"/>
              </w:rPr>
              <w:t>Restricted Payments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92"/>
              </w:rPr>
              <w:t>114</w:t>
            </w:r>
          </w:p>
        </w:tc>
        <w:tc>
          <w:tcPr>
            <w:tcW w:w="36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87"/>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9.07</w:t>
            </w:r>
          </w:p>
        </w:tc>
        <w:tc>
          <w:tcPr>
            <w:tcW w:w="2720" w:type="dxa"/>
            <w:vAlign w:val="bottom"/>
            <w:gridSpan w:val="28"/>
          </w:tcPr>
          <w:p>
            <w:pPr>
              <w:ind w:left="60"/>
              <w:spacing w:after="0" w:line="195" w:lineRule="exact"/>
              <w:rPr>
                <w:sz w:val="20"/>
                <w:szCs w:val="20"/>
                <w:color w:val="auto"/>
              </w:rPr>
            </w:pPr>
            <w:r>
              <w:rPr>
                <w:rFonts w:ascii="Arial" w:cs="Arial" w:eastAsia="Arial" w:hAnsi="Arial"/>
                <w:sz w:val="22"/>
                <w:szCs w:val="22"/>
                <w:color w:val="auto"/>
                <w:w w:val="84"/>
              </w:rPr>
              <w:t>Payments and of Indebtedness;</w:t>
            </w:r>
          </w:p>
        </w:tc>
        <w:tc>
          <w:tcPr>
            <w:tcW w:w="2800" w:type="dxa"/>
            <w:vAlign w:val="bottom"/>
            <w:gridSpan w:val="28"/>
          </w:tcPr>
          <w:p>
            <w:pPr>
              <w:ind w:left="80"/>
              <w:spacing w:after="0" w:line="195" w:lineRule="exact"/>
              <w:rPr>
                <w:sz w:val="20"/>
                <w:szCs w:val="20"/>
                <w:color w:val="auto"/>
              </w:rPr>
            </w:pPr>
            <w:r>
              <w:rPr>
                <w:rFonts w:ascii="Arial" w:cs="Arial" w:eastAsia="Arial" w:hAnsi="Arial"/>
                <w:sz w:val="22"/>
                <w:szCs w:val="22"/>
                <w:color w:val="auto"/>
                <w:w w:val="95"/>
              </w:rPr>
              <w:t>Cancellation of Indebtedness</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115</w:t>
            </w:r>
          </w:p>
        </w:tc>
        <w:tc>
          <w:tcPr>
            <w:tcW w:w="3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119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9.08</w:t>
            </w:r>
          </w:p>
        </w:tc>
        <w:tc>
          <w:tcPr>
            <w:tcW w:w="3420" w:type="dxa"/>
            <w:vAlign w:val="bottom"/>
            <w:gridSpan w:val="39"/>
          </w:tcPr>
          <w:p>
            <w:pPr>
              <w:ind w:left="60"/>
              <w:spacing w:after="0" w:line="195" w:lineRule="exact"/>
              <w:rPr>
                <w:sz w:val="20"/>
                <w:szCs w:val="20"/>
                <w:color w:val="auto"/>
              </w:rPr>
            </w:pPr>
            <w:r>
              <w:rPr>
                <w:rFonts w:ascii="Arial" w:cs="Arial" w:eastAsia="Arial" w:hAnsi="Arial"/>
                <w:sz w:val="22"/>
                <w:szCs w:val="22"/>
                <w:color w:val="auto"/>
                <w:w w:val="96"/>
              </w:rPr>
              <w:t>Modification of Certain Agreements</w:t>
            </w:r>
          </w:p>
        </w:tc>
        <w:tc>
          <w:tcPr>
            <w:tcW w:w="3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1"/>
              </w:rPr>
              <w:t>115</w:t>
            </w:r>
          </w:p>
        </w:tc>
        <w:tc>
          <w:tcPr>
            <w:tcW w:w="30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22"/>
                <w:szCs w:val="22"/>
                <w:color w:val="0000FF"/>
                <w:w w:val="76"/>
              </w:rPr>
              <w:t>119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9.09</w:t>
            </w:r>
          </w:p>
        </w:tc>
        <w:tc>
          <w:tcPr>
            <w:tcW w:w="1900" w:type="dxa"/>
            <w:vAlign w:val="bottom"/>
            <w:gridSpan w:val="11"/>
          </w:tcPr>
          <w:p>
            <w:pPr>
              <w:ind w:left="60"/>
              <w:spacing w:after="0" w:line="195" w:lineRule="exact"/>
              <w:rPr>
                <w:sz w:val="20"/>
                <w:szCs w:val="20"/>
                <w:color w:val="auto"/>
              </w:rPr>
            </w:pPr>
            <w:r>
              <w:rPr>
                <w:rFonts w:ascii="Arial" w:cs="Arial" w:eastAsia="Arial" w:hAnsi="Arial"/>
                <w:sz w:val="22"/>
                <w:szCs w:val="22"/>
                <w:color w:val="auto"/>
                <w:w w:val="91"/>
              </w:rPr>
              <w:t>Sale and Leaseback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32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1"/>
              </w:rPr>
              <w:t>116</w:t>
            </w:r>
          </w:p>
        </w:tc>
        <w:tc>
          <w:tcPr>
            <w:tcW w:w="420" w:type="dxa"/>
            <w:vAlign w:val="bottom"/>
            <w:tcBorders>
              <w:bottom w:val="single" w:sz="8" w:color="0000FF"/>
            </w:tcBorders>
            <w:gridSpan w:val="8"/>
          </w:tcPr>
          <w:p>
            <w:pPr>
              <w:jc w:val="right"/>
              <w:ind w:right="100"/>
              <w:spacing w:after="0" w:line="195" w:lineRule="exact"/>
              <w:rPr>
                <w:sz w:val="20"/>
                <w:szCs w:val="20"/>
                <w:color w:val="auto"/>
              </w:rPr>
            </w:pPr>
            <w:r>
              <w:rPr>
                <w:rFonts w:ascii="Arial" w:cs="Arial" w:eastAsia="Arial" w:hAnsi="Arial"/>
                <w:sz w:val="22"/>
                <w:szCs w:val="22"/>
                <w:color w:val="0000FF"/>
                <w:w w:val="81"/>
              </w:rPr>
              <w:t>120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9.10</w:t>
            </w:r>
          </w:p>
        </w:tc>
        <w:tc>
          <w:tcPr>
            <w:tcW w:w="2300" w:type="dxa"/>
            <w:vAlign w:val="bottom"/>
            <w:gridSpan w:val="20"/>
          </w:tcPr>
          <w:p>
            <w:pPr>
              <w:ind w:left="60"/>
              <w:spacing w:after="0" w:line="195" w:lineRule="exact"/>
              <w:rPr>
                <w:sz w:val="20"/>
                <w:szCs w:val="20"/>
                <w:color w:val="auto"/>
              </w:rPr>
            </w:pPr>
            <w:r>
              <w:rPr>
                <w:rFonts w:ascii="Arial" w:cs="Arial" w:eastAsia="Arial" w:hAnsi="Arial"/>
                <w:sz w:val="22"/>
                <w:szCs w:val="22"/>
                <w:color w:val="auto"/>
                <w:w w:val="85"/>
              </w:rPr>
              <w:t>Transactions with Affiliates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4"/>
          </w:tcPr>
          <w:p>
            <w:pPr>
              <w:jc w:val="right"/>
              <w:spacing w:after="0" w:line="196" w:lineRule="exact"/>
              <w:rPr>
                <w:sz w:val="20"/>
                <w:szCs w:val="20"/>
                <w:color w:val="auto"/>
              </w:rPr>
            </w:pPr>
            <w:r>
              <w:rPr>
                <w:rFonts w:ascii="Arial" w:cs="Arial" w:eastAsia="Arial" w:hAnsi="Arial"/>
                <w:sz w:val="19"/>
                <w:szCs w:val="19"/>
                <w:color w:val="FF0000"/>
                <w:strike w:val="1"/>
                <w:w w:val="75"/>
              </w:rPr>
              <w:t>116</w:t>
            </w:r>
          </w:p>
        </w:tc>
        <w:tc>
          <w:tcPr>
            <w:tcW w:w="320" w:type="dxa"/>
            <w:vAlign w:val="bottom"/>
            <w:gridSpan w:val="6"/>
          </w:tcPr>
          <w:p>
            <w:pPr>
              <w:spacing w:after="0" w:line="195" w:lineRule="exact"/>
              <w:rPr>
                <w:sz w:val="20"/>
                <w:szCs w:val="20"/>
                <w:color w:val="auto"/>
              </w:rPr>
            </w:pPr>
            <w:r>
              <w:rPr>
                <w:rFonts w:ascii="Arial" w:cs="Arial" w:eastAsia="Arial" w:hAnsi="Arial"/>
                <w:sz w:val="22"/>
                <w:szCs w:val="22"/>
                <w:color w:val="0000FF"/>
                <w:w w:val="81"/>
              </w:rPr>
              <w:t>120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9.11</w:t>
            </w:r>
          </w:p>
        </w:tc>
        <w:tc>
          <w:tcPr>
            <w:tcW w:w="2720" w:type="dxa"/>
            <w:vAlign w:val="bottom"/>
            <w:gridSpan w:val="28"/>
          </w:tcPr>
          <w:p>
            <w:pPr>
              <w:ind w:left="60"/>
              <w:spacing w:after="0" w:line="195" w:lineRule="exact"/>
              <w:rPr>
                <w:sz w:val="20"/>
                <w:szCs w:val="20"/>
                <w:color w:val="auto"/>
              </w:rPr>
            </w:pPr>
            <w:r>
              <w:rPr>
                <w:rFonts w:ascii="Arial" w:cs="Arial" w:eastAsia="Arial" w:hAnsi="Arial"/>
                <w:sz w:val="22"/>
                <w:szCs w:val="22"/>
                <w:color w:val="auto"/>
                <w:w w:val="97"/>
              </w:rPr>
              <w:t>Restrictive Agreements, etc</w:t>
            </w:r>
          </w:p>
        </w:tc>
        <w:tc>
          <w:tcPr>
            <w:tcW w:w="240" w:type="dxa"/>
            <w:vAlign w:val="bottom"/>
            <w:gridSpan w:val="3"/>
          </w:tcPr>
          <w:p>
            <w:pPr>
              <w:jc w:val="right"/>
              <w:spacing w:after="0" w:line="196" w:lineRule="exact"/>
              <w:rPr>
                <w:sz w:val="20"/>
                <w:szCs w:val="20"/>
                <w:color w:val="auto"/>
              </w:rPr>
            </w:pPr>
            <w:r>
              <w:rPr>
                <w:rFonts w:ascii="Arial" w:cs="Arial" w:eastAsia="Arial" w:hAnsi="Arial"/>
                <w:sz w:val="18"/>
                <w:szCs w:val="18"/>
                <w:color w:val="FF0000"/>
                <w:strike w:val="1"/>
                <w:w w:val="73"/>
              </w:rPr>
              <w:t>116</w:t>
            </w:r>
          </w:p>
        </w:tc>
        <w:tc>
          <w:tcPr>
            <w:tcW w:w="20" w:type="dxa"/>
            <w:vAlign w:val="bottom"/>
            <w:tcBorders>
              <w:top w:val="single" w:sz="8" w:color="0000FF"/>
              <w:bottom w:val="single" w:sz="8" w:color="0000FF"/>
            </w:tcBorders>
          </w:tcPr>
          <w:p>
            <w:pPr>
              <w:spacing w:after="0"/>
              <w:rPr>
                <w:sz w:val="17"/>
                <w:szCs w:val="17"/>
                <w:color w:val="auto"/>
              </w:rPr>
            </w:pPr>
          </w:p>
        </w:tc>
        <w:tc>
          <w:tcPr>
            <w:tcW w:w="320" w:type="dxa"/>
            <w:vAlign w:val="bottom"/>
            <w:tcBorders>
              <w:top w:val="single" w:sz="8" w:color="0000FF"/>
              <w:bottom w:val="single" w:sz="8" w:color="0000FF"/>
            </w:tcBorders>
            <w:gridSpan w:val="6"/>
          </w:tcPr>
          <w:p>
            <w:pPr>
              <w:spacing w:after="0" w:line="195" w:lineRule="exact"/>
              <w:rPr>
                <w:sz w:val="20"/>
                <w:szCs w:val="20"/>
                <w:color w:val="auto"/>
              </w:rPr>
            </w:pPr>
            <w:r>
              <w:rPr>
                <w:rFonts w:ascii="Arial" w:cs="Arial" w:eastAsia="Arial" w:hAnsi="Arial"/>
                <w:sz w:val="22"/>
                <w:szCs w:val="22"/>
                <w:color w:val="0000FF"/>
                <w:w w:val="81"/>
              </w:rPr>
              <w:t>120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9.12</w:t>
            </w:r>
          </w:p>
        </w:tc>
        <w:tc>
          <w:tcPr>
            <w:tcW w:w="3300" w:type="dxa"/>
            <w:vAlign w:val="bottom"/>
            <w:gridSpan w:val="38"/>
          </w:tcPr>
          <w:p>
            <w:pPr>
              <w:ind w:left="60"/>
              <w:spacing w:after="0" w:line="195" w:lineRule="exact"/>
              <w:rPr>
                <w:sz w:val="20"/>
                <w:szCs w:val="20"/>
                <w:color w:val="auto"/>
              </w:rPr>
            </w:pPr>
            <w:r>
              <w:rPr>
                <w:rFonts w:ascii="Arial" w:cs="Arial" w:eastAsia="Arial" w:hAnsi="Arial"/>
                <w:sz w:val="22"/>
                <w:szCs w:val="22"/>
                <w:color w:val="auto"/>
                <w:w w:val="88"/>
              </w:rPr>
              <w:t>Changes in Business and Fiscal Year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4"/>
          </w:tcPr>
          <w:p>
            <w:pPr>
              <w:spacing w:after="0" w:line="195" w:lineRule="exact"/>
              <w:rPr>
                <w:sz w:val="20"/>
                <w:szCs w:val="20"/>
                <w:color w:val="auto"/>
              </w:rPr>
            </w:pPr>
            <w:r>
              <w:rPr>
                <w:rFonts w:ascii="Arial" w:cs="Arial" w:eastAsia="Arial" w:hAnsi="Arial"/>
                <w:sz w:val="22"/>
                <w:szCs w:val="22"/>
                <w:color w:val="FF0000"/>
                <w:strike w:val="1"/>
                <w:w w:val="81"/>
              </w:rPr>
              <w:t>117</w:t>
            </w:r>
          </w:p>
        </w:tc>
        <w:tc>
          <w:tcPr>
            <w:tcW w:w="32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22"/>
                <w:szCs w:val="22"/>
                <w:color w:val="0000FF"/>
                <w:w w:val="81"/>
              </w:rPr>
              <w:t>121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9.13</w:t>
            </w:r>
          </w:p>
        </w:tc>
        <w:tc>
          <w:tcPr>
            <w:tcW w:w="1900" w:type="dxa"/>
            <w:vAlign w:val="bottom"/>
            <w:gridSpan w:val="11"/>
          </w:tcPr>
          <w:p>
            <w:pPr>
              <w:ind w:left="60"/>
              <w:spacing w:after="0" w:line="195" w:lineRule="exact"/>
              <w:rPr>
                <w:sz w:val="20"/>
                <w:szCs w:val="20"/>
                <w:color w:val="auto"/>
              </w:rPr>
            </w:pPr>
            <w:r>
              <w:rPr>
                <w:rFonts w:ascii="Arial" w:cs="Arial" w:eastAsia="Arial" w:hAnsi="Arial"/>
                <w:sz w:val="22"/>
                <w:szCs w:val="22"/>
                <w:color w:val="auto"/>
                <w:w w:val="91"/>
              </w:rPr>
              <w:t>Financial Covenants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36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92"/>
              </w:rPr>
              <w:t>117</w:t>
            </w:r>
          </w:p>
        </w:tc>
        <w:tc>
          <w:tcPr>
            <w:tcW w:w="36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87"/>
              </w:rPr>
              <w:t>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9.14</w:t>
            </w:r>
          </w:p>
        </w:tc>
        <w:tc>
          <w:tcPr>
            <w:tcW w:w="1220" w:type="dxa"/>
            <w:vAlign w:val="bottom"/>
            <w:gridSpan w:val="4"/>
          </w:tcPr>
          <w:p>
            <w:pPr>
              <w:ind w:left="60"/>
              <w:spacing w:after="0" w:line="195" w:lineRule="exact"/>
              <w:rPr>
                <w:sz w:val="20"/>
                <w:szCs w:val="20"/>
                <w:color w:val="auto"/>
              </w:rPr>
            </w:pPr>
            <w:r>
              <w:rPr>
                <w:rFonts w:ascii="Arial" w:cs="Arial" w:eastAsia="Arial" w:hAnsi="Arial"/>
                <w:sz w:val="22"/>
                <w:szCs w:val="22"/>
                <w:color w:val="auto"/>
              </w:rPr>
              <w:t>[Reserved]</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118</w:t>
            </w:r>
          </w:p>
        </w:tc>
        <w:tc>
          <w:tcPr>
            <w:tcW w:w="360" w:type="dxa"/>
            <w:vAlign w:val="bottom"/>
            <w:gridSpan w:val="6"/>
          </w:tcPr>
          <w:p>
            <w:pPr>
              <w:spacing w:after="0" w:line="195" w:lineRule="exact"/>
              <w:rPr>
                <w:sz w:val="20"/>
                <w:szCs w:val="20"/>
                <w:color w:val="auto"/>
              </w:rPr>
            </w:pPr>
            <w:r>
              <w:rPr>
                <w:rFonts w:ascii="Arial" w:cs="Arial" w:eastAsia="Arial" w:hAnsi="Arial"/>
                <w:sz w:val="22"/>
                <w:szCs w:val="22"/>
                <w:color w:val="0000FF"/>
                <w:w w:val="92"/>
              </w:rPr>
              <w:t>122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9.15</w:t>
            </w:r>
          </w:p>
        </w:tc>
        <w:tc>
          <w:tcPr>
            <w:tcW w:w="1220" w:type="dxa"/>
            <w:vAlign w:val="bottom"/>
            <w:gridSpan w:val="4"/>
          </w:tcPr>
          <w:p>
            <w:pPr>
              <w:ind w:left="60"/>
              <w:spacing w:after="0" w:line="195" w:lineRule="exact"/>
              <w:rPr>
                <w:sz w:val="20"/>
                <w:szCs w:val="20"/>
                <w:color w:val="auto"/>
              </w:rPr>
            </w:pPr>
            <w:r>
              <w:rPr>
                <w:rFonts w:ascii="Arial" w:cs="Arial" w:eastAsia="Arial" w:hAnsi="Arial"/>
                <w:sz w:val="22"/>
                <w:szCs w:val="22"/>
                <w:color w:val="auto"/>
              </w:rPr>
              <w:t>[Reserved]</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118</w:t>
            </w:r>
          </w:p>
        </w:tc>
        <w:tc>
          <w:tcPr>
            <w:tcW w:w="320" w:type="dxa"/>
            <w:vAlign w:val="bottom"/>
            <w:tcBorders>
              <w:top w:val="single" w:sz="8" w:color="0000FF"/>
              <w:bottom w:val="single" w:sz="8" w:color="0000FF"/>
            </w:tcBorders>
            <w:gridSpan w:val="5"/>
          </w:tcPr>
          <w:p>
            <w:pPr>
              <w:spacing w:after="0" w:line="195" w:lineRule="exact"/>
              <w:rPr>
                <w:sz w:val="20"/>
                <w:szCs w:val="20"/>
                <w:color w:val="auto"/>
              </w:rPr>
            </w:pPr>
            <w:r>
              <w:rPr>
                <w:rFonts w:ascii="Arial" w:cs="Arial" w:eastAsia="Arial" w:hAnsi="Arial"/>
                <w:sz w:val="22"/>
                <w:szCs w:val="22"/>
                <w:color w:val="0000FF"/>
                <w:w w:val="81"/>
              </w:rPr>
              <w:t>123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9.16</w:t>
            </w:r>
          </w:p>
        </w:tc>
        <w:tc>
          <w:tcPr>
            <w:tcW w:w="2720" w:type="dxa"/>
            <w:vAlign w:val="bottom"/>
            <w:gridSpan w:val="28"/>
          </w:tcPr>
          <w:p>
            <w:pPr>
              <w:ind w:left="60"/>
              <w:spacing w:after="0" w:line="195" w:lineRule="exact"/>
              <w:rPr>
                <w:sz w:val="20"/>
                <w:szCs w:val="20"/>
                <w:color w:val="auto"/>
              </w:rPr>
            </w:pPr>
            <w:r>
              <w:rPr>
                <w:rFonts w:ascii="Arial" w:cs="Arial" w:eastAsia="Arial" w:hAnsi="Arial"/>
                <w:sz w:val="22"/>
                <w:szCs w:val="22"/>
                <w:color w:val="auto"/>
                <w:w w:val="98"/>
              </w:rPr>
              <w:t>Economic Sanctions/OFAC</w:t>
            </w:r>
          </w:p>
        </w:tc>
        <w:tc>
          <w:tcPr>
            <w:tcW w:w="260" w:type="dxa"/>
            <w:vAlign w:val="bottom"/>
            <w:gridSpan w:val="4"/>
          </w:tcPr>
          <w:p>
            <w:pPr>
              <w:jc w:val="right"/>
              <w:spacing w:after="0" w:line="196" w:lineRule="exact"/>
              <w:rPr>
                <w:sz w:val="20"/>
                <w:szCs w:val="20"/>
                <w:color w:val="auto"/>
              </w:rPr>
            </w:pPr>
            <w:r>
              <w:rPr>
                <w:rFonts w:ascii="Arial" w:cs="Arial" w:eastAsia="Arial" w:hAnsi="Arial"/>
                <w:sz w:val="19"/>
                <w:szCs w:val="19"/>
                <w:color w:val="FF0000"/>
                <w:strike w:val="1"/>
                <w:w w:val="75"/>
              </w:rPr>
              <w:t>118</w:t>
            </w:r>
          </w:p>
        </w:tc>
        <w:tc>
          <w:tcPr>
            <w:tcW w:w="32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22"/>
                <w:szCs w:val="22"/>
                <w:color w:val="0000FF"/>
                <w:w w:val="81"/>
              </w:rPr>
              <w:t>123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9.17</w:t>
            </w:r>
          </w:p>
        </w:tc>
        <w:tc>
          <w:tcPr>
            <w:tcW w:w="3300" w:type="dxa"/>
            <w:vAlign w:val="bottom"/>
            <w:gridSpan w:val="38"/>
          </w:tcPr>
          <w:p>
            <w:pPr>
              <w:ind w:left="60"/>
              <w:spacing w:after="0" w:line="195" w:lineRule="exact"/>
              <w:rPr>
                <w:sz w:val="20"/>
                <w:szCs w:val="20"/>
                <w:color w:val="auto"/>
              </w:rPr>
            </w:pPr>
            <w:r>
              <w:rPr>
                <w:rFonts w:ascii="Arial" w:cs="Arial" w:eastAsia="Arial" w:hAnsi="Arial"/>
                <w:sz w:val="22"/>
                <w:szCs w:val="22"/>
                <w:color w:val="auto"/>
                <w:w w:val="88"/>
              </w:rPr>
              <w:t>Anti-Terrorism Laws; Foreign Corrupt</w:t>
            </w:r>
          </w:p>
        </w:tc>
        <w:tc>
          <w:tcPr>
            <w:tcW w:w="1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340" w:type="dxa"/>
            <w:vAlign w:val="bottom"/>
            <w:gridSpan w:val="11"/>
          </w:tcPr>
          <w:p>
            <w:pPr>
              <w:spacing w:after="0" w:line="195" w:lineRule="exact"/>
              <w:rPr>
                <w:sz w:val="20"/>
                <w:szCs w:val="20"/>
                <w:color w:val="auto"/>
              </w:rPr>
            </w:pPr>
            <w:r>
              <w:rPr>
                <w:rFonts w:ascii="Arial" w:cs="Arial" w:eastAsia="Arial" w:hAnsi="Arial"/>
                <w:sz w:val="22"/>
                <w:szCs w:val="22"/>
                <w:color w:val="auto"/>
              </w:rPr>
              <w:t>Practices Act</w:t>
            </w:r>
          </w:p>
        </w:tc>
        <w:tc>
          <w:tcPr>
            <w:tcW w:w="3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118</w:t>
            </w:r>
          </w:p>
        </w:tc>
        <w:tc>
          <w:tcPr>
            <w:tcW w:w="3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1"/>
              </w:rPr>
              <w:t>123</w:t>
            </w:r>
          </w:p>
        </w:tc>
        <w:tc>
          <w:tcPr>
            <w:tcW w:w="520" w:type="dxa"/>
            <w:vAlign w:val="bottom"/>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9"/>
              </w:rPr>
              <w:t>Section 9.18</w:t>
            </w:r>
          </w:p>
        </w:tc>
        <w:tc>
          <w:tcPr>
            <w:tcW w:w="1540" w:type="dxa"/>
            <w:vAlign w:val="bottom"/>
            <w:gridSpan w:val="5"/>
          </w:tcPr>
          <w:p>
            <w:pPr>
              <w:ind w:left="60"/>
              <w:spacing w:after="0" w:line="195" w:lineRule="exact"/>
              <w:rPr>
                <w:sz w:val="20"/>
                <w:szCs w:val="20"/>
                <w:color w:val="auto"/>
              </w:rPr>
            </w:pPr>
            <w:r>
              <w:rPr>
                <w:rFonts w:ascii="Arial" w:cs="Arial" w:eastAsia="Arial" w:hAnsi="Arial"/>
                <w:sz w:val="22"/>
                <w:szCs w:val="22"/>
                <w:color w:val="auto"/>
                <w:w w:val="89"/>
              </w:rPr>
              <w:t>Use of Proceeds</w:t>
            </w:r>
          </w:p>
        </w:tc>
        <w:tc>
          <w:tcPr>
            <w:tcW w:w="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34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87"/>
              </w:rPr>
              <w:t>118</w:t>
            </w:r>
          </w:p>
        </w:tc>
        <w:tc>
          <w:tcPr>
            <w:tcW w:w="360" w:type="dxa"/>
            <w:vAlign w:val="bottom"/>
            <w:gridSpan w:val="7"/>
          </w:tcPr>
          <w:p>
            <w:pPr>
              <w:jc w:val="right"/>
              <w:ind w:right="40"/>
              <w:spacing w:after="0" w:line="195" w:lineRule="exact"/>
              <w:rPr>
                <w:sz w:val="20"/>
                <w:szCs w:val="20"/>
                <w:color w:val="auto"/>
              </w:rPr>
            </w:pPr>
            <w:r>
              <w:rPr>
                <w:rFonts w:ascii="Arial" w:cs="Arial" w:eastAsia="Arial" w:hAnsi="Arial"/>
                <w:sz w:val="22"/>
                <w:szCs w:val="22"/>
                <w:color w:val="0000FF"/>
                <w:w w:val="81"/>
              </w:rPr>
              <w:t>123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2"/>
        </w:trPr>
        <w:tc>
          <w:tcPr>
            <w:tcW w:w="3240" w:type="dxa"/>
            <w:vAlign w:val="bottom"/>
            <w:gridSpan w:val="18"/>
          </w:tcPr>
          <w:p>
            <w:pPr>
              <w:spacing w:after="0"/>
              <w:rPr>
                <w:sz w:val="20"/>
                <w:szCs w:val="20"/>
                <w:color w:val="auto"/>
              </w:rPr>
            </w:pPr>
            <w:r>
              <w:rPr>
                <w:rFonts w:ascii="Arial" w:cs="Arial" w:eastAsia="Arial" w:hAnsi="Arial"/>
                <w:sz w:val="22"/>
                <w:szCs w:val="22"/>
                <w:color w:val="auto"/>
              </w:rPr>
              <w:t>Article X</w:t>
            </w:r>
          </w:p>
        </w:tc>
        <w:tc>
          <w:tcPr>
            <w:tcW w:w="340" w:type="dxa"/>
            <w:vAlign w:val="bottom"/>
            <w:tcBorders>
              <w:top w:val="single" w:sz="8" w:color="0000FF"/>
            </w:tcBorders>
            <w:gridSpan w:val="6"/>
          </w:tcPr>
          <w:p>
            <w:pPr>
              <w:spacing w:after="0"/>
              <w:rPr>
                <w:sz w:val="24"/>
                <w:szCs w:val="24"/>
                <w:color w:val="auto"/>
              </w:rPr>
            </w:pPr>
          </w:p>
        </w:tc>
        <w:tc>
          <w:tcPr>
            <w:tcW w:w="4280" w:type="dxa"/>
            <w:vAlign w:val="bottom"/>
            <w:gridSpan w:val="39"/>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20" w:type="dxa"/>
            <w:vAlign w:val="bottom"/>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22"/>
                <w:szCs w:val="22"/>
                <w:color w:val="auto"/>
                <w:w w:val="96"/>
              </w:rPr>
              <w:t>EVENTS OF DEFAULT</w:t>
            </w:r>
          </w:p>
        </w:tc>
        <w:tc>
          <w:tcPr>
            <w:tcW w:w="460" w:type="dxa"/>
            <w:vAlign w:val="bottom"/>
            <w:gridSpan w:val="5"/>
          </w:tcPr>
          <w:p>
            <w:pPr>
              <w:ind w:left="140"/>
              <w:spacing w:after="0"/>
              <w:rPr>
                <w:sz w:val="20"/>
                <w:szCs w:val="20"/>
                <w:color w:val="auto"/>
              </w:rPr>
            </w:pPr>
            <w:r>
              <w:rPr>
                <w:rFonts w:ascii="Arial" w:cs="Arial" w:eastAsia="Arial" w:hAnsi="Arial"/>
                <w:sz w:val="22"/>
                <w:szCs w:val="22"/>
                <w:color w:val="0000FF"/>
                <w:w w:val="81"/>
              </w:rPr>
              <w:t>123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22"/>
                <w:szCs w:val="22"/>
                <w:color w:val="auto"/>
                <w:w w:val="90"/>
              </w:rPr>
              <w:t>Section 10.01</w:t>
            </w:r>
          </w:p>
        </w:tc>
        <w:tc>
          <w:tcPr>
            <w:tcW w:w="2720" w:type="dxa"/>
            <w:vAlign w:val="bottom"/>
            <w:gridSpan w:val="28"/>
          </w:tcPr>
          <w:p>
            <w:pPr>
              <w:ind w:left="180"/>
              <w:spacing w:after="0"/>
              <w:rPr>
                <w:sz w:val="20"/>
                <w:szCs w:val="20"/>
                <w:color w:val="auto"/>
              </w:rPr>
            </w:pPr>
            <w:r>
              <w:rPr>
                <w:rFonts w:ascii="Arial" w:cs="Arial" w:eastAsia="Arial" w:hAnsi="Arial"/>
                <w:sz w:val="22"/>
                <w:szCs w:val="22"/>
                <w:color w:val="auto"/>
                <w:w w:val="95"/>
              </w:rPr>
              <w:t>Listing of Events of Default</w:t>
            </w:r>
          </w:p>
        </w:tc>
        <w:tc>
          <w:tcPr>
            <w:tcW w:w="400" w:type="dxa"/>
            <w:vAlign w:val="bottom"/>
            <w:gridSpan w:val="7"/>
          </w:tcPr>
          <w:p>
            <w:pPr>
              <w:ind w:left="100"/>
              <w:spacing w:after="0"/>
              <w:rPr>
                <w:sz w:val="20"/>
                <w:szCs w:val="20"/>
                <w:color w:val="auto"/>
              </w:rPr>
            </w:pPr>
            <w:r>
              <w:rPr>
                <w:rFonts w:ascii="Arial" w:cs="Arial" w:eastAsia="Arial" w:hAnsi="Arial"/>
                <w:sz w:val="22"/>
                <w:szCs w:val="22"/>
                <w:color w:val="FF0000"/>
                <w:strike w:val="1"/>
                <w:w w:val="76"/>
              </w:rPr>
              <w:t>118</w:t>
            </w:r>
          </w:p>
        </w:tc>
        <w:tc>
          <w:tcPr>
            <w:tcW w:w="340" w:type="dxa"/>
            <w:vAlign w:val="bottom"/>
            <w:tcBorders>
              <w:bottom w:val="single" w:sz="8" w:color="0000FF"/>
            </w:tcBorders>
            <w:gridSpan w:val="6"/>
          </w:tcPr>
          <w:p>
            <w:pPr>
              <w:jc w:val="right"/>
              <w:spacing w:after="0"/>
              <w:rPr>
                <w:sz w:val="20"/>
                <w:szCs w:val="20"/>
                <w:color w:val="auto"/>
              </w:rPr>
            </w:pPr>
            <w:r>
              <w:rPr>
                <w:rFonts w:ascii="Arial" w:cs="Arial" w:eastAsia="Arial" w:hAnsi="Arial"/>
                <w:sz w:val="22"/>
                <w:szCs w:val="22"/>
                <w:color w:val="0000FF"/>
                <w:w w:val="87"/>
              </w:rPr>
              <w:t>123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10.02</w:t>
            </w:r>
          </w:p>
        </w:tc>
        <w:tc>
          <w:tcPr>
            <w:tcW w:w="3120" w:type="dxa"/>
            <w:vAlign w:val="bottom"/>
            <w:gridSpan w:val="35"/>
          </w:tcPr>
          <w:p>
            <w:pPr>
              <w:ind w:left="180"/>
              <w:spacing w:after="0" w:line="195" w:lineRule="exact"/>
              <w:rPr>
                <w:sz w:val="20"/>
                <w:szCs w:val="20"/>
                <w:color w:val="auto"/>
              </w:rPr>
            </w:pPr>
            <w:r>
              <w:rPr>
                <w:rFonts w:ascii="Arial" w:cs="Arial" w:eastAsia="Arial" w:hAnsi="Arial"/>
                <w:sz w:val="22"/>
                <w:szCs w:val="22"/>
                <w:color w:val="auto"/>
                <w:w w:val="91"/>
              </w:rPr>
              <w:t>Remedies Upon Event of Default</w:t>
            </w:r>
          </w:p>
        </w:tc>
        <w:tc>
          <w:tcPr>
            <w:tcW w:w="140" w:type="dxa"/>
            <w:vAlign w:val="bottom"/>
            <w:gridSpan w:val="2"/>
          </w:tcPr>
          <w:p>
            <w:pPr>
              <w:spacing w:after="0"/>
              <w:rPr>
                <w:sz w:val="17"/>
                <w:szCs w:val="17"/>
                <w:color w:val="auto"/>
              </w:rPr>
            </w:pPr>
          </w:p>
        </w:tc>
        <w:tc>
          <w:tcPr>
            <w:tcW w:w="3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7"/>
              </w:rPr>
              <w:t>122</w:t>
            </w:r>
          </w:p>
        </w:tc>
        <w:tc>
          <w:tcPr>
            <w:tcW w:w="3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127</w:t>
            </w:r>
          </w:p>
        </w:tc>
        <w:tc>
          <w:tcPr>
            <w:tcW w:w="2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140" w:type="dxa"/>
            <w:vAlign w:val="bottom"/>
            <w:gridSpan w:val="5"/>
          </w:tcPr>
          <w:p>
            <w:pPr>
              <w:spacing w:after="0"/>
              <w:rPr>
                <w:sz w:val="17"/>
                <w:szCs w:val="17"/>
                <w:color w:val="auto"/>
              </w:rPr>
            </w:pPr>
          </w:p>
        </w:tc>
        <w:tc>
          <w:tcPr>
            <w:tcW w:w="3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7860" w:type="dxa"/>
            <w:vAlign w:val="bottom"/>
            <w:gridSpan w:val="63"/>
          </w:tcPr>
          <w:p>
            <w:pPr>
              <w:spacing w:after="0"/>
              <w:rPr>
                <w:sz w:val="20"/>
                <w:szCs w:val="20"/>
                <w:color w:val="auto"/>
              </w:rPr>
            </w:pPr>
            <w:r>
              <w:rPr>
                <w:rFonts w:ascii="Arial" w:cs="Arial" w:eastAsia="Arial" w:hAnsi="Arial"/>
                <w:sz w:val="22"/>
                <w:szCs w:val="22"/>
                <w:color w:val="auto"/>
              </w:rPr>
              <w:t>Article XI</w:t>
            </w:r>
          </w:p>
        </w:tc>
        <w:tc>
          <w:tcPr>
            <w:tcW w:w="0" w:type="dxa"/>
            <w:vAlign w:val="bottom"/>
          </w:tcPr>
          <w:p>
            <w:pPr>
              <w:spacing w:after="0"/>
              <w:rPr>
                <w:sz w:val="1"/>
                <w:szCs w:val="1"/>
                <w:color w:val="auto"/>
              </w:rPr>
            </w:pPr>
          </w:p>
        </w:tc>
      </w:tr>
      <w:tr>
        <w:trPr>
          <w:trHeight w:val="381"/>
        </w:trPr>
        <w:tc>
          <w:tcPr>
            <w:tcW w:w="7860" w:type="dxa"/>
            <w:vAlign w:val="bottom"/>
            <w:gridSpan w:val="63"/>
          </w:tcPr>
          <w:p>
            <w:pPr>
              <w:spacing w:after="0"/>
              <w:rPr>
                <w:sz w:val="20"/>
                <w:szCs w:val="20"/>
                <w:color w:val="auto"/>
              </w:rPr>
            </w:pPr>
            <w:r>
              <w:rPr>
                <w:rFonts w:ascii="Arial" w:cs="Arial" w:eastAsia="Arial" w:hAnsi="Arial"/>
                <w:sz w:val="22"/>
                <w:szCs w:val="22"/>
                <w:color w:val="auto"/>
              </w:rPr>
              <w:t xml:space="preserve">THE AGENTS  </w:t>
            </w:r>
            <w:r>
              <w:rPr>
                <w:rFonts w:ascii="Arial" w:cs="Arial" w:eastAsia="Arial" w:hAnsi="Arial"/>
                <w:sz w:val="22"/>
                <w:szCs w:val="22"/>
                <w:color w:val="0000FF"/>
              </w:rPr>
              <w:t>130</w:t>
            </w:r>
          </w:p>
        </w:tc>
        <w:tc>
          <w:tcPr>
            <w:tcW w:w="0" w:type="dxa"/>
            <w:vAlign w:val="bottom"/>
          </w:tcPr>
          <w:p>
            <w:pPr>
              <w:spacing w:after="0"/>
              <w:rPr>
                <w:sz w:val="1"/>
                <w:szCs w:val="1"/>
                <w:color w:val="auto"/>
              </w:rPr>
            </w:pPr>
          </w:p>
        </w:tc>
      </w:tr>
      <w:tr>
        <w:trPr>
          <w:trHeight w:val="20"/>
        </w:trPr>
        <w:tc>
          <w:tcPr>
            <w:tcW w:w="7860" w:type="dxa"/>
            <w:vAlign w:val="bottom"/>
            <w:gridSpan w:val="6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22"/>
                <w:szCs w:val="22"/>
                <w:color w:val="auto"/>
                <w:w w:val="90"/>
              </w:rPr>
              <w:t>Section 11.01</w:t>
            </w:r>
          </w:p>
        </w:tc>
        <w:tc>
          <w:tcPr>
            <w:tcW w:w="1540" w:type="dxa"/>
            <w:vAlign w:val="bottom"/>
            <w:gridSpan w:val="5"/>
          </w:tcPr>
          <w:p>
            <w:pPr>
              <w:ind w:left="160"/>
              <w:spacing w:after="0"/>
              <w:rPr>
                <w:sz w:val="20"/>
                <w:szCs w:val="20"/>
                <w:color w:val="auto"/>
              </w:rPr>
            </w:pPr>
            <w:r>
              <w:rPr>
                <w:rFonts w:ascii="Arial" w:cs="Arial" w:eastAsia="Arial" w:hAnsi="Arial"/>
                <w:sz w:val="22"/>
                <w:szCs w:val="22"/>
                <w:color w:val="auto"/>
              </w:rPr>
              <w:t>Appointments</w:t>
            </w:r>
          </w:p>
        </w:tc>
        <w:tc>
          <w:tcPr>
            <w:tcW w:w="380" w:type="dxa"/>
            <w:vAlign w:val="bottom"/>
            <w:gridSpan w:val="7"/>
          </w:tcPr>
          <w:p>
            <w:pPr>
              <w:ind w:left="60"/>
              <w:spacing w:after="0"/>
              <w:rPr>
                <w:sz w:val="20"/>
                <w:szCs w:val="20"/>
                <w:color w:val="auto"/>
              </w:rPr>
            </w:pPr>
            <w:r>
              <w:rPr>
                <w:rFonts w:ascii="Arial" w:cs="Arial" w:eastAsia="Arial" w:hAnsi="Arial"/>
                <w:sz w:val="22"/>
                <w:szCs w:val="22"/>
                <w:color w:val="FF0000"/>
                <w:strike w:val="1"/>
                <w:w w:val="81"/>
              </w:rPr>
              <w:t>125</w:t>
            </w:r>
          </w:p>
        </w:tc>
        <w:tc>
          <w:tcPr>
            <w:tcW w:w="340" w:type="dxa"/>
            <w:vAlign w:val="bottom"/>
            <w:tcBorders>
              <w:bottom w:val="single" w:sz="8" w:color="0000FF"/>
            </w:tcBorders>
            <w:gridSpan w:val="7"/>
          </w:tcPr>
          <w:p>
            <w:pPr>
              <w:jc w:val="right"/>
              <w:spacing w:after="0"/>
              <w:rPr>
                <w:sz w:val="20"/>
                <w:szCs w:val="20"/>
                <w:color w:val="auto"/>
              </w:rPr>
            </w:pPr>
            <w:r>
              <w:rPr>
                <w:rFonts w:ascii="Arial" w:cs="Arial" w:eastAsia="Arial" w:hAnsi="Arial"/>
                <w:sz w:val="22"/>
                <w:szCs w:val="22"/>
                <w:color w:val="0000FF"/>
                <w:w w:val="87"/>
              </w:rPr>
              <w:t>130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11.02</w:t>
            </w:r>
          </w:p>
        </w:tc>
        <w:tc>
          <w:tcPr>
            <w:tcW w:w="1920" w:type="dxa"/>
            <w:vAlign w:val="bottom"/>
            <w:gridSpan w:val="12"/>
          </w:tcPr>
          <w:p>
            <w:pPr>
              <w:ind w:left="160"/>
              <w:spacing w:after="0" w:line="195" w:lineRule="exact"/>
              <w:rPr>
                <w:sz w:val="20"/>
                <w:szCs w:val="20"/>
                <w:color w:val="auto"/>
              </w:rPr>
            </w:pPr>
            <w:r>
              <w:rPr>
                <w:rFonts w:ascii="Arial" w:cs="Arial" w:eastAsia="Arial" w:hAnsi="Arial"/>
                <w:sz w:val="22"/>
                <w:szCs w:val="22"/>
                <w:color w:val="auto"/>
                <w:w w:val="87"/>
              </w:rPr>
              <w:t>Delegation of Duties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6"/>
          </w:tcPr>
          <w:p>
            <w:pPr>
              <w:jc w:val="center"/>
              <w:spacing w:after="0" w:line="196" w:lineRule="exact"/>
              <w:rPr>
                <w:sz w:val="20"/>
                <w:szCs w:val="20"/>
                <w:color w:val="auto"/>
              </w:rPr>
            </w:pPr>
            <w:r>
              <w:rPr>
                <w:rFonts w:ascii="Arial" w:cs="Arial" w:eastAsia="Arial" w:hAnsi="Arial"/>
                <w:sz w:val="19"/>
                <w:szCs w:val="19"/>
                <w:color w:val="FF0000"/>
                <w:strike w:val="1"/>
                <w:w w:val="75"/>
              </w:rPr>
              <w:t>126</w:t>
            </w:r>
          </w:p>
        </w:tc>
        <w:tc>
          <w:tcPr>
            <w:tcW w:w="32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0000FF"/>
                <w:w w:val="81"/>
              </w:rPr>
              <w:t>131</w:t>
            </w:r>
          </w:p>
        </w:tc>
        <w:tc>
          <w:tcPr>
            <w:tcW w:w="1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11.03</w:t>
            </w:r>
          </w:p>
        </w:tc>
        <w:tc>
          <w:tcPr>
            <w:tcW w:w="2260" w:type="dxa"/>
            <w:vAlign w:val="bottom"/>
            <w:gridSpan w:val="19"/>
          </w:tcPr>
          <w:p>
            <w:pPr>
              <w:ind w:left="160"/>
              <w:spacing w:after="0" w:line="195" w:lineRule="exact"/>
              <w:rPr>
                <w:sz w:val="20"/>
                <w:szCs w:val="20"/>
                <w:color w:val="auto"/>
              </w:rPr>
            </w:pPr>
            <w:r>
              <w:rPr>
                <w:rFonts w:ascii="Arial" w:cs="Arial" w:eastAsia="Arial" w:hAnsi="Arial"/>
                <w:sz w:val="22"/>
                <w:szCs w:val="22"/>
                <w:color w:val="auto"/>
                <w:w w:val="93"/>
              </w:rPr>
              <w:t>Exculpatory Provisions</w:t>
            </w:r>
          </w:p>
        </w:tc>
        <w:tc>
          <w:tcPr>
            <w:tcW w:w="4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3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7"/>
              </w:rPr>
              <w:t>126</w:t>
            </w:r>
          </w:p>
        </w:tc>
        <w:tc>
          <w:tcPr>
            <w:tcW w:w="320" w:type="dxa"/>
            <w:vAlign w:val="bottom"/>
            <w:tcBorders>
              <w:bottom w:val="single" w:sz="8" w:color="0000FF"/>
            </w:tcBorders>
            <w:gridSpan w:val="5"/>
          </w:tcPr>
          <w:p>
            <w:pPr>
              <w:jc w:val="right"/>
              <w:spacing w:after="0" w:line="195" w:lineRule="exact"/>
              <w:rPr>
                <w:sz w:val="20"/>
                <w:szCs w:val="20"/>
                <w:color w:val="auto"/>
              </w:rPr>
            </w:pPr>
            <w:r>
              <w:rPr>
                <w:rFonts w:ascii="Arial" w:cs="Arial" w:eastAsia="Arial" w:hAnsi="Arial"/>
                <w:sz w:val="22"/>
                <w:szCs w:val="22"/>
                <w:color w:val="0000FF"/>
                <w:w w:val="81"/>
              </w:rPr>
              <w:t>131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11.04</w:t>
            </w:r>
          </w:p>
        </w:tc>
        <w:tc>
          <w:tcPr>
            <w:tcW w:w="1900" w:type="dxa"/>
            <w:vAlign w:val="bottom"/>
            <w:gridSpan w:val="11"/>
          </w:tcPr>
          <w:p>
            <w:pPr>
              <w:ind w:left="160"/>
              <w:spacing w:after="0" w:line="195" w:lineRule="exact"/>
              <w:rPr>
                <w:sz w:val="20"/>
                <w:szCs w:val="20"/>
                <w:color w:val="auto"/>
              </w:rPr>
            </w:pPr>
            <w:r>
              <w:rPr>
                <w:rFonts w:ascii="Arial" w:cs="Arial" w:eastAsia="Arial" w:hAnsi="Arial"/>
                <w:sz w:val="22"/>
                <w:szCs w:val="22"/>
                <w:color w:val="auto"/>
                <w:w w:val="90"/>
              </w:rPr>
              <w:t>Reliance by Agents</w:t>
            </w: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38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97"/>
              </w:rPr>
              <w:t>127</w:t>
            </w:r>
          </w:p>
        </w:tc>
        <w:tc>
          <w:tcPr>
            <w:tcW w:w="340" w:type="dxa"/>
            <w:vAlign w:val="bottom"/>
            <w:tcBorders>
              <w:bottom w:val="single" w:sz="8" w:color="0000FF"/>
            </w:tcBorders>
            <w:gridSpan w:val="4"/>
          </w:tcPr>
          <w:p>
            <w:pPr>
              <w:jc w:val="right"/>
              <w:ind w:right="20"/>
              <w:spacing w:after="0" w:line="195" w:lineRule="exact"/>
              <w:rPr>
                <w:sz w:val="20"/>
                <w:szCs w:val="20"/>
                <w:color w:val="auto"/>
              </w:rPr>
            </w:pPr>
            <w:r>
              <w:rPr>
                <w:rFonts w:ascii="Arial" w:cs="Arial" w:eastAsia="Arial" w:hAnsi="Arial"/>
                <w:sz w:val="22"/>
                <w:szCs w:val="22"/>
                <w:color w:val="0000FF"/>
                <w:w w:val="81"/>
              </w:rPr>
              <w:t>132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11.05</w:t>
            </w:r>
          </w:p>
        </w:tc>
        <w:tc>
          <w:tcPr>
            <w:tcW w:w="1900" w:type="dxa"/>
            <w:vAlign w:val="bottom"/>
            <w:gridSpan w:val="11"/>
          </w:tcPr>
          <w:p>
            <w:pPr>
              <w:ind w:left="160"/>
              <w:spacing w:after="0" w:line="195" w:lineRule="exact"/>
              <w:rPr>
                <w:sz w:val="20"/>
                <w:szCs w:val="20"/>
                <w:color w:val="auto"/>
              </w:rPr>
            </w:pPr>
            <w:r>
              <w:rPr>
                <w:rFonts w:ascii="Arial" w:cs="Arial" w:eastAsia="Arial" w:hAnsi="Arial"/>
                <w:sz w:val="22"/>
                <w:szCs w:val="22"/>
                <w:color w:val="auto"/>
              </w:rPr>
              <w:t>Notice of Default</w:t>
            </w:r>
          </w:p>
        </w:tc>
        <w:tc>
          <w:tcPr>
            <w:tcW w:w="32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1"/>
              </w:rPr>
              <w:t>127</w:t>
            </w:r>
          </w:p>
        </w:tc>
        <w:tc>
          <w:tcPr>
            <w:tcW w:w="320" w:type="dxa"/>
            <w:vAlign w:val="bottom"/>
            <w:tcBorders>
              <w:bottom w:val="single" w:sz="8" w:color="0000FF"/>
            </w:tcBorders>
            <w:gridSpan w:val="9"/>
          </w:tcPr>
          <w:p>
            <w:pPr>
              <w:jc w:val="center"/>
              <w:spacing w:after="0" w:line="195" w:lineRule="exact"/>
              <w:rPr>
                <w:sz w:val="20"/>
                <w:szCs w:val="20"/>
                <w:color w:val="auto"/>
              </w:rPr>
            </w:pPr>
            <w:r>
              <w:rPr>
                <w:rFonts w:ascii="Arial" w:cs="Arial" w:eastAsia="Arial" w:hAnsi="Arial"/>
                <w:sz w:val="22"/>
                <w:szCs w:val="22"/>
                <w:color w:val="0000FF"/>
                <w:w w:val="87"/>
              </w:rPr>
              <w:t>132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11.06</w:t>
            </w:r>
          </w:p>
        </w:tc>
        <w:tc>
          <w:tcPr>
            <w:tcW w:w="2220" w:type="dxa"/>
            <w:vAlign w:val="bottom"/>
            <w:gridSpan w:val="17"/>
          </w:tcPr>
          <w:p>
            <w:pPr>
              <w:ind w:left="160"/>
              <w:spacing w:after="0" w:line="195" w:lineRule="exact"/>
              <w:rPr>
                <w:sz w:val="20"/>
                <w:szCs w:val="20"/>
                <w:color w:val="auto"/>
              </w:rPr>
            </w:pPr>
            <w:r>
              <w:rPr>
                <w:rFonts w:ascii="Arial" w:cs="Arial" w:eastAsia="Arial" w:hAnsi="Arial"/>
                <w:sz w:val="22"/>
                <w:szCs w:val="22"/>
                <w:color w:val="auto"/>
                <w:w w:val="85"/>
              </w:rPr>
              <w:t>Non-Reliance on Agents</w:t>
            </w: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860" w:type="dxa"/>
            <w:vAlign w:val="bottom"/>
            <w:gridSpan w:val="29"/>
          </w:tcPr>
          <w:p>
            <w:pPr>
              <w:jc w:val="center"/>
              <w:ind w:right="180"/>
              <w:spacing w:after="0" w:line="195" w:lineRule="exact"/>
              <w:rPr>
                <w:sz w:val="20"/>
                <w:szCs w:val="20"/>
                <w:color w:val="auto"/>
              </w:rPr>
            </w:pPr>
            <w:r>
              <w:rPr>
                <w:rFonts w:ascii="Arial" w:cs="Arial" w:eastAsia="Arial" w:hAnsi="Arial"/>
                <w:sz w:val="22"/>
                <w:szCs w:val="22"/>
                <w:color w:val="auto"/>
                <w:w w:val="87"/>
              </w:rPr>
              <w:t>and Other Lenders</w:t>
            </w:r>
          </w:p>
        </w:tc>
        <w:tc>
          <w:tcPr>
            <w:tcW w:w="3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128</w:t>
            </w:r>
          </w:p>
        </w:tc>
        <w:tc>
          <w:tcPr>
            <w:tcW w:w="34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7"/>
              </w:rPr>
              <w:t>132</w:t>
            </w:r>
          </w:p>
        </w:tc>
        <w:tc>
          <w:tcPr>
            <w:tcW w:w="1140" w:type="dxa"/>
            <w:vAlign w:val="bottom"/>
            <w:gridSpan w:val="5"/>
          </w:tcPr>
          <w:p>
            <w:pPr>
              <w:spacing w:after="0"/>
              <w:rPr>
                <w:sz w:val="17"/>
                <w:szCs w:val="17"/>
                <w:color w:val="auto"/>
              </w:rPr>
            </w:pPr>
          </w:p>
        </w:tc>
        <w:tc>
          <w:tcPr>
            <w:tcW w:w="3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11.07</w:t>
            </w:r>
          </w:p>
        </w:tc>
        <w:tc>
          <w:tcPr>
            <w:tcW w:w="2720" w:type="dxa"/>
            <w:vAlign w:val="bottom"/>
            <w:gridSpan w:val="28"/>
          </w:tcPr>
          <w:p>
            <w:pPr>
              <w:ind w:left="160"/>
              <w:spacing w:after="0" w:line="195" w:lineRule="exact"/>
              <w:rPr>
                <w:sz w:val="20"/>
                <w:szCs w:val="20"/>
                <w:color w:val="auto"/>
              </w:rPr>
            </w:pPr>
            <w:r>
              <w:rPr>
                <w:rFonts w:ascii="Arial" w:cs="Arial" w:eastAsia="Arial" w:hAnsi="Arial"/>
                <w:sz w:val="22"/>
                <w:szCs w:val="22"/>
                <w:color w:val="auto"/>
                <w:w w:val="95"/>
              </w:rPr>
              <w:t>Indemnification by Lenders</w:t>
            </w:r>
          </w:p>
        </w:tc>
        <w:tc>
          <w:tcPr>
            <w:tcW w:w="380" w:type="dxa"/>
            <w:vAlign w:val="bottom"/>
            <w:gridSpan w:val="6"/>
          </w:tcPr>
          <w:p>
            <w:pPr>
              <w:ind w:left="60"/>
              <w:spacing w:after="0" w:line="195" w:lineRule="exact"/>
              <w:rPr>
                <w:sz w:val="20"/>
                <w:szCs w:val="20"/>
                <w:color w:val="auto"/>
              </w:rPr>
            </w:pPr>
            <w:r>
              <w:rPr>
                <w:rFonts w:ascii="Arial" w:cs="Arial" w:eastAsia="Arial" w:hAnsi="Arial"/>
                <w:sz w:val="22"/>
                <w:szCs w:val="22"/>
                <w:color w:val="FF0000"/>
                <w:strike w:val="1"/>
                <w:w w:val="81"/>
              </w:rPr>
              <w:t>128</w:t>
            </w:r>
          </w:p>
        </w:tc>
        <w:tc>
          <w:tcPr>
            <w:tcW w:w="340" w:type="dxa"/>
            <w:vAlign w:val="bottom"/>
            <w:gridSpan w:val="6"/>
          </w:tcPr>
          <w:p>
            <w:pPr>
              <w:jc w:val="right"/>
              <w:spacing w:after="0" w:line="195" w:lineRule="exact"/>
              <w:rPr>
                <w:sz w:val="20"/>
                <w:szCs w:val="20"/>
                <w:color w:val="auto"/>
              </w:rPr>
            </w:pPr>
            <w:r>
              <w:rPr>
                <w:rFonts w:ascii="Arial" w:cs="Arial" w:eastAsia="Arial" w:hAnsi="Arial"/>
                <w:sz w:val="22"/>
                <w:szCs w:val="22"/>
                <w:color w:val="0000FF"/>
                <w:w w:val="81"/>
              </w:rPr>
              <w:t>133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0"/>
              </w:rPr>
              <w:t>Section 11.08</w:t>
            </w:r>
          </w:p>
        </w:tc>
        <w:tc>
          <w:tcPr>
            <w:tcW w:w="12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20" w:type="dxa"/>
            <w:vAlign w:val="bottom"/>
            <w:gridSpan w:val="4"/>
            <w:vMerge w:val="restart"/>
          </w:tcPr>
          <w:p>
            <w:pPr>
              <w:jc w:val="right"/>
              <w:spacing w:after="0" w:line="216" w:lineRule="exact"/>
              <w:rPr>
                <w:sz w:val="20"/>
                <w:szCs w:val="20"/>
                <w:color w:val="auto"/>
              </w:rPr>
            </w:pPr>
            <w:r>
              <w:rPr>
                <w:rFonts w:ascii="Arial" w:cs="Arial" w:eastAsia="Arial" w:hAnsi="Arial"/>
                <w:sz w:val="22"/>
                <w:szCs w:val="22"/>
                <w:color w:val="FF0000"/>
                <w:strike w:val="1"/>
              </w:rPr>
              <w:t>129</w:t>
            </w:r>
          </w:p>
        </w:tc>
        <w:tc>
          <w:tcPr>
            <w:tcW w:w="320" w:type="dxa"/>
            <w:vAlign w:val="bottom"/>
            <w:gridSpan w:val="5"/>
            <w:vMerge w:val="restart"/>
          </w:tcPr>
          <w:p>
            <w:pPr>
              <w:jc w:val="right"/>
              <w:spacing w:after="0" w:line="216" w:lineRule="exact"/>
              <w:rPr>
                <w:sz w:val="20"/>
                <w:szCs w:val="20"/>
                <w:color w:val="auto"/>
              </w:rPr>
            </w:pPr>
            <w:r>
              <w:rPr>
                <w:rFonts w:ascii="Arial" w:cs="Arial" w:eastAsia="Arial" w:hAnsi="Arial"/>
                <w:sz w:val="22"/>
                <w:szCs w:val="22"/>
                <w:color w:val="0000FF"/>
                <w:w w:val="81"/>
              </w:rPr>
              <w:t>133</w:t>
            </w:r>
          </w:p>
        </w:tc>
        <w:tc>
          <w:tcPr>
            <w:tcW w:w="2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40" w:type="dxa"/>
            <w:vAlign w:val="bottom"/>
            <w:gridSpan w:val="2"/>
            <w:vMerge w:val="continue"/>
          </w:tcPr>
          <w:p>
            <w:pPr>
              <w:spacing w:after="0"/>
              <w:rPr>
                <w:sz w:val="17"/>
                <w:szCs w:val="17"/>
                <w:color w:val="auto"/>
              </w:rPr>
            </w:pPr>
          </w:p>
        </w:tc>
        <w:tc>
          <w:tcPr>
            <w:tcW w:w="3420" w:type="dxa"/>
            <w:vAlign w:val="bottom"/>
            <w:gridSpan w:val="39"/>
          </w:tcPr>
          <w:p>
            <w:pPr>
              <w:ind w:left="160"/>
              <w:spacing w:after="0" w:line="195" w:lineRule="exact"/>
              <w:rPr>
                <w:sz w:val="20"/>
                <w:szCs w:val="20"/>
                <w:color w:val="auto"/>
              </w:rPr>
            </w:pPr>
            <w:r>
              <w:rPr>
                <w:rFonts w:ascii="Arial" w:cs="Arial" w:eastAsia="Arial" w:hAnsi="Arial"/>
                <w:sz w:val="22"/>
                <w:szCs w:val="22"/>
                <w:color w:val="auto"/>
                <w:w w:val="92"/>
              </w:rPr>
              <w:t>Agents in their Individual Capacities</w:t>
            </w:r>
          </w:p>
        </w:tc>
        <w:tc>
          <w:tcPr>
            <w:tcW w:w="40" w:type="dxa"/>
            <w:vAlign w:val="bottom"/>
            <w:gridSpan w:val="2"/>
            <w:vMerge w:val="continue"/>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320" w:type="dxa"/>
            <w:vAlign w:val="bottom"/>
            <w:tcBorders>
              <w:bottom w:val="single" w:sz="8" w:color="0000FF"/>
            </w:tcBorders>
            <w:gridSpan w:val="5"/>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11.09</w:t>
            </w:r>
          </w:p>
        </w:tc>
        <w:tc>
          <w:tcPr>
            <w:tcW w:w="1900" w:type="dxa"/>
            <w:vAlign w:val="bottom"/>
            <w:gridSpan w:val="11"/>
          </w:tcPr>
          <w:p>
            <w:pPr>
              <w:ind w:left="160"/>
              <w:spacing w:after="0" w:line="195" w:lineRule="exact"/>
              <w:rPr>
                <w:sz w:val="20"/>
                <w:szCs w:val="20"/>
                <w:color w:val="auto"/>
              </w:rPr>
            </w:pPr>
            <w:r>
              <w:rPr>
                <w:rFonts w:ascii="Arial" w:cs="Arial" w:eastAsia="Arial" w:hAnsi="Arial"/>
                <w:sz w:val="22"/>
                <w:szCs w:val="22"/>
                <w:color w:val="auto"/>
                <w:w w:val="96"/>
              </w:rPr>
              <w:t>Successor Agents</w:t>
            </w:r>
          </w:p>
        </w:tc>
        <w:tc>
          <w:tcPr>
            <w:tcW w:w="34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81"/>
              </w:rPr>
              <w:t>129</w:t>
            </w:r>
          </w:p>
        </w:tc>
        <w:tc>
          <w:tcPr>
            <w:tcW w:w="320" w:type="dxa"/>
            <w:vAlign w:val="bottom"/>
            <w:tcBorders>
              <w:bottom w:val="single" w:sz="8" w:color="0000FF"/>
            </w:tcBorders>
            <w:gridSpan w:val="9"/>
          </w:tcPr>
          <w:p>
            <w:pPr>
              <w:jc w:val="center"/>
              <w:spacing w:after="0" w:line="195" w:lineRule="exact"/>
              <w:rPr>
                <w:sz w:val="20"/>
                <w:szCs w:val="20"/>
                <w:color w:val="auto"/>
              </w:rPr>
            </w:pPr>
            <w:r>
              <w:rPr>
                <w:rFonts w:ascii="Arial" w:cs="Arial" w:eastAsia="Arial" w:hAnsi="Arial"/>
                <w:sz w:val="22"/>
                <w:szCs w:val="22"/>
                <w:color w:val="0000FF"/>
                <w:w w:val="81"/>
              </w:rPr>
              <w:t>134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11.10</w:t>
            </w:r>
          </w:p>
        </w:tc>
        <w:tc>
          <w:tcPr>
            <w:tcW w:w="1900" w:type="dxa"/>
            <w:vAlign w:val="bottom"/>
            <w:gridSpan w:val="11"/>
          </w:tcPr>
          <w:p>
            <w:pPr>
              <w:ind w:left="160"/>
              <w:spacing w:after="0" w:line="195" w:lineRule="exact"/>
              <w:rPr>
                <w:sz w:val="20"/>
                <w:szCs w:val="20"/>
                <w:color w:val="auto"/>
              </w:rPr>
            </w:pPr>
            <w:r>
              <w:rPr>
                <w:rFonts w:ascii="Arial" w:cs="Arial" w:eastAsia="Arial" w:hAnsi="Arial"/>
                <w:sz w:val="22"/>
                <w:szCs w:val="22"/>
                <w:color w:val="auto"/>
              </w:rPr>
              <w:t>Agents Generally</w:t>
            </w:r>
          </w:p>
        </w:tc>
        <w:tc>
          <w:tcPr>
            <w:tcW w:w="34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w w:val="81"/>
              </w:rPr>
              <w:t>129</w:t>
            </w:r>
          </w:p>
        </w:tc>
        <w:tc>
          <w:tcPr>
            <w:tcW w:w="300" w:type="dxa"/>
            <w:vAlign w:val="bottom"/>
            <w:tcBorders>
              <w:bottom w:val="single" w:sz="8" w:color="0000FF"/>
            </w:tcBorders>
            <w:gridSpan w:val="8"/>
          </w:tcPr>
          <w:p>
            <w:pPr>
              <w:jc w:val="center"/>
              <w:spacing w:after="0" w:line="195" w:lineRule="exact"/>
              <w:rPr>
                <w:sz w:val="20"/>
                <w:szCs w:val="20"/>
                <w:color w:val="auto"/>
              </w:rPr>
            </w:pPr>
            <w:r>
              <w:rPr>
                <w:rFonts w:ascii="Arial" w:cs="Arial" w:eastAsia="Arial" w:hAnsi="Arial"/>
                <w:sz w:val="22"/>
                <w:szCs w:val="22"/>
                <w:color w:val="0000FF"/>
                <w:w w:val="81"/>
              </w:rPr>
              <w:t>134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11.11</w:t>
            </w:r>
          </w:p>
        </w:tc>
        <w:tc>
          <w:tcPr>
            <w:tcW w:w="2240" w:type="dxa"/>
            <w:vAlign w:val="bottom"/>
            <w:gridSpan w:val="18"/>
          </w:tcPr>
          <w:p>
            <w:pPr>
              <w:ind w:left="160"/>
              <w:spacing w:after="0" w:line="195" w:lineRule="exact"/>
              <w:rPr>
                <w:sz w:val="20"/>
                <w:szCs w:val="20"/>
                <w:color w:val="auto"/>
              </w:rPr>
            </w:pPr>
            <w:r>
              <w:rPr>
                <w:rFonts w:ascii="Arial" w:cs="Arial" w:eastAsia="Arial" w:hAnsi="Arial"/>
                <w:sz w:val="22"/>
                <w:szCs w:val="22"/>
                <w:color w:val="auto"/>
                <w:w w:val="92"/>
              </w:rPr>
              <w:t>Restrictions on Actions</w:t>
            </w:r>
          </w:p>
        </w:tc>
        <w:tc>
          <w:tcPr>
            <w:tcW w:w="300" w:type="dxa"/>
            <w:vAlign w:val="bottom"/>
            <w:gridSpan w:val="8"/>
          </w:tcPr>
          <w:p>
            <w:pPr>
              <w:spacing w:after="0" w:line="195" w:lineRule="exact"/>
              <w:rPr>
                <w:sz w:val="20"/>
                <w:szCs w:val="20"/>
                <w:color w:val="auto"/>
              </w:rPr>
            </w:pPr>
            <w:r>
              <w:rPr>
                <w:rFonts w:ascii="Arial" w:cs="Arial" w:eastAsia="Arial" w:hAnsi="Arial"/>
                <w:sz w:val="22"/>
                <w:szCs w:val="22"/>
                <w:color w:val="auto"/>
              </w:rPr>
              <w:t>by</w:t>
            </w:r>
          </w:p>
        </w:tc>
        <w:tc>
          <w:tcPr>
            <w:tcW w:w="3420" w:type="dxa"/>
            <w:vAlign w:val="bottom"/>
            <w:gridSpan w:val="32"/>
          </w:tcPr>
          <w:p>
            <w:pPr>
              <w:spacing w:after="0" w:line="195" w:lineRule="exact"/>
              <w:rPr>
                <w:sz w:val="20"/>
                <w:szCs w:val="20"/>
                <w:color w:val="auto"/>
              </w:rPr>
            </w:pPr>
            <w:r>
              <w:rPr>
                <w:rFonts w:ascii="Arial" w:cs="Arial" w:eastAsia="Arial" w:hAnsi="Arial"/>
                <w:sz w:val="22"/>
                <w:szCs w:val="22"/>
                <w:color w:val="auto"/>
                <w:w w:val="91"/>
              </w:rPr>
              <w:t>Secured Parties; Sharing of Payments</w:t>
            </w:r>
          </w:p>
        </w:tc>
        <w:tc>
          <w:tcPr>
            <w:tcW w:w="3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129</w:t>
            </w:r>
          </w:p>
        </w:tc>
        <w:tc>
          <w:tcPr>
            <w:tcW w:w="34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7"/>
              </w:rPr>
              <w:t>134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11.12</w:t>
            </w:r>
          </w:p>
        </w:tc>
        <w:tc>
          <w:tcPr>
            <w:tcW w:w="2260" w:type="dxa"/>
            <w:vAlign w:val="bottom"/>
            <w:gridSpan w:val="19"/>
          </w:tcPr>
          <w:p>
            <w:pPr>
              <w:ind w:left="160"/>
              <w:spacing w:after="0" w:line="195" w:lineRule="exact"/>
              <w:rPr>
                <w:sz w:val="20"/>
                <w:szCs w:val="20"/>
                <w:color w:val="auto"/>
              </w:rPr>
            </w:pPr>
            <w:r>
              <w:rPr>
                <w:rFonts w:ascii="Arial" w:cs="Arial" w:eastAsia="Arial" w:hAnsi="Arial"/>
                <w:sz w:val="22"/>
                <w:szCs w:val="22"/>
                <w:color w:val="auto"/>
                <w:w w:val="98"/>
              </w:rPr>
              <w:t>Agency for Perfection</w:t>
            </w:r>
          </w:p>
        </w:tc>
        <w:tc>
          <w:tcPr>
            <w:tcW w:w="40" w:type="dxa"/>
            <w:vAlign w:val="bottom"/>
          </w:tcPr>
          <w:p>
            <w:pPr>
              <w:spacing w:after="0"/>
              <w:rPr>
                <w:sz w:val="17"/>
                <w:szCs w:val="17"/>
                <w:color w:val="auto"/>
              </w:rPr>
            </w:pPr>
          </w:p>
        </w:tc>
        <w:tc>
          <w:tcPr>
            <w:tcW w:w="420" w:type="dxa"/>
            <w:vAlign w:val="bottom"/>
            <w:gridSpan w:val="8"/>
          </w:tcPr>
          <w:p>
            <w:pPr>
              <w:jc w:val="right"/>
              <w:ind w:right="100"/>
              <w:spacing w:after="0" w:line="195" w:lineRule="exact"/>
              <w:rPr>
                <w:sz w:val="20"/>
                <w:szCs w:val="20"/>
                <w:color w:val="auto"/>
              </w:rPr>
            </w:pPr>
            <w:r>
              <w:rPr>
                <w:rFonts w:ascii="Arial" w:cs="Arial" w:eastAsia="Arial" w:hAnsi="Arial"/>
                <w:sz w:val="22"/>
                <w:szCs w:val="22"/>
                <w:color w:val="FF0000"/>
                <w:strike w:val="1"/>
                <w:w w:val="81"/>
              </w:rPr>
              <w:t>130</w:t>
            </w: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color w:val="0000FF"/>
                <w:w w:val="71"/>
              </w:rPr>
              <w:t>135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11.13</w:t>
            </w:r>
          </w:p>
        </w:tc>
        <w:tc>
          <w:tcPr>
            <w:tcW w:w="1220" w:type="dxa"/>
            <w:vAlign w:val="bottom"/>
            <w:gridSpan w:val="4"/>
          </w:tcPr>
          <w:p>
            <w:pPr>
              <w:ind w:left="160"/>
              <w:spacing w:after="0" w:line="195" w:lineRule="exact"/>
              <w:rPr>
                <w:sz w:val="20"/>
                <w:szCs w:val="20"/>
                <w:color w:val="auto"/>
              </w:rPr>
            </w:pPr>
            <w:r>
              <w:rPr>
                <w:rFonts w:ascii="Arial" w:cs="Arial" w:eastAsia="Arial" w:hAnsi="Arial"/>
                <w:sz w:val="22"/>
                <w:szCs w:val="22"/>
                <w:color w:val="auto"/>
              </w:rPr>
              <w:t>Credit Bid</w:t>
            </w:r>
          </w:p>
        </w:tc>
        <w:tc>
          <w:tcPr>
            <w:tcW w:w="38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97"/>
              </w:rPr>
              <w:t>130</w:t>
            </w:r>
          </w:p>
        </w:tc>
        <w:tc>
          <w:tcPr>
            <w:tcW w:w="340" w:type="dxa"/>
            <w:vAlign w:val="bottom"/>
            <w:tcBorders>
              <w:bottom w:val="single" w:sz="8" w:color="0000FF"/>
            </w:tcBorders>
            <w:gridSpan w:val="7"/>
          </w:tcPr>
          <w:p>
            <w:pPr>
              <w:ind w:left="20"/>
              <w:spacing w:after="0" w:line="195" w:lineRule="exact"/>
              <w:rPr>
                <w:sz w:val="20"/>
                <w:szCs w:val="20"/>
                <w:color w:val="auto"/>
              </w:rPr>
            </w:pPr>
            <w:r>
              <w:rPr>
                <w:rFonts w:ascii="Arial" w:cs="Arial" w:eastAsia="Arial" w:hAnsi="Arial"/>
                <w:sz w:val="22"/>
                <w:szCs w:val="22"/>
                <w:color w:val="0000FF"/>
                <w:w w:val="81"/>
              </w:rPr>
              <w:t>135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5" w:lineRule="exact"/>
              <w:rPr>
                <w:sz w:val="20"/>
                <w:szCs w:val="20"/>
                <w:color w:val="auto"/>
              </w:rPr>
            </w:pPr>
            <w:r>
              <w:rPr>
                <w:rFonts w:ascii="Arial" w:cs="Arial" w:eastAsia="Arial" w:hAnsi="Arial"/>
                <w:sz w:val="22"/>
                <w:szCs w:val="22"/>
                <w:color w:val="auto"/>
                <w:w w:val="90"/>
              </w:rPr>
              <w:t>Section 11.14</w:t>
            </w:r>
          </w:p>
        </w:tc>
        <w:tc>
          <w:tcPr>
            <w:tcW w:w="1940" w:type="dxa"/>
            <w:vAlign w:val="bottom"/>
            <w:gridSpan w:val="13"/>
          </w:tcPr>
          <w:p>
            <w:pPr>
              <w:ind w:left="160"/>
              <w:spacing w:after="0" w:line="195" w:lineRule="exact"/>
              <w:rPr>
                <w:sz w:val="20"/>
                <w:szCs w:val="20"/>
                <w:color w:val="auto"/>
              </w:rPr>
            </w:pPr>
            <w:r>
              <w:rPr>
                <w:rFonts w:ascii="Arial" w:cs="Arial" w:eastAsia="Arial" w:hAnsi="Arial"/>
                <w:sz w:val="22"/>
                <w:szCs w:val="22"/>
                <w:color w:val="auto"/>
                <w:w w:val="82"/>
              </w:rPr>
              <w:t>One Lender Sufficient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8"/>
          </w:tcPr>
          <w:p>
            <w:pPr>
              <w:jc w:val="right"/>
              <w:ind w:right="100"/>
              <w:spacing w:after="0" w:line="195" w:lineRule="exact"/>
              <w:rPr>
                <w:sz w:val="20"/>
                <w:szCs w:val="20"/>
                <w:color w:val="auto"/>
              </w:rPr>
            </w:pPr>
            <w:r>
              <w:rPr>
                <w:rFonts w:ascii="Arial" w:cs="Arial" w:eastAsia="Arial" w:hAnsi="Arial"/>
                <w:sz w:val="22"/>
                <w:szCs w:val="22"/>
                <w:color w:val="FF0000"/>
                <w:strike w:val="1"/>
                <w:w w:val="81"/>
              </w:rPr>
              <w:t>131</w:t>
            </w:r>
          </w:p>
        </w:tc>
        <w:tc>
          <w:tcPr>
            <w:tcW w:w="240" w:type="dxa"/>
            <w:vAlign w:val="bottom"/>
            <w:gridSpan w:val="3"/>
          </w:tcPr>
          <w:p>
            <w:pPr>
              <w:spacing w:after="0" w:line="196" w:lineRule="exact"/>
              <w:rPr>
                <w:sz w:val="20"/>
                <w:szCs w:val="20"/>
                <w:color w:val="auto"/>
              </w:rPr>
            </w:pPr>
            <w:r>
              <w:rPr>
                <w:rFonts w:ascii="Arial" w:cs="Arial" w:eastAsia="Arial" w:hAnsi="Arial"/>
                <w:sz w:val="18"/>
                <w:szCs w:val="18"/>
                <w:color w:val="0000FF"/>
                <w:w w:val="73"/>
              </w:rPr>
              <w:t>135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right w:val="single" w:sz="8" w:color="0000FF"/>
            </w:tcBorders>
            <w:gridSpan w:val="30"/>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68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1401" w:right="1440" w:bottom="1440" w:gutter="0" w:footer="0" w:header="0"/>
        </w:sectPr>
      </w:pPr>
    </w:p>
    <w:bookmarkStart w:id="52" w:name="page53"/>
    <w:bookmarkEnd w:id="52"/>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420" w:type="dxa"/>
            <w:vAlign w:val="bottom"/>
            <w:gridSpan w:val="65"/>
          </w:tcPr>
          <w:p>
            <w:pPr>
              <w:spacing w:after="0"/>
              <w:rPr>
                <w:sz w:val="20"/>
                <w:szCs w:val="20"/>
                <w:color w:val="auto"/>
              </w:rPr>
            </w:pPr>
            <w:r>
              <w:rPr>
                <w:rFonts w:ascii="Arial" w:cs="Arial" w:eastAsia="Arial" w:hAnsi="Arial"/>
                <w:sz w:val="22"/>
                <w:szCs w:val="22"/>
                <w:color w:val="auto"/>
              </w:rPr>
              <w:t>Article XII</w:t>
            </w:r>
          </w:p>
        </w:tc>
        <w:tc>
          <w:tcPr>
            <w:tcW w:w="0" w:type="dxa"/>
            <w:vAlign w:val="bottom"/>
          </w:tcPr>
          <w:p>
            <w:pPr>
              <w:spacing w:after="0"/>
              <w:rPr>
                <w:sz w:val="1"/>
                <w:szCs w:val="1"/>
                <w:color w:val="auto"/>
              </w:rPr>
            </w:pPr>
          </w:p>
        </w:tc>
      </w:tr>
      <w:tr>
        <w:trPr>
          <w:trHeight w:val="382"/>
        </w:trPr>
        <w:tc>
          <w:tcPr>
            <w:tcW w:w="9420" w:type="dxa"/>
            <w:vAlign w:val="bottom"/>
            <w:gridSpan w:val="65"/>
          </w:tcPr>
          <w:p>
            <w:pPr>
              <w:spacing w:after="0"/>
              <w:rPr>
                <w:sz w:val="20"/>
                <w:szCs w:val="20"/>
                <w:color w:val="auto"/>
              </w:rPr>
            </w:pPr>
            <w:r>
              <w:rPr>
                <w:rFonts w:ascii="Arial" w:cs="Arial" w:eastAsia="Arial" w:hAnsi="Arial"/>
                <w:sz w:val="22"/>
                <w:szCs w:val="22"/>
                <w:color w:val="auto"/>
              </w:rPr>
              <w:t xml:space="preserve">MISCELLANEOUS  </w:t>
            </w:r>
            <w:r>
              <w:rPr>
                <w:rFonts w:ascii="Arial" w:cs="Arial" w:eastAsia="Arial" w:hAnsi="Arial"/>
                <w:sz w:val="22"/>
                <w:szCs w:val="22"/>
                <w:color w:val="0000FF"/>
              </w:rPr>
              <w:t>136</w:t>
            </w:r>
          </w:p>
        </w:tc>
        <w:tc>
          <w:tcPr>
            <w:tcW w:w="0" w:type="dxa"/>
            <w:vAlign w:val="bottom"/>
          </w:tcPr>
          <w:p>
            <w:pPr>
              <w:spacing w:after="0"/>
              <w:rPr>
                <w:sz w:val="1"/>
                <w:szCs w:val="1"/>
                <w:color w:val="auto"/>
              </w:rPr>
            </w:pPr>
          </w:p>
        </w:tc>
      </w:tr>
      <w:tr>
        <w:trPr>
          <w:trHeight w:val="20"/>
        </w:trPr>
        <w:tc>
          <w:tcPr>
            <w:tcW w:w="9420" w:type="dxa"/>
            <w:vAlign w:val="bottom"/>
            <w:gridSpan w:val="6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2"/>
          </w:tcPr>
          <w:p>
            <w:pPr>
              <w:spacing w:after="0"/>
              <w:rPr>
                <w:sz w:val="20"/>
                <w:szCs w:val="20"/>
                <w:color w:val="auto"/>
              </w:rPr>
            </w:pPr>
            <w:r>
              <w:rPr>
                <w:rFonts w:ascii="Arial" w:cs="Arial" w:eastAsia="Arial" w:hAnsi="Arial"/>
                <w:sz w:val="22"/>
                <w:szCs w:val="22"/>
                <w:color w:val="auto"/>
                <w:w w:val="95"/>
              </w:rPr>
              <w:t>Section 12.01</w:t>
            </w:r>
          </w:p>
        </w:tc>
        <w:tc>
          <w:tcPr>
            <w:tcW w:w="2400" w:type="dxa"/>
            <w:vAlign w:val="bottom"/>
            <w:gridSpan w:val="23"/>
          </w:tcPr>
          <w:p>
            <w:pPr>
              <w:ind w:left="120"/>
              <w:spacing w:after="0"/>
              <w:rPr>
                <w:sz w:val="20"/>
                <w:szCs w:val="20"/>
                <w:color w:val="auto"/>
              </w:rPr>
            </w:pPr>
            <w:r>
              <w:rPr>
                <w:rFonts w:ascii="Arial" w:cs="Arial" w:eastAsia="Arial" w:hAnsi="Arial"/>
                <w:sz w:val="22"/>
                <w:szCs w:val="22"/>
                <w:color w:val="auto"/>
                <w:w w:val="87"/>
              </w:rPr>
              <w:t>Amendments and Waivers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6"/>
          </w:tcPr>
          <w:p>
            <w:pPr>
              <w:spacing w:after="0"/>
              <w:rPr>
                <w:sz w:val="20"/>
                <w:szCs w:val="20"/>
                <w:color w:val="auto"/>
              </w:rPr>
            </w:pPr>
            <w:r>
              <w:rPr>
                <w:rFonts w:ascii="Arial" w:cs="Arial" w:eastAsia="Arial" w:hAnsi="Arial"/>
                <w:sz w:val="22"/>
                <w:szCs w:val="22"/>
                <w:color w:val="FF0000"/>
                <w:strike w:val="1"/>
                <w:w w:val="81"/>
              </w:rPr>
              <w:t>131</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136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12.02</w:t>
            </w:r>
          </w:p>
        </w:tc>
        <w:tc>
          <w:tcPr>
            <w:tcW w:w="2920" w:type="dxa"/>
            <w:vAlign w:val="bottom"/>
            <w:gridSpan w:val="33"/>
          </w:tcPr>
          <w:p>
            <w:pPr>
              <w:ind w:left="120"/>
              <w:spacing w:after="0" w:line="195" w:lineRule="exact"/>
              <w:rPr>
                <w:sz w:val="20"/>
                <w:szCs w:val="20"/>
                <w:color w:val="auto"/>
              </w:rPr>
            </w:pPr>
            <w:r>
              <w:rPr>
                <w:rFonts w:ascii="Arial" w:cs="Arial" w:eastAsia="Arial" w:hAnsi="Arial"/>
                <w:sz w:val="22"/>
                <w:szCs w:val="22"/>
                <w:color w:val="auto"/>
                <w:w w:val="80"/>
              </w:rPr>
              <w:t>Notices and Other Communications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rPr>
              <w:t>133</w:t>
            </w:r>
          </w:p>
        </w:tc>
        <w:tc>
          <w:tcPr>
            <w:tcW w:w="3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137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12.03</w:t>
            </w:r>
          </w:p>
        </w:tc>
        <w:tc>
          <w:tcPr>
            <w:tcW w:w="3240" w:type="dxa"/>
            <w:vAlign w:val="bottom"/>
            <w:gridSpan w:val="37"/>
          </w:tcPr>
          <w:p>
            <w:pPr>
              <w:ind w:left="120"/>
              <w:spacing w:after="0" w:line="195" w:lineRule="exact"/>
              <w:rPr>
                <w:sz w:val="20"/>
                <w:szCs w:val="20"/>
                <w:color w:val="auto"/>
              </w:rPr>
            </w:pPr>
            <w:r>
              <w:rPr>
                <w:rFonts w:ascii="Arial" w:cs="Arial" w:eastAsia="Arial" w:hAnsi="Arial"/>
                <w:sz w:val="22"/>
                <w:szCs w:val="22"/>
                <w:color w:val="auto"/>
                <w:w w:val="93"/>
              </w:rPr>
              <w:t>No Waiver; Cumulative Remedies</w:t>
            </w:r>
          </w:p>
        </w:tc>
        <w:tc>
          <w:tcPr>
            <w:tcW w:w="38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97"/>
              </w:rPr>
              <w:t>135</w:t>
            </w:r>
          </w:p>
        </w:tc>
        <w:tc>
          <w:tcPr>
            <w:tcW w:w="3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139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12.04</w:t>
            </w:r>
          </w:p>
        </w:tc>
        <w:tc>
          <w:tcPr>
            <w:tcW w:w="3940" w:type="dxa"/>
            <w:vAlign w:val="bottom"/>
            <w:gridSpan w:val="42"/>
          </w:tcPr>
          <w:p>
            <w:pPr>
              <w:ind w:left="120"/>
              <w:spacing w:after="0" w:line="195" w:lineRule="exact"/>
              <w:rPr>
                <w:sz w:val="20"/>
                <w:szCs w:val="20"/>
                <w:color w:val="auto"/>
              </w:rPr>
            </w:pPr>
            <w:r>
              <w:rPr>
                <w:rFonts w:ascii="Arial" w:cs="Arial" w:eastAsia="Arial" w:hAnsi="Arial"/>
                <w:sz w:val="22"/>
                <w:szCs w:val="22"/>
                <w:color w:val="auto"/>
                <w:w w:val="89"/>
              </w:rPr>
              <w:t>Survival of Representations and Warranties</w:t>
            </w:r>
          </w:p>
        </w:tc>
        <w:tc>
          <w:tcPr>
            <w:tcW w:w="46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rPr>
              <w:t>135</w:t>
            </w:r>
          </w:p>
        </w:tc>
        <w:tc>
          <w:tcPr>
            <w:tcW w:w="3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140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12.05</w:t>
            </w:r>
          </w:p>
        </w:tc>
        <w:tc>
          <w:tcPr>
            <w:tcW w:w="4400" w:type="dxa"/>
            <w:vAlign w:val="bottom"/>
            <w:gridSpan w:val="44"/>
          </w:tcPr>
          <w:p>
            <w:pPr>
              <w:ind w:left="120"/>
              <w:spacing w:after="0" w:line="195" w:lineRule="exact"/>
              <w:rPr>
                <w:sz w:val="20"/>
                <w:szCs w:val="20"/>
                <w:color w:val="auto"/>
              </w:rPr>
            </w:pPr>
            <w:r>
              <w:rPr>
                <w:rFonts w:ascii="Arial" w:cs="Arial" w:eastAsia="Arial" w:hAnsi="Arial"/>
                <w:sz w:val="22"/>
                <w:szCs w:val="22"/>
                <w:color w:val="auto"/>
                <w:w w:val="88"/>
              </w:rPr>
              <w:t>Payment of Expenses and Taxes; Indemnification</w:t>
            </w:r>
          </w:p>
        </w:tc>
        <w:tc>
          <w:tcPr>
            <w:tcW w:w="200" w:type="dxa"/>
            <w:vAlign w:val="bottom"/>
          </w:tcPr>
          <w:p>
            <w:pPr>
              <w:spacing w:after="0"/>
              <w:rPr>
                <w:sz w:val="17"/>
                <w:szCs w:val="17"/>
                <w:color w:val="auto"/>
              </w:rPr>
            </w:pPr>
          </w:p>
        </w:tc>
        <w:tc>
          <w:tcPr>
            <w:tcW w:w="3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135</w:t>
            </w:r>
          </w:p>
        </w:tc>
        <w:tc>
          <w:tcPr>
            <w:tcW w:w="360" w:type="dxa"/>
            <w:vAlign w:val="bottom"/>
            <w:gridSpan w:val="4"/>
          </w:tcPr>
          <w:p>
            <w:pPr>
              <w:jc w:val="right"/>
              <w:spacing w:after="0" w:line="195" w:lineRule="exact"/>
              <w:rPr>
                <w:sz w:val="20"/>
                <w:szCs w:val="20"/>
                <w:color w:val="auto"/>
              </w:rPr>
            </w:pPr>
            <w:r>
              <w:rPr>
                <w:rFonts w:ascii="Arial" w:cs="Arial" w:eastAsia="Arial" w:hAnsi="Arial"/>
                <w:sz w:val="22"/>
                <w:szCs w:val="22"/>
                <w:color w:val="0000FF"/>
                <w:w w:val="81"/>
              </w:rPr>
              <w:t>140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12.06</w:t>
            </w:r>
          </w:p>
        </w:tc>
        <w:tc>
          <w:tcPr>
            <w:tcW w:w="4920" w:type="dxa"/>
            <w:vAlign w:val="bottom"/>
            <w:gridSpan w:val="48"/>
          </w:tcPr>
          <w:p>
            <w:pPr>
              <w:ind w:left="120"/>
              <w:spacing w:after="0" w:line="195" w:lineRule="exact"/>
              <w:rPr>
                <w:sz w:val="20"/>
                <w:szCs w:val="20"/>
                <w:color w:val="auto"/>
              </w:rPr>
            </w:pPr>
            <w:r>
              <w:rPr>
                <w:rFonts w:ascii="Arial" w:cs="Arial" w:eastAsia="Arial" w:hAnsi="Arial"/>
                <w:sz w:val="22"/>
                <w:szCs w:val="22"/>
                <w:color w:val="auto"/>
                <w:w w:val="85"/>
              </w:rPr>
              <w:t>Successors and Assigns; Participations and Assignments</w:t>
            </w: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70"/>
              </w:rPr>
              <w:t>137</w:t>
            </w:r>
          </w:p>
        </w:tc>
        <w:tc>
          <w:tcPr>
            <w:tcW w:w="3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141</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12.07</w:t>
            </w:r>
          </w:p>
        </w:tc>
        <w:tc>
          <w:tcPr>
            <w:tcW w:w="5840" w:type="dxa"/>
            <w:vAlign w:val="bottom"/>
            <w:gridSpan w:val="57"/>
          </w:tcPr>
          <w:p>
            <w:pPr>
              <w:ind w:left="120"/>
              <w:spacing w:after="0" w:line="195" w:lineRule="exact"/>
              <w:rPr>
                <w:sz w:val="20"/>
                <w:szCs w:val="20"/>
                <w:color w:val="auto"/>
              </w:rPr>
            </w:pPr>
            <w:r>
              <w:rPr>
                <w:rFonts w:ascii="Arial" w:cs="Arial" w:eastAsia="Arial" w:hAnsi="Arial"/>
                <w:sz w:val="22"/>
                <w:szCs w:val="22"/>
                <w:color w:val="auto"/>
                <w:w w:val="87"/>
              </w:rPr>
              <w:t>Mitigation Obligations and Replacements of Lenders under Certain</w:t>
            </w:r>
          </w:p>
        </w:tc>
        <w:tc>
          <w:tcPr>
            <w:tcW w:w="1640" w:type="dxa"/>
            <w:vAlign w:val="bottom"/>
            <w:gridSpan w:val="3"/>
          </w:tcPr>
          <w:p>
            <w:pPr>
              <w:ind w:left="160"/>
              <w:spacing w:after="0" w:line="195" w:lineRule="exact"/>
              <w:rPr>
                <w:sz w:val="20"/>
                <w:szCs w:val="20"/>
                <w:color w:val="auto"/>
              </w:rPr>
            </w:pPr>
            <w:r>
              <w:rPr>
                <w:rFonts w:ascii="Arial" w:cs="Arial" w:eastAsia="Arial" w:hAnsi="Arial"/>
                <w:sz w:val="22"/>
                <w:szCs w:val="22"/>
                <w:color w:val="auto"/>
              </w:rPr>
              <w:t>Circumstances</w:t>
            </w:r>
          </w:p>
        </w:tc>
        <w:tc>
          <w:tcPr>
            <w:tcW w:w="3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143</w:t>
            </w:r>
          </w:p>
        </w:tc>
        <w:tc>
          <w:tcPr>
            <w:tcW w:w="3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1"/>
              </w:rPr>
              <w:t>147</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12.08</w:t>
            </w:r>
          </w:p>
        </w:tc>
        <w:tc>
          <w:tcPr>
            <w:tcW w:w="1260" w:type="dxa"/>
            <w:vAlign w:val="bottom"/>
            <w:gridSpan w:val="3"/>
          </w:tcPr>
          <w:p>
            <w:pPr>
              <w:ind w:left="120"/>
              <w:spacing w:after="0" w:line="195" w:lineRule="exact"/>
              <w:rPr>
                <w:sz w:val="20"/>
                <w:szCs w:val="20"/>
                <w:color w:val="auto"/>
              </w:rPr>
            </w:pPr>
            <w:r>
              <w:rPr>
                <w:rFonts w:ascii="Arial" w:cs="Arial" w:eastAsia="Arial" w:hAnsi="Arial"/>
                <w:sz w:val="22"/>
                <w:szCs w:val="22"/>
                <w:color w:val="auto"/>
                <w:w w:val="95"/>
              </w:rPr>
              <w:t>[Reserved]</w:t>
            </w:r>
          </w:p>
        </w:tc>
        <w:tc>
          <w:tcPr>
            <w:tcW w:w="3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7"/>
              </w:rPr>
              <w:t>144</w:t>
            </w:r>
          </w:p>
        </w:tc>
        <w:tc>
          <w:tcPr>
            <w:tcW w:w="6520" w:type="dxa"/>
            <w:vAlign w:val="bottom"/>
            <w:gridSpan w:val="56"/>
          </w:tcPr>
          <w:p>
            <w:pPr>
              <w:jc w:val="right"/>
              <w:ind w:right="6092"/>
              <w:spacing w:after="0" w:line="195" w:lineRule="exact"/>
              <w:rPr>
                <w:sz w:val="20"/>
                <w:szCs w:val="20"/>
                <w:color w:val="auto"/>
              </w:rPr>
            </w:pPr>
            <w:r>
              <w:rPr>
                <w:rFonts w:ascii="Arial" w:cs="Arial" w:eastAsia="Arial" w:hAnsi="Arial"/>
                <w:sz w:val="22"/>
                <w:szCs w:val="22"/>
                <w:color w:val="0000FF"/>
                <w:w w:val="81"/>
              </w:rPr>
              <w:t>149</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12.09</w:t>
            </w:r>
          </w:p>
        </w:tc>
        <w:tc>
          <w:tcPr>
            <w:tcW w:w="1600" w:type="dxa"/>
            <w:vAlign w:val="bottom"/>
            <w:gridSpan w:val="7"/>
          </w:tcPr>
          <w:p>
            <w:pPr>
              <w:ind w:left="120"/>
              <w:spacing w:after="0" w:line="195" w:lineRule="exact"/>
              <w:rPr>
                <w:sz w:val="20"/>
                <w:szCs w:val="20"/>
                <w:color w:val="auto"/>
              </w:rPr>
            </w:pPr>
            <w:r>
              <w:rPr>
                <w:rFonts w:ascii="Arial" w:cs="Arial" w:eastAsia="Arial" w:hAnsi="Arial"/>
                <w:sz w:val="22"/>
                <w:szCs w:val="22"/>
                <w:color w:val="auto"/>
                <w:w w:val="87"/>
              </w:rPr>
              <w:t>Adjustments; Set</w:t>
            </w:r>
          </w:p>
        </w:tc>
        <w:tc>
          <w:tcPr>
            <w:tcW w:w="320" w:type="dxa"/>
            <w:vAlign w:val="bottom"/>
            <w:tcBorders>
              <w:top w:val="single" w:sz="8" w:color="0000FF"/>
            </w:tcBorders>
            <w:gridSpan w:val="4"/>
          </w:tcPr>
          <w:p>
            <w:pPr>
              <w:jc w:val="center"/>
              <w:spacing w:after="0" w:line="195" w:lineRule="exact"/>
              <w:rPr>
                <w:sz w:val="20"/>
                <w:szCs w:val="20"/>
                <w:color w:val="auto"/>
              </w:rPr>
            </w:pPr>
            <w:r>
              <w:rPr>
                <w:rFonts w:ascii="Arial" w:cs="Arial" w:eastAsia="Arial" w:hAnsi="Arial"/>
                <w:sz w:val="22"/>
                <w:szCs w:val="22"/>
                <w:color w:val="auto"/>
                <w:w w:val="87"/>
              </w:rPr>
              <w:t>-Off</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9"/>
          </w:tcPr>
          <w:p>
            <w:pPr>
              <w:jc w:val="right"/>
              <w:spacing w:after="0" w:line="195" w:lineRule="exact"/>
              <w:rPr>
                <w:sz w:val="20"/>
                <w:szCs w:val="20"/>
                <w:color w:val="auto"/>
              </w:rPr>
            </w:pPr>
            <w:r>
              <w:rPr>
                <w:rFonts w:ascii="Arial" w:cs="Arial" w:eastAsia="Arial" w:hAnsi="Arial"/>
                <w:sz w:val="22"/>
                <w:szCs w:val="22"/>
                <w:color w:val="FF0000"/>
                <w:strike w:val="1"/>
              </w:rPr>
              <w:t>144</w:t>
            </w:r>
          </w:p>
        </w:tc>
        <w:tc>
          <w:tcPr>
            <w:tcW w:w="34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22"/>
                <w:szCs w:val="22"/>
                <w:color w:val="0000FF"/>
                <w:w w:val="87"/>
              </w:rPr>
              <w:t>149</w:t>
            </w:r>
          </w:p>
        </w:tc>
        <w:tc>
          <w:tcPr>
            <w:tcW w:w="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12.10</w:t>
            </w:r>
          </w:p>
        </w:tc>
        <w:tc>
          <w:tcPr>
            <w:tcW w:w="2500" w:type="dxa"/>
            <w:vAlign w:val="bottom"/>
            <w:gridSpan w:val="26"/>
          </w:tcPr>
          <w:p>
            <w:pPr>
              <w:ind w:left="120"/>
              <w:spacing w:after="0" w:line="195" w:lineRule="exact"/>
              <w:rPr>
                <w:sz w:val="20"/>
                <w:szCs w:val="20"/>
                <w:color w:val="auto"/>
              </w:rPr>
            </w:pPr>
            <w:r>
              <w:rPr>
                <w:rFonts w:ascii="Arial" w:cs="Arial" w:eastAsia="Arial" w:hAnsi="Arial"/>
                <w:sz w:val="22"/>
                <w:szCs w:val="22"/>
                <w:color w:val="auto"/>
                <w:w w:val="92"/>
              </w:rPr>
              <w:t>Effectiveness of Facsimile</w:t>
            </w:r>
          </w:p>
        </w:tc>
        <w:tc>
          <w:tcPr>
            <w:tcW w:w="2320" w:type="dxa"/>
            <w:vAlign w:val="bottom"/>
            <w:gridSpan w:val="21"/>
          </w:tcPr>
          <w:p>
            <w:pPr>
              <w:spacing w:after="0" w:line="195" w:lineRule="exact"/>
              <w:rPr>
                <w:sz w:val="20"/>
                <w:szCs w:val="20"/>
                <w:color w:val="auto"/>
              </w:rPr>
            </w:pPr>
            <w:r>
              <w:rPr>
                <w:rFonts w:ascii="Arial" w:cs="Arial" w:eastAsia="Arial" w:hAnsi="Arial"/>
                <w:sz w:val="22"/>
                <w:szCs w:val="22"/>
                <w:color w:val="auto"/>
                <w:w w:val="86"/>
              </w:rPr>
              <w:t>Documents and Signatures</w:t>
            </w:r>
          </w:p>
        </w:tc>
        <w:tc>
          <w:tcPr>
            <w:tcW w:w="140" w:type="dxa"/>
            <w:vAlign w:val="bottom"/>
            <w:gridSpan w:val="2"/>
          </w:tcPr>
          <w:p>
            <w:pPr>
              <w:spacing w:after="0"/>
              <w:rPr>
                <w:sz w:val="17"/>
                <w:szCs w:val="17"/>
                <w:color w:val="auto"/>
              </w:rPr>
            </w:pPr>
          </w:p>
        </w:tc>
        <w:tc>
          <w:tcPr>
            <w:tcW w:w="3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7"/>
              </w:rPr>
              <w:t>145</w:t>
            </w:r>
          </w:p>
        </w:tc>
        <w:tc>
          <w:tcPr>
            <w:tcW w:w="34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7"/>
              </w:rPr>
              <w:t>149</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12.11</w:t>
            </w:r>
          </w:p>
        </w:tc>
        <w:tc>
          <w:tcPr>
            <w:tcW w:w="1440" w:type="dxa"/>
            <w:vAlign w:val="bottom"/>
            <w:gridSpan w:val="4"/>
          </w:tcPr>
          <w:p>
            <w:pPr>
              <w:ind w:left="100"/>
              <w:spacing w:after="0" w:line="195" w:lineRule="exact"/>
              <w:rPr>
                <w:sz w:val="20"/>
                <w:szCs w:val="20"/>
                <w:color w:val="auto"/>
              </w:rPr>
            </w:pPr>
            <w:r>
              <w:rPr>
                <w:rFonts w:ascii="Arial" w:cs="Arial" w:eastAsia="Arial" w:hAnsi="Arial"/>
                <w:sz w:val="22"/>
                <w:szCs w:val="22"/>
                <w:color w:val="auto"/>
              </w:rPr>
              <w:t>Counterparts</w:t>
            </w:r>
          </w:p>
        </w:tc>
        <w:tc>
          <w:tcPr>
            <w:tcW w:w="32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w w:val="81"/>
              </w:rPr>
              <w:t>145</w:t>
            </w:r>
          </w:p>
        </w:tc>
        <w:tc>
          <w:tcPr>
            <w:tcW w:w="32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22"/>
                <w:szCs w:val="22"/>
                <w:color w:val="0000FF"/>
                <w:w w:val="81"/>
              </w:rPr>
              <w:t>150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12.12</w:t>
            </w:r>
          </w:p>
        </w:tc>
        <w:tc>
          <w:tcPr>
            <w:tcW w:w="1160" w:type="dxa"/>
            <w:vAlign w:val="bottom"/>
            <w:gridSpan w:val="2"/>
          </w:tcPr>
          <w:p>
            <w:pPr>
              <w:ind w:left="120"/>
              <w:spacing w:after="0" w:line="195" w:lineRule="exact"/>
              <w:rPr>
                <w:sz w:val="20"/>
                <w:szCs w:val="20"/>
                <w:color w:val="auto"/>
              </w:rPr>
            </w:pPr>
            <w:r>
              <w:rPr>
                <w:rFonts w:ascii="Arial" w:cs="Arial" w:eastAsia="Arial" w:hAnsi="Arial"/>
                <w:sz w:val="22"/>
                <w:szCs w:val="22"/>
                <w:color w:val="auto"/>
                <w:w w:val="89"/>
              </w:rPr>
              <w:t>Severability</w:t>
            </w:r>
          </w:p>
        </w:tc>
        <w:tc>
          <w:tcPr>
            <w:tcW w:w="100" w:type="dxa"/>
            <w:vAlign w:val="bottom"/>
          </w:tcPr>
          <w:p>
            <w:pPr>
              <w:spacing w:after="0"/>
              <w:rPr>
                <w:sz w:val="17"/>
                <w:szCs w:val="17"/>
                <w:color w:val="auto"/>
              </w:rPr>
            </w:pPr>
          </w:p>
        </w:tc>
        <w:tc>
          <w:tcPr>
            <w:tcW w:w="440" w:type="dxa"/>
            <w:vAlign w:val="bottom"/>
            <w:gridSpan w:val="5"/>
          </w:tcPr>
          <w:p>
            <w:pPr>
              <w:jc w:val="right"/>
              <w:spacing w:after="0" w:line="195" w:lineRule="exact"/>
              <w:rPr>
                <w:sz w:val="20"/>
                <w:szCs w:val="20"/>
                <w:color w:val="auto"/>
              </w:rPr>
            </w:pPr>
            <w:r>
              <w:rPr>
                <w:rFonts w:ascii="Arial" w:cs="Arial" w:eastAsia="Arial" w:hAnsi="Arial"/>
                <w:sz w:val="22"/>
                <w:szCs w:val="22"/>
                <w:color w:val="FF0000"/>
                <w:strike w:val="1"/>
              </w:rPr>
              <w:t>145</w:t>
            </w:r>
          </w:p>
        </w:tc>
        <w:tc>
          <w:tcPr>
            <w:tcW w:w="60" w:type="dxa"/>
            <w:vAlign w:val="bottom"/>
            <w:tcBorders>
              <w:bottom w:val="single" w:sz="8" w:color="0000FF"/>
            </w:tcBorders>
          </w:tcPr>
          <w:p>
            <w:pPr>
              <w:spacing w:after="0"/>
              <w:rPr>
                <w:sz w:val="17"/>
                <w:szCs w:val="17"/>
                <w:color w:val="auto"/>
              </w:rPr>
            </w:pPr>
          </w:p>
        </w:tc>
        <w:tc>
          <w:tcPr>
            <w:tcW w:w="26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9"/>
                <w:szCs w:val="19"/>
                <w:color w:val="0000FF"/>
                <w:w w:val="75"/>
              </w:rPr>
              <w:t>150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12.13</w:t>
            </w:r>
          </w:p>
        </w:tc>
        <w:tc>
          <w:tcPr>
            <w:tcW w:w="1260" w:type="dxa"/>
            <w:vAlign w:val="bottom"/>
            <w:gridSpan w:val="3"/>
          </w:tcPr>
          <w:p>
            <w:pPr>
              <w:ind w:left="120"/>
              <w:spacing w:after="0" w:line="195" w:lineRule="exact"/>
              <w:rPr>
                <w:sz w:val="20"/>
                <w:szCs w:val="20"/>
                <w:color w:val="auto"/>
              </w:rPr>
            </w:pPr>
            <w:r>
              <w:rPr>
                <w:rFonts w:ascii="Arial" w:cs="Arial" w:eastAsia="Arial" w:hAnsi="Arial"/>
                <w:sz w:val="22"/>
                <w:szCs w:val="22"/>
                <w:color w:val="auto"/>
                <w:w w:val="98"/>
              </w:rPr>
              <w:t>Integration</w:t>
            </w:r>
          </w:p>
        </w:tc>
        <w:tc>
          <w:tcPr>
            <w:tcW w:w="3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7"/>
              </w:rPr>
              <w:t>146</w:t>
            </w:r>
          </w:p>
        </w:tc>
        <w:tc>
          <w:tcPr>
            <w:tcW w:w="6520" w:type="dxa"/>
            <w:vAlign w:val="bottom"/>
            <w:gridSpan w:val="56"/>
          </w:tcPr>
          <w:p>
            <w:pPr>
              <w:jc w:val="right"/>
              <w:ind w:right="6092"/>
              <w:spacing w:after="0" w:line="195" w:lineRule="exact"/>
              <w:rPr>
                <w:sz w:val="20"/>
                <w:szCs w:val="20"/>
                <w:color w:val="auto"/>
              </w:rPr>
            </w:pPr>
            <w:r>
              <w:rPr>
                <w:rFonts w:ascii="Arial" w:cs="Arial" w:eastAsia="Arial" w:hAnsi="Arial"/>
                <w:sz w:val="22"/>
                <w:szCs w:val="22"/>
                <w:color w:val="0000FF"/>
                <w:w w:val="81"/>
              </w:rPr>
              <w:t>150</w:t>
            </w:r>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95"/>
              </w:rPr>
              <w:t>Section 12.14</w:t>
            </w:r>
          </w:p>
        </w:tc>
        <w:tc>
          <w:tcPr>
            <w:tcW w:w="1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gridSpan w:val="8"/>
            <w:vMerge w:val="restart"/>
          </w:tcPr>
          <w:p>
            <w:pPr>
              <w:jc w:val="right"/>
              <w:spacing w:after="0" w:line="216" w:lineRule="exact"/>
              <w:rPr>
                <w:sz w:val="20"/>
                <w:szCs w:val="20"/>
                <w:color w:val="auto"/>
              </w:rPr>
            </w:pPr>
            <w:r>
              <w:rPr>
                <w:rFonts w:ascii="Arial" w:cs="Arial" w:eastAsia="Arial" w:hAnsi="Arial"/>
                <w:sz w:val="22"/>
                <w:szCs w:val="22"/>
                <w:color w:val="FF0000"/>
                <w:strike w:val="1"/>
                <w:w w:val="97"/>
              </w:rPr>
              <w:t>146</w:t>
            </w:r>
          </w:p>
        </w:tc>
        <w:tc>
          <w:tcPr>
            <w:tcW w:w="360" w:type="dxa"/>
            <w:vAlign w:val="bottom"/>
            <w:gridSpan w:val="6"/>
            <w:vMerge w:val="restart"/>
          </w:tcPr>
          <w:p>
            <w:pPr>
              <w:jc w:val="right"/>
              <w:ind w:right="40"/>
              <w:spacing w:after="0" w:line="216" w:lineRule="exact"/>
              <w:rPr>
                <w:sz w:val="20"/>
                <w:szCs w:val="20"/>
                <w:color w:val="auto"/>
              </w:rPr>
            </w:pPr>
            <w:r>
              <w:rPr>
                <w:rFonts w:ascii="Arial" w:cs="Arial" w:eastAsia="Arial" w:hAnsi="Arial"/>
                <w:sz w:val="22"/>
                <w:szCs w:val="22"/>
                <w:color w:val="0000FF"/>
                <w:w w:val="81"/>
              </w:rPr>
              <w:t>150</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vMerge w:val="continue"/>
          </w:tcPr>
          <w:p>
            <w:pPr>
              <w:spacing w:after="0"/>
              <w:rPr>
                <w:sz w:val="17"/>
                <w:szCs w:val="17"/>
                <w:color w:val="auto"/>
              </w:rPr>
            </w:pPr>
          </w:p>
        </w:tc>
        <w:tc>
          <w:tcPr>
            <w:tcW w:w="1920" w:type="dxa"/>
            <w:vAlign w:val="bottom"/>
            <w:gridSpan w:val="11"/>
          </w:tcPr>
          <w:p>
            <w:pPr>
              <w:ind w:left="120"/>
              <w:spacing w:after="0" w:line="195" w:lineRule="exact"/>
              <w:rPr>
                <w:sz w:val="20"/>
                <w:szCs w:val="20"/>
                <w:color w:val="auto"/>
              </w:rPr>
            </w:pPr>
            <w:r>
              <w:rPr>
                <w:rFonts w:ascii="Arial" w:cs="Arial" w:eastAsia="Arial" w:hAnsi="Arial"/>
                <w:sz w:val="22"/>
                <w:szCs w:val="22"/>
                <w:color w:val="auto"/>
                <w:w w:val="93"/>
              </w:rPr>
              <w:t>GOVERNING LAW</w:t>
            </w: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80" w:type="dxa"/>
            <w:vAlign w:val="bottom"/>
            <w:gridSpan w:val="8"/>
            <w:vMerge w:val="continue"/>
          </w:tcPr>
          <w:p>
            <w:pPr>
              <w:spacing w:after="0"/>
              <w:rPr>
                <w:sz w:val="17"/>
                <w:szCs w:val="17"/>
                <w:color w:val="auto"/>
              </w:rPr>
            </w:pPr>
          </w:p>
        </w:tc>
        <w:tc>
          <w:tcPr>
            <w:tcW w:w="360" w:type="dxa"/>
            <w:vAlign w:val="bottom"/>
            <w:gridSpan w:val="6"/>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12.15</w:t>
            </w:r>
          </w:p>
        </w:tc>
        <w:tc>
          <w:tcPr>
            <w:tcW w:w="2400" w:type="dxa"/>
            <w:vAlign w:val="bottom"/>
            <w:gridSpan w:val="23"/>
          </w:tcPr>
          <w:p>
            <w:pPr>
              <w:ind w:left="120"/>
              <w:spacing w:after="0" w:line="195" w:lineRule="exact"/>
              <w:rPr>
                <w:sz w:val="20"/>
                <w:szCs w:val="20"/>
                <w:color w:val="auto"/>
              </w:rPr>
            </w:pPr>
            <w:r>
              <w:rPr>
                <w:rFonts w:ascii="Arial" w:cs="Arial" w:eastAsia="Arial" w:hAnsi="Arial"/>
                <w:sz w:val="22"/>
                <w:szCs w:val="22"/>
                <w:color w:val="auto"/>
                <w:w w:val="94"/>
              </w:rPr>
              <w:t>Waiver of Certain Rights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FF"/>
            </w:tcBorders>
            <w:gridSpan w:val="5"/>
          </w:tcPr>
          <w:p>
            <w:pPr>
              <w:ind w:left="20"/>
              <w:spacing w:after="0" w:line="195" w:lineRule="exact"/>
              <w:rPr>
                <w:sz w:val="20"/>
                <w:szCs w:val="20"/>
                <w:color w:val="auto"/>
              </w:rPr>
            </w:pPr>
            <w:r>
              <w:rPr>
                <w:rFonts w:ascii="Arial" w:cs="Arial" w:eastAsia="Arial" w:hAnsi="Arial"/>
                <w:sz w:val="22"/>
                <w:szCs w:val="22"/>
                <w:color w:val="FF0000"/>
                <w:strike w:val="1"/>
                <w:w w:val="76"/>
              </w:rPr>
              <w:t>146</w:t>
            </w:r>
          </w:p>
        </w:tc>
        <w:tc>
          <w:tcPr>
            <w:tcW w:w="40" w:type="dxa"/>
            <w:vAlign w:val="bottom"/>
          </w:tcPr>
          <w:p>
            <w:pPr>
              <w:spacing w:after="0"/>
              <w:rPr>
                <w:sz w:val="17"/>
                <w:szCs w:val="17"/>
                <w:color w:val="auto"/>
              </w:rPr>
            </w:pPr>
          </w:p>
        </w:tc>
        <w:tc>
          <w:tcPr>
            <w:tcW w:w="380" w:type="dxa"/>
            <w:vAlign w:val="bottom"/>
            <w:gridSpan w:val="5"/>
          </w:tcPr>
          <w:p>
            <w:pPr>
              <w:jc w:val="right"/>
              <w:ind w:right="60"/>
              <w:spacing w:after="0" w:line="195" w:lineRule="exact"/>
              <w:rPr>
                <w:sz w:val="20"/>
                <w:szCs w:val="20"/>
                <w:color w:val="auto"/>
              </w:rPr>
            </w:pPr>
            <w:r>
              <w:rPr>
                <w:rFonts w:ascii="Arial" w:cs="Arial" w:eastAsia="Arial" w:hAnsi="Arial"/>
                <w:sz w:val="22"/>
                <w:szCs w:val="22"/>
                <w:color w:val="0000FF"/>
                <w:w w:val="81"/>
              </w:rPr>
              <w:t>150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12.16</w:t>
            </w:r>
          </w:p>
        </w:tc>
        <w:tc>
          <w:tcPr>
            <w:tcW w:w="1940" w:type="dxa"/>
            <w:vAlign w:val="bottom"/>
            <w:gridSpan w:val="12"/>
          </w:tcPr>
          <w:p>
            <w:pPr>
              <w:ind w:left="120"/>
              <w:spacing w:after="0" w:line="195" w:lineRule="exact"/>
              <w:rPr>
                <w:sz w:val="20"/>
                <w:szCs w:val="20"/>
                <w:color w:val="auto"/>
              </w:rPr>
            </w:pPr>
            <w:r>
              <w:rPr>
                <w:rFonts w:ascii="Arial" w:cs="Arial" w:eastAsia="Arial" w:hAnsi="Arial"/>
                <w:sz w:val="22"/>
                <w:szCs w:val="22"/>
                <w:color w:val="auto"/>
              </w:rPr>
              <w:t>Acknowledgments</w:t>
            </w:r>
          </w:p>
        </w:tc>
        <w:tc>
          <w:tcPr>
            <w:tcW w:w="34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7"/>
              </w:rPr>
              <w:t>146</w:t>
            </w:r>
          </w:p>
        </w:tc>
        <w:tc>
          <w:tcPr>
            <w:tcW w:w="320" w:type="dxa"/>
            <w:vAlign w:val="bottom"/>
            <w:tcBorders>
              <w:bottom w:val="single" w:sz="8" w:color="0000FF"/>
            </w:tcBorders>
            <w:gridSpan w:val="9"/>
          </w:tcPr>
          <w:p>
            <w:pPr>
              <w:jc w:val="right"/>
              <w:spacing w:after="0" w:line="195" w:lineRule="exact"/>
              <w:rPr>
                <w:sz w:val="20"/>
                <w:szCs w:val="20"/>
                <w:color w:val="auto"/>
              </w:rPr>
            </w:pPr>
            <w:r>
              <w:rPr>
                <w:rFonts w:ascii="Arial" w:cs="Arial" w:eastAsia="Arial" w:hAnsi="Arial"/>
                <w:sz w:val="22"/>
                <w:szCs w:val="22"/>
                <w:color w:val="0000FF"/>
                <w:w w:val="81"/>
              </w:rPr>
              <w:t>151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12.17</w:t>
            </w:r>
          </w:p>
        </w:tc>
        <w:tc>
          <w:tcPr>
            <w:tcW w:w="1260" w:type="dxa"/>
            <w:vAlign w:val="bottom"/>
            <w:gridSpan w:val="3"/>
          </w:tcPr>
          <w:p>
            <w:pPr>
              <w:ind w:left="120"/>
              <w:spacing w:after="0" w:line="195" w:lineRule="exact"/>
              <w:rPr>
                <w:sz w:val="20"/>
                <w:szCs w:val="20"/>
                <w:color w:val="auto"/>
              </w:rPr>
            </w:pPr>
            <w:r>
              <w:rPr>
                <w:rFonts w:ascii="Arial" w:cs="Arial" w:eastAsia="Arial" w:hAnsi="Arial"/>
                <w:sz w:val="22"/>
                <w:szCs w:val="22"/>
                <w:color w:val="auto"/>
                <w:w w:val="95"/>
              </w:rPr>
              <w:t>[Reserved]</w:t>
            </w:r>
          </w:p>
        </w:tc>
        <w:tc>
          <w:tcPr>
            <w:tcW w:w="34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87"/>
              </w:rPr>
              <w:t>147</w:t>
            </w:r>
          </w:p>
        </w:tc>
        <w:tc>
          <w:tcPr>
            <w:tcW w:w="6520" w:type="dxa"/>
            <w:vAlign w:val="bottom"/>
            <w:gridSpan w:val="56"/>
          </w:tcPr>
          <w:p>
            <w:pPr>
              <w:jc w:val="right"/>
              <w:ind w:right="6092"/>
              <w:spacing w:after="0" w:line="195" w:lineRule="exact"/>
              <w:rPr>
                <w:sz w:val="20"/>
                <w:szCs w:val="20"/>
                <w:color w:val="auto"/>
              </w:rPr>
            </w:pPr>
            <w:r>
              <w:rPr>
                <w:rFonts w:ascii="Arial" w:cs="Arial" w:eastAsia="Arial" w:hAnsi="Arial"/>
                <w:sz w:val="22"/>
                <w:szCs w:val="22"/>
                <w:color w:val="0000FF"/>
                <w:w w:val="81"/>
              </w:rPr>
              <w:t>151</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12.18</w:t>
            </w:r>
          </w:p>
        </w:tc>
        <w:tc>
          <w:tcPr>
            <w:tcW w:w="1600" w:type="dxa"/>
            <w:vAlign w:val="bottom"/>
            <w:gridSpan w:val="7"/>
          </w:tcPr>
          <w:p>
            <w:pPr>
              <w:ind w:left="120"/>
              <w:spacing w:after="0" w:line="195" w:lineRule="exact"/>
              <w:rPr>
                <w:sz w:val="20"/>
                <w:szCs w:val="20"/>
                <w:color w:val="auto"/>
              </w:rPr>
            </w:pPr>
            <w:r>
              <w:rPr>
                <w:rFonts w:ascii="Arial" w:cs="Arial" w:eastAsia="Arial" w:hAnsi="Arial"/>
                <w:sz w:val="22"/>
                <w:szCs w:val="22"/>
                <w:color w:val="auto"/>
              </w:rPr>
              <w:t>Confidentiality</w:t>
            </w:r>
          </w:p>
        </w:tc>
        <w:tc>
          <w:tcPr>
            <w:tcW w:w="320" w:type="dxa"/>
            <w:vAlign w:val="bottom"/>
            <w:tcBorders>
              <w:top w:val="single" w:sz="8" w:color="0000FF"/>
            </w:tcBorders>
            <w:gridSpan w:val="4"/>
          </w:tcPr>
          <w:p>
            <w:pPr>
              <w:jc w:val="right"/>
              <w:spacing w:after="0" w:line="195" w:lineRule="exact"/>
              <w:rPr>
                <w:sz w:val="20"/>
                <w:szCs w:val="20"/>
                <w:color w:val="auto"/>
              </w:rPr>
            </w:pPr>
            <w:r>
              <w:rPr>
                <w:rFonts w:ascii="Arial" w:cs="Arial" w:eastAsia="Arial" w:hAnsi="Arial"/>
                <w:sz w:val="22"/>
                <w:szCs w:val="22"/>
                <w:color w:val="FF0000"/>
                <w:strike w:val="1"/>
                <w:w w:val="81"/>
              </w:rPr>
              <w:t>147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gridSpan w:val="7"/>
          </w:tcPr>
          <w:p>
            <w:pPr>
              <w:jc w:val="right"/>
              <w:ind w:right="40"/>
              <w:spacing w:after="0" w:line="195" w:lineRule="exact"/>
              <w:rPr>
                <w:sz w:val="20"/>
                <w:szCs w:val="20"/>
                <w:color w:val="auto"/>
              </w:rPr>
            </w:pPr>
            <w:r>
              <w:rPr>
                <w:rFonts w:ascii="Arial" w:cs="Arial" w:eastAsia="Arial" w:hAnsi="Arial"/>
                <w:sz w:val="22"/>
                <w:szCs w:val="22"/>
                <w:color w:val="0000FF"/>
                <w:w w:val="81"/>
              </w:rPr>
              <w:t>151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12.19</w:t>
            </w:r>
          </w:p>
        </w:tc>
        <w:tc>
          <w:tcPr>
            <w:tcW w:w="1940" w:type="dxa"/>
            <w:vAlign w:val="bottom"/>
            <w:gridSpan w:val="12"/>
          </w:tcPr>
          <w:p>
            <w:pPr>
              <w:ind w:left="120"/>
              <w:spacing w:after="0" w:line="195" w:lineRule="exact"/>
              <w:rPr>
                <w:sz w:val="20"/>
                <w:szCs w:val="20"/>
                <w:color w:val="auto"/>
              </w:rPr>
            </w:pPr>
            <w:r>
              <w:rPr>
                <w:rFonts w:ascii="Arial" w:cs="Arial" w:eastAsia="Arial" w:hAnsi="Arial"/>
                <w:sz w:val="22"/>
                <w:szCs w:val="22"/>
                <w:color w:val="auto"/>
                <w:w w:val="91"/>
              </w:rPr>
              <w:t>Press Releases, etc</w:t>
            </w:r>
          </w:p>
        </w:tc>
        <w:tc>
          <w:tcPr>
            <w:tcW w:w="20" w:type="dxa"/>
            <w:vAlign w:val="bottom"/>
          </w:tcPr>
          <w:p>
            <w:pPr>
              <w:spacing w:after="0"/>
              <w:rPr>
                <w:sz w:val="17"/>
                <w:szCs w:val="17"/>
                <w:color w:val="auto"/>
              </w:rPr>
            </w:pPr>
          </w:p>
        </w:tc>
        <w:tc>
          <w:tcPr>
            <w:tcW w:w="34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1"/>
              </w:rPr>
              <w:t>148</w:t>
            </w:r>
          </w:p>
        </w:tc>
        <w:tc>
          <w:tcPr>
            <w:tcW w:w="20" w:type="dxa"/>
            <w:vAlign w:val="bottom"/>
            <w:tcBorders>
              <w:bottom w:val="single" w:sz="8" w:color="0000FF"/>
            </w:tcBorders>
          </w:tcPr>
          <w:p>
            <w:pPr>
              <w:spacing w:after="0"/>
              <w:rPr>
                <w:sz w:val="17"/>
                <w:szCs w:val="17"/>
                <w:color w:val="auto"/>
              </w:rPr>
            </w:pPr>
          </w:p>
        </w:tc>
        <w:tc>
          <w:tcPr>
            <w:tcW w:w="280" w:type="dxa"/>
            <w:vAlign w:val="bottom"/>
            <w:tcBorders>
              <w:bottom w:val="single" w:sz="8" w:color="0000FF"/>
            </w:tcBorders>
            <w:gridSpan w:val="7"/>
          </w:tcPr>
          <w:p>
            <w:pPr>
              <w:jc w:val="right"/>
              <w:spacing w:after="0" w:line="195" w:lineRule="exact"/>
              <w:rPr>
                <w:sz w:val="20"/>
                <w:szCs w:val="20"/>
                <w:color w:val="auto"/>
              </w:rPr>
            </w:pPr>
            <w:r>
              <w:rPr>
                <w:rFonts w:ascii="Arial" w:cs="Arial" w:eastAsia="Arial" w:hAnsi="Arial"/>
                <w:sz w:val="22"/>
                <w:szCs w:val="22"/>
                <w:color w:val="0000FF"/>
                <w:w w:val="70"/>
              </w:rPr>
              <w:t>153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12.20</w:t>
            </w:r>
          </w:p>
        </w:tc>
        <w:tc>
          <w:tcPr>
            <w:tcW w:w="2600" w:type="dxa"/>
            <w:vAlign w:val="bottom"/>
            <w:gridSpan w:val="27"/>
          </w:tcPr>
          <w:p>
            <w:pPr>
              <w:ind w:left="120"/>
              <w:spacing w:after="0" w:line="195" w:lineRule="exact"/>
              <w:rPr>
                <w:sz w:val="20"/>
                <w:szCs w:val="20"/>
                <w:color w:val="auto"/>
              </w:rPr>
            </w:pPr>
            <w:r>
              <w:rPr>
                <w:rFonts w:ascii="Arial" w:cs="Arial" w:eastAsia="Arial" w:hAnsi="Arial"/>
                <w:sz w:val="22"/>
                <w:szCs w:val="22"/>
                <w:color w:val="auto"/>
                <w:w w:val="90"/>
              </w:rPr>
              <w:t>Releases of Guaranties and</w:t>
            </w:r>
          </w:p>
        </w:tc>
        <w:tc>
          <w:tcPr>
            <w:tcW w:w="600" w:type="dxa"/>
            <w:vAlign w:val="bottom"/>
            <w:gridSpan w:val="9"/>
          </w:tcPr>
          <w:p>
            <w:pPr>
              <w:spacing w:after="0" w:line="195" w:lineRule="exact"/>
              <w:rPr>
                <w:sz w:val="20"/>
                <w:szCs w:val="20"/>
                <w:color w:val="auto"/>
              </w:rPr>
            </w:pPr>
            <w:r>
              <w:rPr>
                <w:rFonts w:ascii="Arial" w:cs="Arial" w:eastAsia="Arial" w:hAnsi="Arial"/>
                <w:sz w:val="22"/>
                <w:szCs w:val="22"/>
                <w:color w:val="auto"/>
              </w:rPr>
              <w:t>Liens</w:t>
            </w:r>
          </w:p>
        </w:tc>
        <w:tc>
          <w:tcPr>
            <w:tcW w:w="34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7"/>
              </w:rPr>
              <w:t>149</w:t>
            </w:r>
          </w:p>
        </w:tc>
        <w:tc>
          <w:tcPr>
            <w:tcW w:w="3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153</w:t>
            </w:r>
          </w:p>
        </w:tc>
        <w:tc>
          <w:tcPr>
            <w:tcW w:w="7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12.21</w:t>
            </w:r>
          </w:p>
        </w:tc>
        <w:tc>
          <w:tcPr>
            <w:tcW w:w="1600" w:type="dxa"/>
            <w:vAlign w:val="bottom"/>
            <w:gridSpan w:val="7"/>
          </w:tcPr>
          <w:p>
            <w:pPr>
              <w:ind w:left="120"/>
              <w:spacing w:after="0" w:line="195" w:lineRule="exact"/>
              <w:rPr>
                <w:sz w:val="20"/>
                <w:szCs w:val="20"/>
                <w:color w:val="auto"/>
              </w:rPr>
            </w:pPr>
            <w:r>
              <w:rPr>
                <w:rFonts w:ascii="Arial" w:cs="Arial" w:eastAsia="Arial" w:hAnsi="Arial"/>
                <w:sz w:val="22"/>
                <w:szCs w:val="22"/>
                <w:color w:val="auto"/>
                <w:w w:val="95"/>
              </w:rPr>
              <w:t>USA Patriot Act</w:t>
            </w:r>
          </w:p>
        </w:tc>
        <w:tc>
          <w:tcPr>
            <w:tcW w:w="100" w:type="dxa"/>
            <w:vAlign w:val="bottom"/>
          </w:tcPr>
          <w:p>
            <w:pPr>
              <w:spacing w:after="0"/>
              <w:rPr>
                <w:sz w:val="17"/>
                <w:szCs w:val="17"/>
                <w:color w:val="auto"/>
              </w:rPr>
            </w:pPr>
          </w:p>
        </w:tc>
        <w:tc>
          <w:tcPr>
            <w:tcW w:w="360" w:type="dxa"/>
            <w:vAlign w:val="bottom"/>
            <w:gridSpan w:val="8"/>
          </w:tcPr>
          <w:p>
            <w:pPr>
              <w:jc w:val="right"/>
              <w:spacing w:after="0" w:line="195" w:lineRule="exact"/>
              <w:rPr>
                <w:sz w:val="20"/>
                <w:szCs w:val="20"/>
                <w:color w:val="auto"/>
              </w:rPr>
            </w:pPr>
            <w:r>
              <w:rPr>
                <w:rFonts w:ascii="Arial" w:cs="Arial" w:eastAsia="Arial" w:hAnsi="Arial"/>
                <w:sz w:val="22"/>
                <w:szCs w:val="22"/>
                <w:color w:val="FF0000"/>
                <w:strike w:val="1"/>
                <w:w w:val="92"/>
              </w:rPr>
              <w:t>150</w:t>
            </w:r>
          </w:p>
        </w:tc>
        <w:tc>
          <w:tcPr>
            <w:tcW w:w="320" w:type="dxa"/>
            <w:vAlign w:val="bottom"/>
            <w:tcBorders>
              <w:bottom w:val="single" w:sz="8" w:color="0000FF"/>
            </w:tcBorders>
            <w:gridSpan w:val="6"/>
          </w:tcPr>
          <w:p>
            <w:pPr>
              <w:jc w:val="right"/>
              <w:spacing w:after="0" w:line="195" w:lineRule="exact"/>
              <w:rPr>
                <w:sz w:val="20"/>
                <w:szCs w:val="20"/>
                <w:color w:val="auto"/>
              </w:rPr>
            </w:pPr>
            <w:r>
              <w:rPr>
                <w:rFonts w:ascii="Arial" w:cs="Arial" w:eastAsia="Arial" w:hAnsi="Arial"/>
                <w:sz w:val="22"/>
                <w:szCs w:val="22"/>
                <w:color w:val="0000FF"/>
                <w:w w:val="81"/>
              </w:rPr>
              <w:t>154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12.22</w:t>
            </w:r>
          </w:p>
        </w:tc>
        <w:tc>
          <w:tcPr>
            <w:tcW w:w="1940" w:type="dxa"/>
            <w:vAlign w:val="bottom"/>
            <w:gridSpan w:val="12"/>
          </w:tcPr>
          <w:p>
            <w:pPr>
              <w:ind w:left="120"/>
              <w:spacing w:after="0" w:line="195" w:lineRule="exact"/>
              <w:rPr>
                <w:sz w:val="20"/>
                <w:szCs w:val="20"/>
                <w:color w:val="auto"/>
              </w:rPr>
            </w:pPr>
            <w:r>
              <w:rPr>
                <w:rFonts w:ascii="Arial" w:cs="Arial" w:eastAsia="Arial" w:hAnsi="Arial"/>
                <w:sz w:val="22"/>
                <w:szCs w:val="22"/>
                <w:color w:val="auto"/>
              </w:rPr>
              <w:t>No Fiduciary Duty</w:t>
            </w:r>
          </w:p>
        </w:tc>
        <w:tc>
          <w:tcPr>
            <w:tcW w:w="20" w:type="dxa"/>
            <w:vAlign w:val="bottom"/>
          </w:tcPr>
          <w:p>
            <w:pPr>
              <w:spacing w:after="0"/>
              <w:rPr>
                <w:sz w:val="17"/>
                <w:szCs w:val="17"/>
                <w:color w:val="auto"/>
              </w:rPr>
            </w:pPr>
          </w:p>
        </w:tc>
        <w:tc>
          <w:tcPr>
            <w:tcW w:w="360" w:type="dxa"/>
            <w:vAlign w:val="bottom"/>
            <w:gridSpan w:val="7"/>
          </w:tcPr>
          <w:p>
            <w:pPr>
              <w:jc w:val="right"/>
              <w:ind w:right="40"/>
              <w:spacing w:after="0" w:line="195" w:lineRule="exact"/>
              <w:rPr>
                <w:sz w:val="20"/>
                <w:szCs w:val="20"/>
                <w:color w:val="auto"/>
              </w:rPr>
            </w:pPr>
            <w:r>
              <w:rPr>
                <w:rFonts w:ascii="Arial" w:cs="Arial" w:eastAsia="Arial" w:hAnsi="Arial"/>
                <w:sz w:val="22"/>
                <w:szCs w:val="22"/>
                <w:color w:val="FF0000"/>
                <w:strike w:val="1"/>
                <w:w w:val="81"/>
              </w:rPr>
              <w:t>150</w:t>
            </w:r>
          </w:p>
        </w:tc>
        <w:tc>
          <w:tcPr>
            <w:tcW w:w="300" w:type="dxa"/>
            <w:vAlign w:val="bottom"/>
            <w:tcBorders>
              <w:bottom w:val="single" w:sz="8" w:color="0000FF"/>
            </w:tcBorders>
            <w:gridSpan w:val="8"/>
          </w:tcPr>
          <w:p>
            <w:pPr>
              <w:jc w:val="right"/>
              <w:spacing w:after="0" w:line="195" w:lineRule="exact"/>
              <w:rPr>
                <w:sz w:val="20"/>
                <w:szCs w:val="20"/>
                <w:color w:val="auto"/>
              </w:rPr>
            </w:pPr>
            <w:r>
              <w:rPr>
                <w:rFonts w:ascii="Arial" w:cs="Arial" w:eastAsia="Arial" w:hAnsi="Arial"/>
                <w:sz w:val="22"/>
                <w:szCs w:val="22"/>
                <w:color w:val="0000FF"/>
                <w:w w:val="70"/>
              </w:rPr>
              <w:t>154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12.23</w:t>
            </w:r>
          </w:p>
        </w:tc>
        <w:tc>
          <w:tcPr>
            <w:tcW w:w="2320" w:type="dxa"/>
            <w:vAlign w:val="bottom"/>
            <w:gridSpan w:val="20"/>
          </w:tcPr>
          <w:p>
            <w:pPr>
              <w:ind w:left="120"/>
              <w:spacing w:after="0" w:line="195" w:lineRule="exact"/>
              <w:rPr>
                <w:sz w:val="20"/>
                <w:szCs w:val="20"/>
                <w:color w:val="auto"/>
              </w:rPr>
            </w:pPr>
            <w:r>
              <w:rPr>
                <w:rFonts w:ascii="Arial" w:cs="Arial" w:eastAsia="Arial" w:hAnsi="Arial"/>
                <w:sz w:val="22"/>
                <w:szCs w:val="22"/>
                <w:color w:val="auto"/>
                <w:w w:val="93"/>
              </w:rPr>
              <w:t>Reliance on Certificates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6"/>
          </w:tcPr>
          <w:p>
            <w:pPr>
              <w:jc w:val="right"/>
              <w:spacing w:after="0" w:line="195" w:lineRule="exact"/>
              <w:rPr>
                <w:sz w:val="20"/>
                <w:szCs w:val="20"/>
                <w:color w:val="auto"/>
              </w:rPr>
            </w:pPr>
            <w:r>
              <w:rPr>
                <w:rFonts w:ascii="Arial" w:cs="Arial" w:eastAsia="Arial" w:hAnsi="Arial"/>
                <w:sz w:val="22"/>
                <w:szCs w:val="22"/>
                <w:color w:val="FF0000"/>
                <w:strike w:val="1"/>
                <w:w w:val="81"/>
              </w:rPr>
              <w:t>150</w:t>
            </w:r>
          </w:p>
        </w:tc>
        <w:tc>
          <w:tcPr>
            <w:tcW w:w="420" w:type="dxa"/>
            <w:vAlign w:val="bottom"/>
            <w:gridSpan w:val="6"/>
          </w:tcPr>
          <w:p>
            <w:pPr>
              <w:jc w:val="right"/>
              <w:ind w:right="80"/>
              <w:spacing w:after="0" w:line="195" w:lineRule="exact"/>
              <w:rPr>
                <w:sz w:val="20"/>
                <w:szCs w:val="20"/>
                <w:color w:val="auto"/>
              </w:rPr>
            </w:pPr>
            <w:r>
              <w:rPr>
                <w:rFonts w:ascii="Arial" w:cs="Arial" w:eastAsia="Arial" w:hAnsi="Arial"/>
                <w:sz w:val="22"/>
                <w:szCs w:val="22"/>
                <w:color w:val="0000FF"/>
                <w:w w:val="87"/>
              </w:rPr>
              <w:t>154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12.24</w:t>
            </w:r>
          </w:p>
        </w:tc>
        <w:tc>
          <w:tcPr>
            <w:tcW w:w="1160" w:type="dxa"/>
            <w:vAlign w:val="bottom"/>
            <w:gridSpan w:val="2"/>
          </w:tcPr>
          <w:p>
            <w:pPr>
              <w:ind w:left="120"/>
              <w:spacing w:after="0" w:line="195" w:lineRule="exact"/>
              <w:rPr>
                <w:sz w:val="20"/>
                <w:szCs w:val="20"/>
                <w:color w:val="auto"/>
              </w:rPr>
            </w:pPr>
            <w:r>
              <w:rPr>
                <w:rFonts w:ascii="Arial" w:cs="Arial" w:eastAsia="Arial" w:hAnsi="Arial"/>
                <w:sz w:val="22"/>
                <w:szCs w:val="22"/>
                <w:color w:val="auto"/>
                <w:w w:val="99"/>
              </w:rPr>
              <w:t>No Waiver</w:t>
            </w:r>
          </w:p>
        </w:tc>
        <w:tc>
          <w:tcPr>
            <w:tcW w:w="42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rPr>
              <w:t>150</w:t>
            </w:r>
          </w:p>
        </w:tc>
        <w:tc>
          <w:tcPr>
            <w:tcW w:w="1140" w:type="dxa"/>
            <w:vAlign w:val="bottom"/>
            <w:gridSpan w:val="23"/>
          </w:tcPr>
          <w:p>
            <w:pPr>
              <w:jc w:val="center"/>
              <w:ind w:right="820"/>
              <w:spacing w:after="0" w:line="195" w:lineRule="exact"/>
              <w:rPr>
                <w:sz w:val="20"/>
                <w:szCs w:val="20"/>
                <w:color w:val="auto"/>
              </w:rPr>
            </w:pPr>
            <w:r>
              <w:rPr>
                <w:rFonts w:ascii="Arial" w:cs="Arial" w:eastAsia="Arial" w:hAnsi="Arial"/>
                <w:sz w:val="22"/>
                <w:szCs w:val="22"/>
                <w:color w:val="0000FF"/>
                <w:w w:val="87"/>
              </w:rPr>
              <w:t>154</w:t>
            </w:r>
          </w:p>
        </w:tc>
        <w:tc>
          <w:tcPr>
            <w:tcW w:w="340" w:type="dxa"/>
            <w:vAlign w:val="bottom"/>
            <w:tcBorders>
              <w:top w:val="single" w:sz="8" w:color="0000FF"/>
            </w:tcBorders>
            <w:gridSpan w:val="5"/>
          </w:tcPr>
          <w:p>
            <w:pPr>
              <w:spacing w:after="0"/>
              <w:rPr>
                <w:sz w:val="17"/>
                <w:szCs w:val="17"/>
                <w:color w:val="auto"/>
              </w:rPr>
            </w:pPr>
          </w:p>
        </w:tc>
        <w:tc>
          <w:tcPr>
            <w:tcW w:w="50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12.25</w:t>
            </w:r>
          </w:p>
        </w:tc>
        <w:tc>
          <w:tcPr>
            <w:tcW w:w="1580" w:type="dxa"/>
            <w:vAlign w:val="bottom"/>
            <w:gridSpan w:val="6"/>
          </w:tcPr>
          <w:p>
            <w:pPr>
              <w:ind w:left="120"/>
              <w:spacing w:after="0" w:line="195" w:lineRule="exact"/>
              <w:rPr>
                <w:sz w:val="20"/>
                <w:szCs w:val="20"/>
                <w:color w:val="auto"/>
              </w:rPr>
            </w:pPr>
            <w:r>
              <w:rPr>
                <w:rFonts w:ascii="Arial" w:cs="Arial" w:eastAsia="Arial" w:hAnsi="Arial"/>
                <w:sz w:val="22"/>
                <w:szCs w:val="22"/>
                <w:color w:val="auto"/>
                <w:w w:val="88"/>
              </w:rPr>
              <w:t>The Borrower as</w:t>
            </w:r>
          </w:p>
        </w:tc>
        <w:tc>
          <w:tcPr>
            <w:tcW w:w="340" w:type="dxa"/>
            <w:vAlign w:val="bottom"/>
            <w:tcBorders>
              <w:top w:val="single" w:sz="8" w:color="0000FF"/>
            </w:tcBorders>
            <w:gridSpan w:val="5"/>
          </w:tcPr>
          <w:p>
            <w:pPr>
              <w:jc w:val="center"/>
              <w:spacing w:after="0" w:line="195" w:lineRule="exact"/>
              <w:rPr>
                <w:sz w:val="20"/>
                <w:szCs w:val="20"/>
                <w:color w:val="auto"/>
              </w:rPr>
            </w:pPr>
            <w:r>
              <w:rPr>
                <w:rFonts w:ascii="Arial" w:cs="Arial" w:eastAsia="Arial" w:hAnsi="Arial"/>
                <w:sz w:val="22"/>
                <w:szCs w:val="22"/>
                <w:color w:val="auto"/>
                <w:w w:val="84"/>
              </w:rPr>
              <w:t>the</w:t>
            </w:r>
          </w:p>
        </w:tc>
        <w:tc>
          <w:tcPr>
            <w:tcW w:w="2680" w:type="dxa"/>
            <w:vAlign w:val="bottom"/>
            <w:gridSpan w:val="34"/>
          </w:tcPr>
          <w:p>
            <w:pPr>
              <w:ind w:left="20"/>
              <w:spacing w:after="0" w:line="195" w:lineRule="exact"/>
              <w:rPr>
                <w:sz w:val="20"/>
                <w:szCs w:val="20"/>
                <w:color w:val="auto"/>
              </w:rPr>
            </w:pPr>
            <w:r>
              <w:rPr>
                <w:rFonts w:ascii="Arial" w:cs="Arial" w:eastAsia="Arial" w:hAnsi="Arial"/>
                <w:sz w:val="22"/>
                <w:szCs w:val="22"/>
                <w:color w:val="auto"/>
                <w:w w:val="93"/>
              </w:rPr>
              <w:t>Loan Parties’ Representative</w:t>
            </w:r>
          </w:p>
        </w:tc>
        <w:tc>
          <w:tcPr>
            <w:tcW w:w="360" w:type="dxa"/>
            <w:vAlign w:val="bottom"/>
            <w:gridSpan w:val="4"/>
          </w:tcPr>
          <w:p>
            <w:pPr>
              <w:jc w:val="right"/>
              <w:spacing w:after="0" w:line="195" w:lineRule="exact"/>
              <w:rPr>
                <w:sz w:val="20"/>
                <w:szCs w:val="20"/>
                <w:color w:val="auto"/>
              </w:rPr>
            </w:pPr>
            <w:r>
              <w:rPr>
                <w:rFonts w:ascii="Arial" w:cs="Arial" w:eastAsia="Arial" w:hAnsi="Arial"/>
                <w:sz w:val="22"/>
                <w:szCs w:val="22"/>
                <w:color w:val="FF0000"/>
                <w:strike w:val="1"/>
                <w:w w:val="92"/>
              </w:rPr>
              <w:t>150</w:t>
            </w:r>
          </w:p>
        </w:tc>
        <w:tc>
          <w:tcPr>
            <w:tcW w:w="3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155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12.26</w:t>
            </w:r>
          </w:p>
        </w:tc>
        <w:tc>
          <w:tcPr>
            <w:tcW w:w="1600" w:type="dxa"/>
            <w:vAlign w:val="bottom"/>
            <w:gridSpan w:val="7"/>
          </w:tcPr>
          <w:p>
            <w:pPr>
              <w:ind w:left="120"/>
              <w:spacing w:after="0" w:line="195" w:lineRule="exact"/>
              <w:rPr>
                <w:sz w:val="20"/>
                <w:szCs w:val="20"/>
                <w:color w:val="auto"/>
              </w:rPr>
            </w:pPr>
            <w:r>
              <w:rPr>
                <w:rFonts w:ascii="Arial" w:cs="Arial" w:eastAsia="Arial" w:hAnsi="Arial"/>
                <w:sz w:val="22"/>
                <w:szCs w:val="22"/>
                <w:color w:val="auto"/>
                <w:w w:val="93"/>
              </w:rPr>
              <w:t>Funding Losses</w:t>
            </w:r>
          </w:p>
        </w:tc>
        <w:tc>
          <w:tcPr>
            <w:tcW w:w="400" w:type="dxa"/>
            <w:vAlign w:val="bottom"/>
            <w:gridSpan w:val="7"/>
          </w:tcPr>
          <w:p>
            <w:pPr>
              <w:jc w:val="right"/>
              <w:spacing w:after="0" w:line="195" w:lineRule="exact"/>
              <w:rPr>
                <w:sz w:val="20"/>
                <w:szCs w:val="20"/>
                <w:color w:val="auto"/>
              </w:rPr>
            </w:pPr>
            <w:r>
              <w:rPr>
                <w:rFonts w:ascii="Arial" w:cs="Arial" w:eastAsia="Arial" w:hAnsi="Arial"/>
                <w:sz w:val="22"/>
                <w:szCs w:val="22"/>
                <w:color w:val="FF0000"/>
                <w:strike w:val="1"/>
              </w:rPr>
              <w:t>151</w:t>
            </w:r>
          </w:p>
        </w:tc>
        <w:tc>
          <w:tcPr>
            <w:tcW w:w="340" w:type="dxa"/>
            <w:vAlign w:val="bottom"/>
            <w:tcBorders>
              <w:bottom w:val="single" w:sz="8" w:color="0000FF"/>
            </w:tcBorders>
            <w:gridSpan w:val="7"/>
          </w:tcPr>
          <w:p>
            <w:pPr>
              <w:jc w:val="right"/>
              <w:spacing w:after="0" w:line="195" w:lineRule="exact"/>
              <w:rPr>
                <w:sz w:val="20"/>
                <w:szCs w:val="20"/>
                <w:color w:val="auto"/>
              </w:rPr>
            </w:pPr>
            <w:r>
              <w:rPr>
                <w:rFonts w:ascii="Arial" w:cs="Arial" w:eastAsia="Arial" w:hAnsi="Arial"/>
                <w:sz w:val="22"/>
                <w:szCs w:val="22"/>
                <w:color w:val="0000FF"/>
                <w:w w:val="87"/>
              </w:rPr>
              <w:t>155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12.27</w:t>
            </w:r>
          </w:p>
        </w:tc>
        <w:tc>
          <w:tcPr>
            <w:tcW w:w="2340" w:type="dxa"/>
            <w:vAlign w:val="bottom"/>
            <w:gridSpan w:val="21"/>
          </w:tcPr>
          <w:p>
            <w:pPr>
              <w:ind w:left="120"/>
              <w:spacing w:after="0" w:line="195" w:lineRule="exact"/>
              <w:rPr>
                <w:sz w:val="20"/>
                <w:szCs w:val="20"/>
                <w:color w:val="auto"/>
              </w:rPr>
            </w:pPr>
            <w:r>
              <w:rPr>
                <w:rFonts w:ascii="Arial" w:cs="Arial" w:eastAsia="Arial" w:hAnsi="Arial"/>
                <w:sz w:val="22"/>
                <w:szCs w:val="22"/>
                <w:color w:val="auto"/>
                <w:w w:val="98"/>
              </w:rPr>
              <w:t>Acknowledgement and</w:t>
            </w:r>
          </w:p>
        </w:tc>
        <w:tc>
          <w:tcPr>
            <w:tcW w:w="4540" w:type="dxa"/>
            <w:vAlign w:val="bottom"/>
            <w:gridSpan w:val="37"/>
          </w:tcPr>
          <w:p>
            <w:pPr>
              <w:spacing w:after="0" w:line="195" w:lineRule="exact"/>
              <w:rPr>
                <w:sz w:val="20"/>
                <w:szCs w:val="20"/>
                <w:color w:val="auto"/>
              </w:rPr>
            </w:pPr>
            <w:r>
              <w:rPr>
                <w:rFonts w:ascii="Arial" w:cs="Arial" w:eastAsia="Arial" w:hAnsi="Arial"/>
                <w:sz w:val="22"/>
                <w:szCs w:val="22"/>
                <w:color w:val="auto"/>
                <w:w w:val="92"/>
              </w:rPr>
              <w:t>Consent to Bail-in of Affected Financial Institutions</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152</w:t>
            </w:r>
          </w:p>
        </w:tc>
        <w:tc>
          <w:tcPr>
            <w:tcW w:w="3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156</w:t>
            </w:r>
          </w:p>
        </w:tc>
        <w:tc>
          <w:tcPr>
            <w:tcW w:w="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12.28</w:t>
            </w:r>
          </w:p>
        </w:tc>
        <w:tc>
          <w:tcPr>
            <w:tcW w:w="1160" w:type="dxa"/>
            <w:vAlign w:val="bottom"/>
            <w:gridSpan w:val="2"/>
          </w:tcPr>
          <w:p>
            <w:pPr>
              <w:ind w:left="120"/>
              <w:spacing w:after="0" w:line="195" w:lineRule="exact"/>
              <w:rPr>
                <w:sz w:val="20"/>
                <w:szCs w:val="20"/>
                <w:color w:val="auto"/>
              </w:rPr>
            </w:pPr>
            <w:r>
              <w:rPr>
                <w:rFonts w:ascii="Arial" w:cs="Arial" w:eastAsia="Arial" w:hAnsi="Arial"/>
                <w:sz w:val="22"/>
                <w:szCs w:val="22"/>
                <w:color w:val="auto"/>
              </w:rPr>
              <w:t>Keepwell</w:t>
            </w:r>
          </w:p>
        </w:tc>
        <w:tc>
          <w:tcPr>
            <w:tcW w:w="3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152</w:t>
            </w:r>
          </w:p>
        </w:tc>
        <w:tc>
          <w:tcPr>
            <w:tcW w:w="6640" w:type="dxa"/>
            <w:vAlign w:val="bottom"/>
            <w:gridSpan w:val="58"/>
          </w:tcPr>
          <w:p>
            <w:pPr>
              <w:jc w:val="right"/>
              <w:ind w:right="6212"/>
              <w:spacing w:after="0" w:line="195" w:lineRule="exact"/>
              <w:rPr>
                <w:sz w:val="20"/>
                <w:szCs w:val="20"/>
                <w:color w:val="auto"/>
              </w:rPr>
            </w:pPr>
            <w:r>
              <w:rPr>
                <w:rFonts w:ascii="Arial" w:cs="Arial" w:eastAsia="Arial" w:hAnsi="Arial"/>
                <w:sz w:val="22"/>
                <w:szCs w:val="22"/>
                <w:color w:val="0000FF"/>
                <w:w w:val="81"/>
              </w:rPr>
              <w:t>157</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5" w:lineRule="exact"/>
              <w:rPr>
                <w:sz w:val="20"/>
                <w:szCs w:val="20"/>
                <w:color w:val="auto"/>
              </w:rPr>
            </w:pPr>
            <w:r>
              <w:rPr>
                <w:rFonts w:ascii="Arial" w:cs="Arial" w:eastAsia="Arial" w:hAnsi="Arial"/>
                <w:sz w:val="22"/>
                <w:szCs w:val="22"/>
                <w:color w:val="auto"/>
                <w:w w:val="95"/>
              </w:rPr>
              <w:t>Section 12.29</w:t>
            </w:r>
          </w:p>
        </w:tc>
        <w:tc>
          <w:tcPr>
            <w:tcW w:w="1480" w:type="dxa"/>
            <w:vAlign w:val="bottom"/>
            <w:gridSpan w:val="5"/>
          </w:tcPr>
          <w:p>
            <w:pPr>
              <w:ind w:left="120"/>
              <w:spacing w:after="0" w:line="195" w:lineRule="exact"/>
              <w:rPr>
                <w:sz w:val="20"/>
                <w:szCs w:val="20"/>
                <w:color w:val="auto"/>
              </w:rPr>
            </w:pPr>
            <w:r>
              <w:rPr>
                <w:rFonts w:ascii="Arial" w:cs="Arial" w:eastAsia="Arial" w:hAnsi="Arial"/>
                <w:sz w:val="22"/>
                <w:szCs w:val="22"/>
                <w:color w:val="auto"/>
                <w:w w:val="74"/>
              </w:rPr>
              <w:t>Acknowledgement</w:t>
            </w: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20" w:type="dxa"/>
            <w:vAlign w:val="bottom"/>
            <w:gridSpan w:val="37"/>
          </w:tcPr>
          <w:p>
            <w:pPr>
              <w:spacing w:after="0" w:line="195" w:lineRule="exact"/>
              <w:rPr>
                <w:sz w:val="20"/>
                <w:szCs w:val="20"/>
                <w:color w:val="auto"/>
              </w:rPr>
            </w:pPr>
            <w:r>
              <w:rPr>
                <w:rFonts w:ascii="Arial" w:cs="Arial" w:eastAsia="Arial" w:hAnsi="Arial"/>
                <w:sz w:val="22"/>
                <w:szCs w:val="22"/>
                <w:color w:val="auto"/>
                <w:w w:val="94"/>
              </w:rPr>
              <w:t>Regarding Any Supported QFCs</w:t>
            </w:r>
          </w:p>
        </w:tc>
        <w:tc>
          <w:tcPr>
            <w:tcW w:w="34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7"/>
              </w:rPr>
              <w:t>153</w:t>
            </w:r>
          </w:p>
        </w:tc>
        <w:tc>
          <w:tcPr>
            <w:tcW w:w="360" w:type="dxa"/>
            <w:vAlign w:val="bottom"/>
            <w:gridSpan w:val="5"/>
          </w:tcPr>
          <w:p>
            <w:pPr>
              <w:jc w:val="right"/>
              <w:ind w:right="40"/>
              <w:spacing w:after="0" w:line="195" w:lineRule="exact"/>
              <w:rPr>
                <w:sz w:val="20"/>
                <w:szCs w:val="20"/>
                <w:color w:val="auto"/>
              </w:rPr>
            </w:pPr>
            <w:r>
              <w:rPr>
                <w:rFonts w:ascii="Arial" w:cs="Arial" w:eastAsia="Arial" w:hAnsi="Arial"/>
                <w:sz w:val="22"/>
                <w:szCs w:val="22"/>
                <w:color w:val="0000FF"/>
                <w:w w:val="81"/>
              </w:rPr>
              <w:t>157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22"/>
                <w:szCs w:val="22"/>
                <w:color w:val="0000FF"/>
                <w:w w:val="95"/>
              </w:rPr>
              <w:t>Section 12.30</w:t>
            </w:r>
          </w:p>
        </w:tc>
        <w:tc>
          <w:tcPr>
            <w:tcW w:w="1940" w:type="dxa"/>
            <w:vAlign w:val="bottom"/>
            <w:tcBorders>
              <w:bottom w:val="single" w:sz="8" w:color="0000FF"/>
            </w:tcBorders>
            <w:gridSpan w:val="12"/>
          </w:tcPr>
          <w:p>
            <w:pPr>
              <w:ind w:left="120"/>
              <w:spacing w:after="0" w:line="195" w:lineRule="exact"/>
              <w:rPr>
                <w:sz w:val="20"/>
                <w:szCs w:val="20"/>
                <w:color w:val="auto"/>
              </w:rPr>
            </w:pPr>
            <w:r>
              <w:rPr>
                <w:rFonts w:ascii="Arial" w:cs="Arial" w:eastAsia="Arial" w:hAnsi="Arial"/>
                <w:sz w:val="22"/>
                <w:szCs w:val="22"/>
                <w:color w:val="0000FF"/>
                <w:w w:val="87"/>
              </w:rPr>
              <w:t>Erroneous Payments</w:t>
            </w:r>
          </w:p>
        </w:tc>
        <w:tc>
          <w:tcPr>
            <w:tcW w:w="500" w:type="dxa"/>
            <w:vAlign w:val="bottom"/>
            <w:tcBorders>
              <w:bottom w:val="single" w:sz="8" w:color="0000FF"/>
            </w:tcBorders>
            <w:gridSpan w:val="12"/>
          </w:tcPr>
          <w:p>
            <w:pPr>
              <w:jc w:val="right"/>
              <w:spacing w:after="0" w:line="195" w:lineRule="exact"/>
              <w:rPr>
                <w:sz w:val="20"/>
                <w:szCs w:val="20"/>
                <w:color w:val="auto"/>
              </w:rPr>
            </w:pPr>
            <w:r>
              <w:rPr>
                <w:rFonts w:ascii="Arial" w:cs="Arial" w:eastAsia="Arial" w:hAnsi="Arial"/>
                <w:sz w:val="22"/>
                <w:szCs w:val="22"/>
                <w:color w:val="0000FF"/>
              </w:rPr>
              <w:t>158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Article XIII</w:t>
      </w:r>
    </w:p>
    <w:p>
      <w:pPr>
        <w:spacing w:after="0" w:line="179" w:lineRule="exact"/>
        <w:rPr>
          <w:sz w:val="20"/>
          <w:szCs w:val="20"/>
          <w:color w:val="auto"/>
        </w:rPr>
      </w:pPr>
    </w:p>
    <w:p>
      <w:pPr>
        <w:ind w:left="220"/>
        <w:spacing w:after="0"/>
        <w:tabs>
          <w:tab w:leader="none" w:pos="7240" w:val="left"/>
        </w:tabs>
        <w:rPr>
          <w:sz w:val="20"/>
          <w:szCs w:val="20"/>
          <w:color w:val="auto"/>
        </w:rPr>
      </w:pPr>
      <w:r>
        <w:rPr>
          <w:rFonts w:ascii="Arial" w:cs="Arial" w:eastAsia="Arial" w:hAnsi="Arial"/>
          <w:sz w:val="22"/>
          <w:szCs w:val="22"/>
          <w:color w:val="auto"/>
        </w:rPr>
        <w:t>JURISDICTION; VENUE, SERVICE OF PROCESS; JURY TRIAL WAIVER</w:t>
      </w:r>
      <w:r>
        <w:rPr>
          <w:sz w:val="20"/>
          <w:szCs w:val="20"/>
          <w:color w:val="auto"/>
        </w:rPr>
        <w:tab/>
      </w:r>
      <w:r>
        <w:rPr>
          <w:rFonts w:ascii="Arial" w:cs="Arial" w:eastAsia="Arial" w:hAnsi="Arial"/>
          <w:sz w:val="19"/>
          <w:szCs w:val="19"/>
          <w:color w:val="0000FF"/>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-17780</wp:posOffset>
            </wp:positionV>
            <wp:extent cx="3429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auto"/>
                <w:w w:val="95"/>
              </w:rPr>
              <w:t>Section 13.01</w:t>
            </w:r>
          </w:p>
        </w:tc>
        <w:tc>
          <w:tcPr>
            <w:tcW w:w="1800" w:type="dxa"/>
            <w:vAlign w:val="bottom"/>
            <w:gridSpan w:val="4"/>
          </w:tcPr>
          <w:p>
            <w:pPr>
              <w:ind w:left="120"/>
              <w:spacing w:after="0"/>
              <w:rPr>
                <w:sz w:val="20"/>
                <w:szCs w:val="20"/>
                <w:color w:val="auto"/>
              </w:rPr>
            </w:pPr>
            <w:r>
              <w:rPr>
                <w:rFonts w:ascii="Arial" w:cs="Arial" w:eastAsia="Arial" w:hAnsi="Arial"/>
                <w:sz w:val="22"/>
                <w:szCs w:val="22"/>
                <w:color w:val="auto"/>
              </w:rPr>
              <w:t>JURISDICTION</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154</w:t>
            </w:r>
          </w:p>
        </w:tc>
        <w:tc>
          <w:tcPr>
            <w:tcW w:w="420" w:type="dxa"/>
            <w:vAlign w:val="bottom"/>
            <w:gridSpan w:val="3"/>
          </w:tcPr>
          <w:p>
            <w:pPr>
              <w:jc w:val="right"/>
              <w:ind w:right="100"/>
              <w:spacing w:after="0"/>
              <w:rPr>
                <w:sz w:val="20"/>
                <w:szCs w:val="20"/>
                <w:color w:val="auto"/>
              </w:rPr>
            </w:pPr>
            <w:r>
              <w:rPr>
                <w:rFonts w:ascii="Arial" w:cs="Arial" w:eastAsia="Arial" w:hAnsi="Arial"/>
                <w:sz w:val="22"/>
                <w:szCs w:val="22"/>
                <w:color w:val="0000FF"/>
                <w:w w:val="81"/>
              </w:rPr>
              <w:t>158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6"/>
        </w:trPr>
        <w:tc>
          <w:tcPr>
            <w:tcW w:w="1300" w:type="dxa"/>
            <w:vAlign w:val="bottom"/>
          </w:tcPr>
          <w:p>
            <w:pPr>
              <w:spacing w:after="0" w:line="195" w:lineRule="exact"/>
              <w:rPr>
                <w:sz w:val="20"/>
                <w:szCs w:val="20"/>
                <w:color w:val="auto"/>
              </w:rPr>
            </w:pPr>
            <w:r>
              <w:rPr>
                <w:rFonts w:ascii="Arial" w:cs="Arial" w:eastAsia="Arial" w:hAnsi="Arial"/>
                <w:sz w:val="22"/>
                <w:szCs w:val="22"/>
                <w:color w:val="auto"/>
                <w:w w:val="95"/>
              </w:rPr>
              <w:t>Section 13.02</w:t>
            </w:r>
          </w:p>
        </w:tc>
        <w:tc>
          <w:tcPr>
            <w:tcW w:w="1060" w:type="dxa"/>
            <w:vAlign w:val="bottom"/>
          </w:tcPr>
          <w:p>
            <w:pPr>
              <w:ind w:left="120"/>
              <w:spacing w:after="0" w:line="195" w:lineRule="exact"/>
              <w:rPr>
                <w:sz w:val="20"/>
                <w:szCs w:val="20"/>
                <w:color w:val="auto"/>
              </w:rPr>
            </w:pPr>
            <w:r>
              <w:rPr>
                <w:rFonts w:ascii="Arial" w:cs="Arial" w:eastAsia="Arial" w:hAnsi="Arial"/>
                <w:sz w:val="22"/>
                <w:szCs w:val="22"/>
                <w:color w:val="auto"/>
              </w:rPr>
              <w:t>VENUE</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154</w:t>
            </w:r>
          </w:p>
        </w:tc>
        <w:tc>
          <w:tcPr>
            <w:tcW w:w="340" w:type="dxa"/>
            <w:vAlign w:val="bottom"/>
            <w:tcBorders>
              <w:bottom w:val="single" w:sz="8" w:color="0000FF"/>
            </w:tcBorders>
          </w:tcPr>
          <w:p>
            <w:pPr>
              <w:spacing w:after="0" w:line="195" w:lineRule="exact"/>
              <w:rPr>
                <w:sz w:val="20"/>
                <w:szCs w:val="20"/>
                <w:color w:val="auto"/>
              </w:rPr>
            </w:pPr>
            <w:r>
              <w:rPr>
                <w:rFonts w:ascii="Arial" w:cs="Arial" w:eastAsia="Arial" w:hAnsi="Arial"/>
                <w:sz w:val="22"/>
                <w:szCs w:val="22"/>
                <w:color w:val="0000FF"/>
                <w:w w:val="81"/>
              </w:rPr>
              <w:t>159</w:t>
            </w:r>
          </w:p>
        </w:tc>
        <w:tc>
          <w:tcPr>
            <w:tcW w:w="3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300" w:type="dxa"/>
            <w:vAlign w:val="bottom"/>
          </w:tcPr>
          <w:p>
            <w:pPr>
              <w:spacing w:after="0" w:line="195" w:lineRule="exact"/>
              <w:rPr>
                <w:sz w:val="20"/>
                <w:szCs w:val="20"/>
                <w:color w:val="auto"/>
              </w:rPr>
            </w:pPr>
            <w:r>
              <w:rPr>
                <w:rFonts w:ascii="Arial" w:cs="Arial" w:eastAsia="Arial" w:hAnsi="Arial"/>
                <w:sz w:val="22"/>
                <w:szCs w:val="22"/>
                <w:color w:val="auto"/>
                <w:w w:val="95"/>
              </w:rPr>
              <w:t>Section 13.03</w:t>
            </w:r>
          </w:p>
        </w:tc>
        <w:tc>
          <w:tcPr>
            <w:tcW w:w="1380" w:type="dxa"/>
            <w:vAlign w:val="bottom"/>
            <w:gridSpan w:val="2"/>
          </w:tcPr>
          <w:p>
            <w:pPr>
              <w:ind w:left="120"/>
              <w:spacing w:after="0" w:line="195" w:lineRule="exact"/>
              <w:rPr>
                <w:sz w:val="20"/>
                <w:szCs w:val="20"/>
                <w:color w:val="auto"/>
              </w:rPr>
            </w:pPr>
            <w:r>
              <w:rPr>
                <w:rFonts w:ascii="Arial" w:cs="Arial" w:eastAsia="Arial" w:hAnsi="Arial"/>
                <w:sz w:val="22"/>
                <w:szCs w:val="22"/>
                <w:color w:val="auto"/>
                <w:w w:val="93"/>
              </w:rPr>
              <w:t>SERVICE OF</w:t>
            </w:r>
          </w:p>
        </w:tc>
        <w:tc>
          <w:tcPr>
            <w:tcW w:w="1040" w:type="dxa"/>
            <w:vAlign w:val="bottom"/>
            <w:gridSpan w:val="5"/>
          </w:tcPr>
          <w:p>
            <w:pPr>
              <w:jc w:val="center"/>
              <w:spacing w:after="0" w:line="195" w:lineRule="exact"/>
              <w:rPr>
                <w:sz w:val="20"/>
                <w:szCs w:val="20"/>
                <w:color w:val="auto"/>
              </w:rPr>
            </w:pPr>
            <w:r>
              <w:rPr>
                <w:rFonts w:ascii="Arial" w:cs="Arial" w:eastAsia="Arial" w:hAnsi="Arial"/>
                <w:sz w:val="22"/>
                <w:szCs w:val="22"/>
                <w:color w:val="auto"/>
                <w:w w:val="87"/>
              </w:rPr>
              <w:t>PROCESS</w:t>
            </w:r>
          </w:p>
        </w:tc>
        <w:tc>
          <w:tcPr>
            <w:tcW w:w="120" w:type="dxa"/>
            <w:vAlign w:val="bottom"/>
            <w:gridSpan w:val="2"/>
          </w:tcPr>
          <w:p>
            <w:pPr>
              <w:spacing w:after="0"/>
              <w:rPr>
                <w:sz w:val="17"/>
                <w:szCs w:val="17"/>
                <w:color w:val="auto"/>
              </w:rPr>
            </w:pPr>
          </w:p>
        </w:tc>
        <w:tc>
          <w:tcPr>
            <w:tcW w:w="320" w:type="dxa"/>
            <w:vAlign w:val="bottom"/>
            <w:gridSpan w:val="2"/>
          </w:tcPr>
          <w:p>
            <w:pPr>
              <w:jc w:val="right"/>
              <w:spacing w:after="0" w:line="195" w:lineRule="exact"/>
              <w:rPr>
                <w:sz w:val="20"/>
                <w:szCs w:val="20"/>
                <w:color w:val="auto"/>
              </w:rPr>
            </w:pPr>
            <w:r>
              <w:rPr>
                <w:rFonts w:ascii="Arial" w:cs="Arial" w:eastAsia="Arial" w:hAnsi="Arial"/>
                <w:sz w:val="22"/>
                <w:szCs w:val="22"/>
                <w:color w:val="FF0000"/>
                <w:strike w:val="1"/>
                <w:w w:val="81"/>
              </w:rPr>
              <w:t>154</w:t>
            </w:r>
          </w:p>
        </w:tc>
        <w:tc>
          <w:tcPr>
            <w:tcW w:w="3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159</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300" w:type="dxa"/>
            <w:vAlign w:val="bottom"/>
          </w:tcPr>
          <w:p>
            <w:pPr>
              <w:spacing w:after="0" w:line="195" w:lineRule="exact"/>
              <w:rPr>
                <w:sz w:val="20"/>
                <w:szCs w:val="20"/>
                <w:color w:val="auto"/>
              </w:rPr>
            </w:pPr>
            <w:r>
              <w:rPr>
                <w:rFonts w:ascii="Arial" w:cs="Arial" w:eastAsia="Arial" w:hAnsi="Arial"/>
                <w:sz w:val="22"/>
                <w:szCs w:val="22"/>
                <w:color w:val="auto"/>
                <w:w w:val="95"/>
              </w:rPr>
              <w:t>Section 13.04</w:t>
            </w:r>
          </w:p>
        </w:tc>
        <w:tc>
          <w:tcPr>
            <w:tcW w:w="2420" w:type="dxa"/>
            <w:vAlign w:val="bottom"/>
            <w:gridSpan w:val="7"/>
          </w:tcPr>
          <w:p>
            <w:pPr>
              <w:ind w:left="120"/>
              <w:spacing w:after="0" w:line="195" w:lineRule="exact"/>
              <w:rPr>
                <w:sz w:val="20"/>
                <w:szCs w:val="20"/>
                <w:color w:val="auto"/>
              </w:rPr>
            </w:pPr>
            <w:r>
              <w:rPr>
                <w:rFonts w:ascii="Arial" w:cs="Arial" w:eastAsia="Arial" w:hAnsi="Arial"/>
                <w:sz w:val="22"/>
                <w:szCs w:val="22"/>
                <w:color w:val="auto"/>
              </w:rPr>
              <w:t>JURY TRIAL WAIVER</w:t>
            </w:r>
          </w:p>
        </w:tc>
        <w:tc>
          <w:tcPr>
            <w:tcW w:w="320" w:type="dxa"/>
            <w:vAlign w:val="bottom"/>
            <w:gridSpan w:val="3"/>
          </w:tcPr>
          <w:p>
            <w:pPr>
              <w:jc w:val="right"/>
              <w:spacing w:after="0" w:line="195" w:lineRule="exact"/>
              <w:rPr>
                <w:sz w:val="20"/>
                <w:szCs w:val="20"/>
                <w:color w:val="auto"/>
              </w:rPr>
            </w:pPr>
            <w:r>
              <w:rPr>
                <w:rFonts w:ascii="Arial" w:cs="Arial" w:eastAsia="Arial" w:hAnsi="Arial"/>
                <w:sz w:val="22"/>
                <w:szCs w:val="22"/>
                <w:color w:val="FF0000"/>
                <w:strike w:val="1"/>
                <w:w w:val="81"/>
              </w:rPr>
              <w:t>154</w:t>
            </w:r>
          </w:p>
        </w:tc>
        <w:tc>
          <w:tcPr>
            <w:tcW w:w="3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159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300" w:type="dxa"/>
            <w:vAlign w:val="bottom"/>
          </w:tcPr>
          <w:p>
            <w:pPr>
              <w:spacing w:after="0" w:line="195" w:lineRule="exact"/>
              <w:rPr>
                <w:sz w:val="20"/>
                <w:szCs w:val="20"/>
                <w:color w:val="auto"/>
              </w:rPr>
            </w:pPr>
            <w:r>
              <w:rPr>
                <w:rFonts w:ascii="Arial" w:cs="Arial" w:eastAsia="Arial" w:hAnsi="Arial"/>
                <w:sz w:val="22"/>
                <w:szCs w:val="22"/>
                <w:color w:val="auto"/>
                <w:w w:val="95"/>
              </w:rPr>
              <w:t>Section 13.05</w:t>
            </w:r>
          </w:p>
        </w:tc>
        <w:tc>
          <w:tcPr>
            <w:tcW w:w="2740" w:type="dxa"/>
            <w:vAlign w:val="bottom"/>
            <w:gridSpan w:val="10"/>
          </w:tcPr>
          <w:p>
            <w:pPr>
              <w:ind w:left="120"/>
              <w:spacing w:after="0" w:line="195" w:lineRule="exact"/>
              <w:rPr>
                <w:sz w:val="20"/>
                <w:szCs w:val="20"/>
                <w:color w:val="auto"/>
              </w:rPr>
            </w:pPr>
            <w:r>
              <w:rPr>
                <w:rFonts w:ascii="Arial" w:cs="Arial" w:eastAsia="Arial" w:hAnsi="Arial"/>
                <w:sz w:val="22"/>
                <w:szCs w:val="22"/>
                <w:color w:val="auto"/>
                <w:w w:val="86"/>
              </w:rPr>
              <w:t>Judicial Foreclosure and Other</w:t>
            </w:r>
          </w:p>
        </w:tc>
        <w:tc>
          <w:tcPr>
            <w:tcW w:w="960" w:type="dxa"/>
            <w:vAlign w:val="bottom"/>
            <w:gridSpan w:val="4"/>
          </w:tcPr>
          <w:p>
            <w:pPr>
              <w:ind w:left="80"/>
              <w:spacing w:after="0" w:line="195" w:lineRule="exact"/>
              <w:rPr>
                <w:sz w:val="20"/>
                <w:szCs w:val="20"/>
                <w:color w:val="auto"/>
              </w:rPr>
            </w:pPr>
            <w:r>
              <w:rPr>
                <w:rFonts w:ascii="Arial" w:cs="Arial" w:eastAsia="Arial" w:hAnsi="Arial"/>
                <w:sz w:val="22"/>
                <w:szCs w:val="22"/>
                <w:color w:val="auto"/>
              </w:rPr>
              <w:t>Actions</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155</w:t>
            </w:r>
          </w:p>
        </w:tc>
        <w:tc>
          <w:tcPr>
            <w:tcW w:w="3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1"/>
              </w:rPr>
              <w:t>159</w:t>
            </w:r>
          </w:p>
        </w:tc>
      </w:tr>
      <w:tr>
        <w:trPr>
          <w:trHeight w:val="196"/>
        </w:trPr>
        <w:tc>
          <w:tcPr>
            <w:tcW w:w="1300" w:type="dxa"/>
            <w:vAlign w:val="bottom"/>
          </w:tcPr>
          <w:p>
            <w:pPr>
              <w:spacing w:after="0" w:line="195" w:lineRule="exact"/>
              <w:rPr>
                <w:sz w:val="20"/>
                <w:szCs w:val="20"/>
                <w:color w:val="auto"/>
              </w:rPr>
            </w:pPr>
            <w:r>
              <w:rPr>
                <w:rFonts w:ascii="Arial" w:cs="Arial" w:eastAsia="Arial" w:hAnsi="Arial"/>
                <w:sz w:val="22"/>
                <w:szCs w:val="22"/>
                <w:color w:val="auto"/>
                <w:w w:val="95"/>
              </w:rPr>
              <w:t>Section 13.06</w:t>
            </w:r>
          </w:p>
        </w:tc>
        <w:tc>
          <w:tcPr>
            <w:tcW w:w="1380" w:type="dxa"/>
            <w:vAlign w:val="bottom"/>
            <w:gridSpan w:val="2"/>
          </w:tcPr>
          <w:p>
            <w:pPr>
              <w:ind w:left="120"/>
              <w:spacing w:after="0" w:line="195" w:lineRule="exact"/>
              <w:rPr>
                <w:sz w:val="20"/>
                <w:szCs w:val="20"/>
                <w:color w:val="auto"/>
              </w:rPr>
            </w:pPr>
            <w:r>
              <w:rPr>
                <w:rFonts w:ascii="Arial" w:cs="Arial" w:eastAsia="Arial" w:hAnsi="Arial"/>
                <w:sz w:val="22"/>
                <w:szCs w:val="22"/>
                <w:color w:val="auto"/>
              </w:rPr>
              <w:t>Termination</w:t>
            </w:r>
          </w:p>
        </w:tc>
        <w:tc>
          <w:tcPr>
            <w:tcW w:w="340" w:type="dxa"/>
            <w:vAlign w:val="bottom"/>
          </w:tcPr>
          <w:p>
            <w:pPr>
              <w:spacing w:after="0" w:line="195" w:lineRule="exact"/>
              <w:rPr>
                <w:sz w:val="20"/>
                <w:szCs w:val="20"/>
                <w:color w:val="auto"/>
              </w:rPr>
            </w:pPr>
            <w:r>
              <w:rPr>
                <w:rFonts w:ascii="Arial" w:cs="Arial" w:eastAsia="Arial" w:hAnsi="Arial"/>
                <w:sz w:val="22"/>
                <w:szCs w:val="22"/>
                <w:color w:val="FF0000"/>
                <w:strike w:val="1"/>
                <w:w w:val="81"/>
              </w:rPr>
              <w:t>155</w:t>
            </w:r>
          </w:p>
        </w:tc>
        <w:tc>
          <w:tcPr>
            <w:tcW w:w="700" w:type="dxa"/>
            <w:vAlign w:val="bottom"/>
            <w:gridSpan w:val="4"/>
          </w:tcPr>
          <w:p>
            <w:pPr>
              <w:jc w:val="right"/>
              <w:ind w:right="292"/>
              <w:spacing w:after="0" w:line="195" w:lineRule="exact"/>
              <w:rPr>
                <w:sz w:val="20"/>
                <w:szCs w:val="20"/>
                <w:color w:val="auto"/>
              </w:rPr>
            </w:pPr>
            <w:r>
              <w:rPr>
                <w:rFonts w:ascii="Arial" w:cs="Arial" w:eastAsia="Arial" w:hAnsi="Arial"/>
                <w:sz w:val="22"/>
                <w:szCs w:val="22"/>
                <w:color w:val="0000FF"/>
                <w:w w:val="76"/>
              </w:rPr>
              <w:t>159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SCHEDULES</w:t>
      </w:r>
    </w:p>
    <w:p>
      <w:pPr>
        <w:spacing w:after="0" w:line="206"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Schedule 1.01</w:t>
      </w:r>
      <w:r>
        <w:rPr>
          <w:sz w:val="20"/>
          <w:szCs w:val="20"/>
          <w:color w:val="auto"/>
        </w:rPr>
        <w:tab/>
      </w:r>
      <w:r>
        <w:rPr>
          <w:rFonts w:ascii="Arial" w:cs="Arial" w:eastAsia="Arial" w:hAnsi="Arial"/>
          <w:sz w:val="19"/>
          <w:szCs w:val="19"/>
          <w:color w:val="auto"/>
        </w:rPr>
        <w:t>Initial Term Loan Commitments &amp; DDTL Commitments</w:t>
      </w:r>
    </w:p>
    <w:p>
      <w:pPr>
        <w:sectPr>
          <w:pgSz w:w="11900" w:h="16838" w:orient="portrait"/>
          <w:cols w:equalWidth="0" w:num="1">
            <w:col w:w="10139"/>
          </w:cols>
          <w:pgMar w:left="320" w:top="1440" w:right="1440" w:bottom="1440" w:gutter="0" w:footer="0" w:header="0"/>
        </w:sectPr>
      </w:pPr>
    </w:p>
    <w:bookmarkStart w:id="53" w:name="page54"/>
    <w:bookmarkEnd w:id="53"/>
    <w:p>
      <w:pPr>
        <w:spacing w:after="0"/>
        <w:tabs>
          <w:tab w:leader="none" w:pos="1420" w:val="left"/>
        </w:tabs>
        <w:rPr>
          <w:sz w:val="20"/>
          <w:szCs w:val="20"/>
          <w:color w:val="auto"/>
        </w:rPr>
      </w:pPr>
      <w:r>
        <w:rPr>
          <w:rFonts w:ascii="Arial" w:cs="Arial" w:eastAsia="Arial" w:hAnsi="Arial"/>
          <w:sz w:val="22"/>
          <w:szCs w:val="22"/>
          <w:color w:val="auto"/>
        </w:rPr>
        <w:t>Schedule 1.02</w:t>
      </w:r>
      <w:r>
        <w:rPr>
          <w:sz w:val="20"/>
          <w:szCs w:val="20"/>
          <w:color w:val="auto"/>
        </w:rPr>
        <w:tab/>
      </w:r>
      <w:r>
        <w:rPr>
          <w:rFonts w:ascii="Arial" w:cs="Arial" w:eastAsia="Arial" w:hAnsi="Arial"/>
          <w:sz w:val="21"/>
          <w:szCs w:val="21"/>
          <w:color w:val="auto"/>
        </w:rPr>
        <w:t>Key IP</w:t>
      </w:r>
    </w:p>
    <w:p>
      <w:pPr>
        <w:spacing w:after="0" w:line="214" w:lineRule="auto"/>
        <w:tabs>
          <w:tab w:leader="none" w:pos="1420" w:val="left"/>
        </w:tabs>
        <w:rPr>
          <w:sz w:val="20"/>
          <w:szCs w:val="20"/>
          <w:color w:val="auto"/>
        </w:rPr>
      </w:pPr>
      <w:r>
        <w:rPr>
          <w:rFonts w:ascii="Arial" w:cs="Arial" w:eastAsia="Arial" w:hAnsi="Arial"/>
          <w:sz w:val="22"/>
          <w:szCs w:val="22"/>
          <w:color w:val="auto"/>
        </w:rPr>
        <w:t>Schedule 7.08</w:t>
      </w:r>
      <w:r>
        <w:rPr>
          <w:sz w:val="20"/>
          <w:szCs w:val="20"/>
          <w:color w:val="auto"/>
        </w:rPr>
        <w:tab/>
      </w:r>
      <w:r>
        <w:rPr>
          <w:rFonts w:ascii="Arial" w:cs="Arial" w:eastAsia="Arial" w:hAnsi="Arial"/>
          <w:sz w:val="21"/>
          <w:szCs w:val="21"/>
          <w:color w:val="auto"/>
        </w:rPr>
        <w:t>Litigation</w:t>
      </w:r>
    </w:p>
    <w:p>
      <w:pPr>
        <w:spacing w:after="0" w:line="238" w:lineRule="auto"/>
        <w:tabs>
          <w:tab w:leader="none" w:pos="1420" w:val="left"/>
        </w:tabs>
        <w:rPr>
          <w:sz w:val="20"/>
          <w:szCs w:val="20"/>
          <w:color w:val="auto"/>
        </w:rPr>
      </w:pPr>
      <w:r>
        <w:rPr>
          <w:rFonts w:ascii="Arial" w:cs="Arial" w:eastAsia="Arial" w:hAnsi="Arial"/>
          <w:sz w:val="22"/>
          <w:szCs w:val="22"/>
          <w:color w:val="auto"/>
        </w:rPr>
        <w:t>Schedule 7.09</w:t>
      </w:r>
      <w:r>
        <w:rPr>
          <w:sz w:val="20"/>
          <w:szCs w:val="20"/>
          <w:color w:val="auto"/>
        </w:rPr>
        <w:tab/>
      </w:r>
      <w:r>
        <w:rPr>
          <w:rFonts w:ascii="Arial" w:cs="Arial" w:eastAsia="Arial" w:hAnsi="Arial"/>
          <w:sz w:val="19"/>
          <w:szCs w:val="19"/>
          <w:color w:val="auto"/>
        </w:rPr>
        <w:t>Capitalization and Subsidiaries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7.12</w:t>
      </w:r>
      <w:r>
        <w:rPr>
          <w:sz w:val="20"/>
          <w:szCs w:val="20"/>
          <w:color w:val="auto"/>
        </w:rPr>
        <w:tab/>
      </w:r>
      <w:r>
        <w:rPr>
          <w:rFonts w:ascii="Arial" w:cs="Arial" w:eastAsia="Arial" w:hAnsi="Arial"/>
          <w:sz w:val="19"/>
          <w:szCs w:val="19"/>
          <w:color w:val="auto"/>
        </w:rPr>
        <w:t>Tax Returns and Payments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7.14</w:t>
      </w:r>
      <w:r>
        <w:rPr>
          <w:sz w:val="20"/>
          <w:szCs w:val="20"/>
          <w:color w:val="auto"/>
        </w:rPr>
        <w:tab/>
      </w:r>
      <w:r>
        <w:rPr>
          <w:rFonts w:ascii="Arial" w:cs="Arial" w:eastAsia="Arial" w:hAnsi="Arial"/>
          <w:sz w:val="19"/>
          <w:szCs w:val="19"/>
          <w:color w:val="auto"/>
        </w:rPr>
        <w:t>Intellectual Property</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7.15</w:t>
      </w:r>
      <w:r>
        <w:rPr>
          <w:sz w:val="20"/>
          <w:szCs w:val="20"/>
          <w:color w:val="auto"/>
        </w:rPr>
        <w:tab/>
      </w:r>
      <w:r>
        <w:rPr>
          <w:rFonts w:ascii="Arial" w:cs="Arial" w:eastAsia="Arial" w:hAnsi="Arial"/>
          <w:sz w:val="19"/>
          <w:szCs w:val="19"/>
          <w:color w:val="auto"/>
        </w:rPr>
        <w:t>Real Property</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7.19</w:t>
      </w:r>
      <w:r>
        <w:rPr>
          <w:sz w:val="20"/>
          <w:szCs w:val="20"/>
          <w:color w:val="auto"/>
        </w:rPr>
        <w:tab/>
      </w:r>
      <w:r>
        <w:rPr>
          <w:rFonts w:ascii="Arial" w:cs="Arial" w:eastAsia="Arial" w:hAnsi="Arial"/>
          <w:sz w:val="19"/>
          <w:szCs w:val="19"/>
          <w:color w:val="auto"/>
        </w:rPr>
        <w:t>Security Filings and Filing Offices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7.23</w:t>
      </w:r>
      <w:r>
        <w:rPr>
          <w:sz w:val="20"/>
          <w:szCs w:val="20"/>
          <w:color w:val="auto"/>
        </w:rPr>
        <w:tab/>
      </w:r>
      <w:r>
        <w:rPr>
          <w:rFonts w:ascii="Arial" w:cs="Arial" w:eastAsia="Arial" w:hAnsi="Arial"/>
          <w:sz w:val="19"/>
          <w:szCs w:val="19"/>
          <w:color w:val="auto"/>
        </w:rPr>
        <w:t>Brokers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7.24</w:t>
      </w:r>
      <w:r>
        <w:rPr>
          <w:sz w:val="20"/>
          <w:szCs w:val="20"/>
          <w:color w:val="auto"/>
        </w:rPr>
        <w:tab/>
      </w:r>
      <w:r>
        <w:rPr>
          <w:rFonts w:ascii="Arial" w:cs="Arial" w:eastAsia="Arial" w:hAnsi="Arial"/>
          <w:sz w:val="19"/>
          <w:szCs w:val="19"/>
          <w:color w:val="auto"/>
        </w:rPr>
        <w:t>Insurance</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7.25</w:t>
      </w:r>
      <w:r>
        <w:rPr>
          <w:sz w:val="20"/>
          <w:szCs w:val="20"/>
          <w:color w:val="auto"/>
        </w:rPr>
        <w:tab/>
      </w:r>
      <w:r>
        <w:rPr>
          <w:rFonts w:ascii="Arial" w:cs="Arial" w:eastAsia="Arial" w:hAnsi="Arial"/>
          <w:sz w:val="19"/>
          <w:szCs w:val="19"/>
          <w:color w:val="auto"/>
        </w:rPr>
        <w:t>Existing Indebtedness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7.26</w:t>
      </w:r>
      <w:r>
        <w:rPr>
          <w:sz w:val="20"/>
          <w:szCs w:val="20"/>
          <w:color w:val="auto"/>
        </w:rPr>
        <w:tab/>
      </w:r>
      <w:r>
        <w:rPr>
          <w:rFonts w:ascii="Arial" w:cs="Arial" w:eastAsia="Arial" w:hAnsi="Arial"/>
          <w:sz w:val="19"/>
          <w:szCs w:val="19"/>
          <w:color w:val="auto"/>
        </w:rPr>
        <w:t>Deposit Accounts, Securities Accounts and Commodity Accounts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7.32</w:t>
      </w:r>
      <w:r>
        <w:rPr>
          <w:sz w:val="20"/>
          <w:szCs w:val="20"/>
          <w:color w:val="auto"/>
        </w:rPr>
        <w:tab/>
      </w:r>
      <w:r>
        <w:rPr>
          <w:rFonts w:ascii="Arial" w:cs="Arial" w:eastAsia="Arial" w:hAnsi="Arial"/>
          <w:sz w:val="19"/>
          <w:szCs w:val="19"/>
          <w:color w:val="auto"/>
        </w:rPr>
        <w:t>Material Contracts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7.33</w:t>
      </w:r>
      <w:r>
        <w:rPr>
          <w:sz w:val="20"/>
          <w:szCs w:val="20"/>
          <w:color w:val="auto"/>
        </w:rPr>
        <w:tab/>
      </w:r>
      <w:r>
        <w:rPr>
          <w:rFonts w:ascii="Arial" w:cs="Arial" w:eastAsia="Arial" w:hAnsi="Arial"/>
          <w:sz w:val="19"/>
          <w:szCs w:val="19"/>
          <w:color w:val="auto"/>
        </w:rPr>
        <w:t>Affiliate Transactions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7.34</w:t>
      </w:r>
      <w:r>
        <w:rPr>
          <w:sz w:val="20"/>
          <w:szCs w:val="20"/>
          <w:color w:val="auto"/>
        </w:rPr>
        <w:tab/>
      </w:r>
      <w:r>
        <w:rPr>
          <w:rFonts w:ascii="Arial" w:cs="Arial" w:eastAsia="Arial" w:hAnsi="Arial"/>
          <w:sz w:val="19"/>
          <w:szCs w:val="19"/>
          <w:color w:val="auto"/>
        </w:rPr>
        <w:t>Collective Bargaining Agreements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7.35</w:t>
      </w:r>
      <w:r>
        <w:rPr>
          <w:sz w:val="20"/>
          <w:szCs w:val="20"/>
          <w:color w:val="auto"/>
        </w:rPr>
        <w:tab/>
      </w:r>
      <w:r>
        <w:rPr>
          <w:rFonts w:ascii="Arial" w:cs="Arial" w:eastAsia="Arial" w:hAnsi="Arial"/>
          <w:sz w:val="19"/>
          <w:szCs w:val="19"/>
          <w:color w:val="auto"/>
        </w:rPr>
        <w:t>Healthcare and FDA Matters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9.02</w:t>
      </w:r>
      <w:r>
        <w:rPr>
          <w:sz w:val="20"/>
          <w:szCs w:val="20"/>
          <w:color w:val="auto"/>
        </w:rPr>
        <w:tab/>
      </w:r>
      <w:r>
        <w:rPr>
          <w:rFonts w:ascii="Arial" w:cs="Arial" w:eastAsia="Arial" w:hAnsi="Arial"/>
          <w:sz w:val="19"/>
          <w:szCs w:val="19"/>
          <w:color w:val="auto"/>
        </w:rPr>
        <w:t>Liens</w:t>
      </w:r>
    </w:p>
    <w:p>
      <w:pPr>
        <w:spacing w:after="0" w:line="237" w:lineRule="auto"/>
        <w:tabs>
          <w:tab w:leader="none" w:pos="1420" w:val="left"/>
        </w:tabs>
        <w:rPr>
          <w:sz w:val="20"/>
          <w:szCs w:val="20"/>
          <w:color w:val="auto"/>
        </w:rPr>
      </w:pPr>
      <w:r>
        <w:rPr>
          <w:rFonts w:ascii="Arial" w:cs="Arial" w:eastAsia="Arial" w:hAnsi="Arial"/>
          <w:sz w:val="22"/>
          <w:szCs w:val="22"/>
          <w:color w:val="auto"/>
        </w:rPr>
        <w:t>Schedule 9.05</w:t>
      </w:r>
      <w:r>
        <w:rPr>
          <w:sz w:val="20"/>
          <w:szCs w:val="20"/>
          <w:color w:val="auto"/>
        </w:rPr>
        <w:tab/>
      </w:r>
      <w:r>
        <w:rPr>
          <w:rFonts w:ascii="Arial" w:cs="Arial" w:eastAsia="Arial" w:hAnsi="Arial"/>
          <w:sz w:val="19"/>
          <w:szCs w:val="19"/>
          <w:color w:val="auto"/>
        </w:rPr>
        <w:t>Investments</w:t>
      </w:r>
    </w:p>
    <w:p>
      <w:pPr>
        <w:spacing w:after="0"/>
        <w:tabs>
          <w:tab w:leader="none" w:pos="1420" w:val="left"/>
        </w:tabs>
        <w:rPr>
          <w:sz w:val="20"/>
          <w:szCs w:val="20"/>
          <w:color w:val="auto"/>
        </w:rPr>
      </w:pPr>
      <w:r>
        <w:rPr>
          <w:rFonts w:ascii="Arial" w:cs="Arial" w:eastAsia="Arial" w:hAnsi="Arial"/>
          <w:sz w:val="22"/>
          <w:szCs w:val="22"/>
          <w:color w:val="auto"/>
        </w:rPr>
        <w:t>Schedule 9.10</w:t>
      </w:r>
      <w:r>
        <w:rPr>
          <w:sz w:val="20"/>
          <w:szCs w:val="20"/>
          <w:color w:val="auto"/>
        </w:rPr>
        <w:tab/>
      </w:r>
      <w:r>
        <w:rPr>
          <w:rFonts w:ascii="Arial" w:cs="Arial" w:eastAsia="Arial" w:hAnsi="Arial"/>
          <w:sz w:val="19"/>
          <w:szCs w:val="19"/>
          <w:color w:val="auto"/>
        </w:rPr>
        <w:t>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Note</w:t>
      </w:r>
    </w:p>
    <w:p>
      <w:pPr>
        <w:spacing w:after="0" w:line="237" w:lineRule="auto"/>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[Reserved]</w:t>
      </w:r>
    </w:p>
    <w:p>
      <w:pPr>
        <w:spacing w:after="0" w:line="237" w:lineRule="auto"/>
        <w:tabs>
          <w:tab w:leader="none" w:pos="1220" w:val="left"/>
        </w:tabs>
        <w:rPr>
          <w:sz w:val="20"/>
          <w:szCs w:val="20"/>
          <w:color w:val="auto"/>
        </w:rPr>
      </w:pPr>
      <w:r>
        <w:rPr>
          <w:rFonts w:ascii="Arial" w:cs="Arial" w:eastAsia="Arial" w:hAnsi="Arial"/>
          <w:sz w:val="22"/>
          <w:szCs w:val="22"/>
          <w:color w:val="auto"/>
        </w:rPr>
        <w:t>Exhibit C-1</w:t>
      </w:r>
      <w:r>
        <w:rPr>
          <w:sz w:val="20"/>
          <w:szCs w:val="20"/>
          <w:color w:val="auto"/>
        </w:rPr>
        <w:tab/>
      </w:r>
      <w:r>
        <w:rPr>
          <w:rFonts w:ascii="Arial" w:cs="Arial" w:eastAsia="Arial" w:hAnsi="Arial"/>
          <w:sz w:val="19"/>
          <w:szCs w:val="19"/>
          <w:color w:val="auto"/>
        </w:rPr>
        <w:t>Form of Guaranty and Security Agreement</w:t>
      </w:r>
    </w:p>
    <w:p>
      <w:pPr>
        <w:spacing w:after="0" w:line="237" w:lineRule="auto"/>
        <w:tabs>
          <w:tab w:leader="none" w:pos="1220" w:val="left"/>
        </w:tabs>
        <w:rPr>
          <w:sz w:val="20"/>
          <w:szCs w:val="20"/>
          <w:color w:val="auto"/>
        </w:rPr>
      </w:pPr>
      <w:r>
        <w:rPr>
          <w:rFonts w:ascii="Arial" w:cs="Arial" w:eastAsia="Arial" w:hAnsi="Arial"/>
          <w:sz w:val="22"/>
          <w:szCs w:val="22"/>
          <w:color w:val="auto"/>
        </w:rPr>
        <w:t>Exhibit C-2</w:t>
      </w:r>
      <w:r>
        <w:rPr>
          <w:sz w:val="20"/>
          <w:szCs w:val="20"/>
          <w:color w:val="auto"/>
        </w:rPr>
        <w:tab/>
      </w:r>
      <w:r>
        <w:rPr>
          <w:rFonts w:ascii="Arial" w:cs="Arial" w:eastAsia="Arial" w:hAnsi="Arial"/>
          <w:sz w:val="19"/>
          <w:szCs w:val="19"/>
          <w:color w:val="auto"/>
        </w:rPr>
        <w:t>Form of Closing Date Patent Security Agreement</w:t>
      </w:r>
    </w:p>
    <w:p>
      <w:pPr>
        <w:spacing w:after="0" w:line="237" w:lineRule="auto"/>
        <w:tabs>
          <w:tab w:leader="none" w:pos="1220" w:val="left"/>
        </w:tabs>
        <w:rPr>
          <w:sz w:val="20"/>
          <w:szCs w:val="20"/>
          <w:color w:val="auto"/>
        </w:rPr>
      </w:pPr>
      <w:r>
        <w:rPr>
          <w:rFonts w:ascii="Arial" w:cs="Arial" w:eastAsia="Arial" w:hAnsi="Arial"/>
          <w:sz w:val="22"/>
          <w:szCs w:val="22"/>
          <w:color w:val="auto"/>
        </w:rPr>
        <w:t>Exhibit C-3</w:t>
      </w:r>
      <w:r>
        <w:rPr>
          <w:sz w:val="20"/>
          <w:szCs w:val="20"/>
          <w:color w:val="auto"/>
        </w:rPr>
        <w:tab/>
      </w:r>
      <w:r>
        <w:rPr>
          <w:rFonts w:ascii="Arial" w:cs="Arial" w:eastAsia="Arial" w:hAnsi="Arial"/>
          <w:sz w:val="19"/>
          <w:szCs w:val="19"/>
          <w:color w:val="auto"/>
        </w:rPr>
        <w:t>Form of Closing Date Trademark Security Agreement</w:t>
      </w:r>
    </w:p>
    <w:p>
      <w:pPr>
        <w:spacing w:after="0" w:line="237" w:lineRule="auto"/>
        <w:tabs>
          <w:tab w:leader="none" w:pos="1220" w:val="left"/>
        </w:tabs>
        <w:rPr>
          <w:sz w:val="20"/>
          <w:szCs w:val="20"/>
          <w:color w:val="auto"/>
        </w:rPr>
      </w:pPr>
      <w:r>
        <w:rPr>
          <w:rFonts w:ascii="Arial" w:cs="Arial" w:eastAsia="Arial" w:hAnsi="Arial"/>
          <w:sz w:val="22"/>
          <w:szCs w:val="22"/>
          <w:color w:val="auto"/>
        </w:rPr>
        <w:t>Exhibit C-4</w:t>
      </w:r>
      <w:r>
        <w:rPr>
          <w:sz w:val="20"/>
          <w:szCs w:val="20"/>
          <w:color w:val="auto"/>
        </w:rPr>
        <w:tab/>
      </w:r>
      <w:r>
        <w:rPr>
          <w:rFonts w:ascii="Arial" w:cs="Arial" w:eastAsia="Arial" w:hAnsi="Arial"/>
          <w:sz w:val="19"/>
          <w:szCs w:val="19"/>
          <w:color w:val="auto"/>
        </w:rPr>
        <w:t>Form of Closing Date Copyright Security Agreement</w:t>
      </w:r>
    </w:p>
    <w:p>
      <w:pPr>
        <w:spacing w:after="0" w:line="237" w:lineRule="auto"/>
        <w:tabs>
          <w:tab w:leader="none" w:pos="1240" w:val="left"/>
        </w:tabs>
        <w:rPr>
          <w:sz w:val="20"/>
          <w:szCs w:val="20"/>
          <w:color w:val="auto"/>
        </w:rPr>
      </w:pPr>
      <w:r>
        <w:rPr>
          <w:rFonts w:ascii="Arial" w:cs="Arial" w:eastAsia="Arial" w:hAnsi="Arial"/>
          <w:sz w:val="22"/>
          <w:szCs w:val="22"/>
          <w:color w:val="auto"/>
        </w:rPr>
        <w:t>Exhibit D-1</w:t>
      </w:r>
      <w:r>
        <w:rPr>
          <w:sz w:val="20"/>
          <w:szCs w:val="20"/>
          <w:color w:val="auto"/>
        </w:rPr>
        <w:tab/>
      </w:r>
      <w:r>
        <w:rPr>
          <w:rFonts w:ascii="Arial" w:cs="Arial" w:eastAsia="Arial" w:hAnsi="Arial"/>
          <w:sz w:val="19"/>
          <w:szCs w:val="19"/>
          <w:color w:val="auto"/>
        </w:rPr>
        <w:t>Form of Compliance Certificate</w:t>
      </w:r>
    </w:p>
    <w:p>
      <w:pPr>
        <w:spacing w:after="0" w:line="237" w:lineRule="auto"/>
        <w:tabs>
          <w:tab w:leader="none" w:pos="1240" w:val="left"/>
        </w:tabs>
        <w:rPr>
          <w:sz w:val="20"/>
          <w:szCs w:val="20"/>
          <w:color w:val="auto"/>
        </w:rPr>
      </w:pPr>
      <w:r>
        <w:rPr>
          <w:rFonts w:ascii="Arial" w:cs="Arial" w:eastAsia="Arial" w:hAnsi="Arial"/>
          <w:sz w:val="22"/>
          <w:szCs w:val="22"/>
          <w:color w:val="auto"/>
        </w:rPr>
        <w:t>Exhibit D-2</w:t>
      </w:r>
      <w:r>
        <w:rPr>
          <w:sz w:val="20"/>
          <w:szCs w:val="20"/>
          <w:color w:val="auto"/>
        </w:rPr>
        <w:tab/>
      </w:r>
      <w:r>
        <w:rPr>
          <w:rFonts w:ascii="Arial" w:cs="Arial" w:eastAsia="Arial" w:hAnsi="Arial"/>
          <w:sz w:val="19"/>
          <w:szCs w:val="19"/>
          <w:color w:val="auto"/>
        </w:rPr>
        <w:t>Form of Liquidity Compliance Certificate</w:t>
      </w:r>
    </w:p>
    <w:p>
      <w:pPr>
        <w:spacing w:after="0" w:line="237" w:lineRule="auto"/>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Perfection Certificate</w:t>
      </w:r>
    </w:p>
    <w:p>
      <w:pPr>
        <w:spacing w:after="0" w:line="237" w:lineRule="auto"/>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Assignment and Acceptance</w:t>
      </w:r>
    </w:p>
    <w:p>
      <w:pPr>
        <w:spacing w:after="0" w:line="237" w:lineRule="auto"/>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Form of Solvency Certificate</w:t>
      </w: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Borrowing Notice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LOAN AGREEMENT</w:t>
      </w:r>
    </w:p>
    <w:p>
      <w:pPr>
        <w:spacing w:after="0" w:line="17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LOAN AGREEMENT dated as of June 30, 2020 among MIMEDX GROUP, INC., a Florida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the Subsidiaries of the Borrower that are Guarantors or become Guarantors hereunder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8.10</w:t>
      </w:r>
      <w:r>
        <w:rPr>
          <w:rFonts w:ascii="Arial" w:cs="Arial" w:eastAsia="Arial" w:hAnsi="Arial"/>
          <w:sz w:val="22"/>
          <w:szCs w:val="22"/>
          <w:color w:val="auto"/>
        </w:rPr>
        <w:t xml:space="preserve"> hereof, the Lenders from time to time party hereto, HAYFIN SERVICES LLP, a Delaware limited liability company, as administrative agent for the Lenders (in such capacity, together with its successors and assigns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as collateral agent for the Secured Parties (in such capacity, together with its successors and assigns in such capacity,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 and together with the Administrative Agent, each an “</w:t>
      </w:r>
      <w:r>
        <w:rPr>
          <w:rFonts w:ascii="Arial" w:cs="Arial" w:eastAsia="Arial" w:hAnsi="Arial"/>
          <w:sz w:val="22"/>
          <w:szCs w:val="22"/>
          <w:u w:val="single" w:color="auto"/>
          <w:color w:val="auto"/>
        </w:rPr>
        <w:t>Agent</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Agents</w:t>
      </w:r>
      <w:r>
        <w:rPr>
          <w:rFonts w:ascii="Arial" w:cs="Arial" w:eastAsia="Arial" w:hAnsi="Arial"/>
          <w:sz w:val="22"/>
          <w:szCs w:val="22"/>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Introductory Statement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Borrower has requested that (a) the Initial Term Loan Lenders extend Initial Term Loans to the Borrower on the Closing Date in an aggregate principal amount of $50,000,000 and (b) the DDTL Lenders extend DDTLs from time to time to the Borrower after</w:t>
      </w:r>
    </w:p>
    <w:p>
      <w:pPr>
        <w:sectPr>
          <w:pgSz w:w="11900" w:h="16838" w:orient="portrait"/>
          <w:cols w:equalWidth="0" w:num="1">
            <w:col w:w="11240"/>
          </w:cols>
          <w:pgMar w:left="320" w:top="1382" w:right="339" w:bottom="1440" w:gutter="0" w:footer="0" w:header="0"/>
        </w:sectPr>
      </w:pPr>
    </w:p>
    <w:bookmarkStart w:id="54" w:name="page55"/>
    <w:bookmarkEnd w:id="54"/>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the Closing Date but prior to the DDTL Commitment Expiration Date in an aggregate principal amount of up to $25,000,000, in each case, the proceeds of which the Borrower will use in accordance with </w:t>
      </w:r>
      <w:r>
        <w:rPr>
          <w:rFonts w:ascii="Arial" w:cs="Arial" w:eastAsia="Arial" w:hAnsi="Arial"/>
          <w:sz w:val="22"/>
          <w:szCs w:val="22"/>
          <w:u w:val="single" w:color="auto"/>
          <w:color w:val="auto"/>
        </w:rPr>
        <w:t>Section 8.12</w:t>
      </w:r>
      <w:r>
        <w:rPr>
          <w:rFonts w:ascii="Arial" w:cs="Arial" w:eastAsia="Arial" w:hAnsi="Arial"/>
          <w:sz w:val="22"/>
          <w:szCs w:val="22"/>
          <w:color w:val="auto"/>
        </w:rPr>
        <w:t>; and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applicable Lenders desire to extend the applicable Loans to the Borrower, the Administrative Agent desires to act as administrative agent for the Lenders, and the Collateral Agent desires to act as collateral agent for the Secured Parties, in each case on and subject to the terms and conditions of this Loan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premises and the agreements contained herein, and for other good and valuable consideration, the receipt and sufficiency of which is hereby acknowledged by the parties hereto, and intending to be legally bound, the parties hereto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Defined Terms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1.01 Defined Terms</w:t>
      </w:r>
      <w:r>
        <w:rPr>
          <w:rFonts w:ascii="Arial" w:cs="Arial" w:eastAsia="Arial" w:hAnsi="Arial"/>
          <w:sz w:val="22"/>
          <w:szCs w:val="22"/>
          <w:color w:val="000000"/>
        </w:rPr>
        <w:t>. As used herein, the following terms have the meanings specified in this</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Section 1.01</w:t>
      </w:r>
      <w:r>
        <w:rPr>
          <w:rFonts w:ascii="Arial" w:cs="Arial" w:eastAsia="Arial" w:hAnsi="Arial"/>
          <w:sz w:val="22"/>
          <w:szCs w:val="22"/>
          <w:color w:val="0000FF"/>
        </w:rPr>
        <w:t xml:space="preserve"> </w:t>
      </w:r>
      <w:r>
        <w:rPr>
          <w:rFonts w:ascii="Arial" w:cs="Arial" w:eastAsia="Arial" w:hAnsi="Arial"/>
          <w:sz w:val="22"/>
          <w:szCs w:val="22"/>
          <w:color w:val="000000"/>
        </w:rPr>
        <w:t>unless</w:t>
      </w:r>
      <w:r>
        <w:rPr>
          <w:rFonts w:ascii="Arial" w:cs="Arial" w:eastAsia="Arial" w:hAnsi="Arial"/>
          <w:sz w:val="22"/>
          <w:szCs w:val="22"/>
          <w:color w:val="0000FF"/>
        </w:rPr>
        <w:t xml:space="preserve"> </w:t>
      </w:r>
      <w:r>
        <w:rPr>
          <w:rFonts w:ascii="Arial" w:cs="Arial" w:eastAsia="Arial" w:hAnsi="Arial"/>
          <w:sz w:val="22"/>
          <w:szCs w:val="22"/>
          <w:color w:val="000000"/>
        </w:rPr>
        <w:t>the context otherwise requires:</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 Control Agreement</w:t>
      </w:r>
      <w:r>
        <w:rPr>
          <w:rFonts w:ascii="Arial" w:cs="Arial" w:eastAsia="Arial" w:hAnsi="Arial"/>
          <w:sz w:val="21"/>
          <w:szCs w:val="21"/>
          <w:color w:val="auto"/>
        </w:rPr>
        <w:t>” means, with respect to a deposit account, a securities account or commodities account (other than an Excluded Deposit Account), an account control agreement in form and substance reasonably satisfactory to the Collateral Agent, executed and delivered by the Loan Party owning such account, the Collateral Agent, and the applicable depositary bank, securities intermediary or commodities intermediary, as applicable, which account control agreement provides the Collateral Agent with, among other things, “control” (as defined in, and for purposes of, the UCC) over such account and the cash or investment property therein, as applicable.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Accounts</w:t>
      </w:r>
      <w:r>
        <w:rPr>
          <w:rFonts w:ascii="Arial" w:cs="Arial" w:eastAsia="Arial" w:hAnsi="Arial"/>
          <w:sz w:val="19"/>
          <w:szCs w:val="19"/>
          <w:color w:val="auto"/>
        </w:rPr>
        <w:t>” or “</w:t>
      </w:r>
      <w:r>
        <w:rPr>
          <w:rFonts w:ascii="Arial" w:cs="Arial" w:eastAsia="Arial" w:hAnsi="Arial"/>
          <w:sz w:val="19"/>
          <w:szCs w:val="19"/>
          <w:u w:val="single" w:color="auto"/>
          <w:color w:val="auto"/>
        </w:rPr>
        <w:t>accounts</w:t>
      </w:r>
      <w:r>
        <w:rPr>
          <w:rFonts w:ascii="Arial" w:cs="Arial" w:eastAsia="Arial" w:hAnsi="Arial"/>
          <w:sz w:val="19"/>
          <w:szCs w:val="19"/>
          <w:color w:val="auto"/>
        </w:rPr>
        <w:t>” means “Accounts”, as such term is defined in the UCC as in effect on the date hereof.</w:t>
      </w:r>
    </w:p>
    <w:p>
      <w:pPr>
        <w:spacing w:after="0" w:line="21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the purchase or other acquisition by a Loan Party or Subsidiary thereof of all of the Capital Stock in, or all or substantially all of the property and assets of (or all or substantially all of the property and assets representing a business unit or business line of or customer base of) any Person that, upon the consummation thereof, will be wholly-owned (other than director’s qualifying shares) directly or indirectly by a Loan Party (including, without limitation, as a result of a merger or consolidation or the purchase or other acquisition of all or a substantial portion of the property and assets of a Person).</w:t>
      </w:r>
    </w:p>
    <w:p>
      <w:pPr>
        <w:spacing w:after="0" w:line="14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Consideration</w:t>
      </w:r>
      <w:r>
        <w:rPr>
          <w:rFonts w:ascii="Arial" w:cs="Arial" w:eastAsia="Arial" w:hAnsi="Arial"/>
          <w:sz w:val="21"/>
          <w:szCs w:val="21"/>
          <w:color w:val="auto"/>
        </w:rPr>
        <w:t xml:space="preserve">” means the purchase consideration net of cash and Cash Equivalents of the acquired Person (solely to the extent such cash and Cash Equivalents become assets of the Loan Parties and Collateral hereunder and under the Security Documents) for a Permitted Acquisition, whether paid in cash or by exchange of properties or otherwise and whether payable at or prior to the consummation of a Permitted Acquisition or deferred for payment at any future time, whether or not any such future payment is subject to the occurrence of any contingency and includes any and all payments representing the purchase price and any assumption of Indebtedness, and including earn-outs and other agreements to make any payment the amount of which, or the terms of payment of which are, in any respect subject to or contingent upon the revenues, income, cash flow or profits (or the like), or some other economic performance metric, of any Person or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any time after the consummation</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of such Permitted Acquisition all or any portion of such deferred payment or contingent obligation that has permanently expired and is not payable in accordance with the underlying documentation shall not be included in connection with any cap for purposes of determining future Permitted Acquisitions.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Incremental Term Loan</w:t>
      </w:r>
      <w:r>
        <w:rPr>
          <w:rFonts w:ascii="Arial" w:cs="Arial" w:eastAsia="Arial" w:hAnsi="Arial"/>
          <w:sz w:val="22"/>
          <w:szCs w:val="22"/>
          <w:color w:val="auto"/>
        </w:rPr>
        <w:t>” has the meaning given to such term in Section 2.08(c)(i).</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Incremental Term Loan Lender</w:t>
      </w:r>
      <w:r>
        <w:rPr>
          <w:rFonts w:ascii="Arial" w:cs="Arial" w:eastAsia="Arial" w:hAnsi="Arial"/>
          <w:sz w:val="22"/>
          <w:szCs w:val="22"/>
          <w:color w:val="auto"/>
        </w:rPr>
        <w:t>” has the meaning given to such term in Section 2.08(c)(i).</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Incremental Term Loan Maturity Date</w:t>
      </w:r>
      <w:r>
        <w:rPr>
          <w:rFonts w:ascii="Arial" w:cs="Arial" w:eastAsia="Arial" w:hAnsi="Arial"/>
          <w:sz w:val="21"/>
          <w:szCs w:val="21"/>
          <w:color w:val="auto"/>
        </w:rPr>
        <w:t>” has the meaning given to such term in Section 2.08(c)(i).</w:t>
      </w:r>
    </w:p>
    <w:p>
      <w:pPr>
        <w:spacing w:after="0" w:line="19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“Adjusted Term SOFR” means, for purposes of any calculation</w:t>
      </w:r>
      <w:r>
        <w:rPr>
          <w:rFonts w:ascii="Arial" w:cs="Arial" w:eastAsia="Arial" w:hAnsi="Arial"/>
          <w:sz w:val="22"/>
          <w:szCs w:val="22"/>
          <w:u w:val="single" w:color="auto"/>
          <w:color w:val="008000"/>
        </w:rPr>
        <w:t>, the rate per annum equal to</w:t>
      </w:r>
      <w:r>
        <w:rPr>
          <w:rFonts w:ascii="Arial" w:cs="Arial" w:eastAsia="Arial" w:hAnsi="Arial"/>
          <w:sz w:val="22"/>
          <w:szCs w:val="22"/>
          <w:u w:val="single" w:color="auto"/>
          <w:color w:val="0000FF"/>
        </w:rPr>
        <w:t xml:space="preserve"> (a) Term SOFR for such calculation plus (b) the Term SOFR Adjustment.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Adjustment Date</w:t>
      </w:r>
      <w:r>
        <w:rPr>
          <w:rFonts w:ascii="Arial" w:cs="Arial" w:eastAsia="Arial" w:hAnsi="Arial"/>
          <w:sz w:val="21"/>
          <w:szCs w:val="21"/>
          <w:color w:val="auto"/>
        </w:rPr>
        <w:t xml:space="preserve">” means the date of delivery of financial statements pursuant to </w:t>
      </w:r>
      <w:r>
        <w:rPr>
          <w:rFonts w:ascii="Arial" w:cs="Arial" w:eastAsia="Arial" w:hAnsi="Arial"/>
          <w:sz w:val="21"/>
          <w:szCs w:val="21"/>
          <w:u w:val="single" w:color="auto"/>
          <w:color w:val="auto"/>
        </w:rPr>
        <w:t>Section 8.01(b)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as applicable, and corresponding Compliance Certificate required to be delivered pursuant to </w:t>
      </w:r>
      <w:r>
        <w:rPr>
          <w:rFonts w:ascii="Arial" w:cs="Arial" w:eastAsia="Arial" w:hAnsi="Arial"/>
          <w:sz w:val="21"/>
          <w:szCs w:val="21"/>
          <w:u w:val="single" w:color="auto"/>
          <w:color w:val="auto"/>
        </w:rPr>
        <w:t>Section 8.01(d)</w:t>
      </w:r>
      <w:r>
        <w:rPr>
          <w:rFonts w:ascii="Arial" w:cs="Arial" w:eastAsia="Arial" w:hAnsi="Arial"/>
          <w:sz w:val="21"/>
          <w:szCs w:val="21"/>
          <w:color w:val="auto"/>
        </w:rPr>
        <w:t>, as applicable.</w:t>
      </w:r>
    </w:p>
    <w:p>
      <w:pPr>
        <w:spacing w:after="0" w:line="15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No. 1</w:t>
      </w:r>
      <w:r>
        <w:rPr>
          <w:rFonts w:ascii="Arial" w:cs="Arial" w:eastAsia="Arial" w:hAnsi="Arial"/>
          <w:sz w:val="21"/>
          <w:szCs w:val="21"/>
          <w:color w:val="auto"/>
        </w:rPr>
        <w:t>” means that certain Amendment No. 1 to Loan Agreement, dated as of February 28, 2022, by and among the Borrower, the Guarantors party thereto, the Lenders party thereto and the Administrative Agent.</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has the meaning assigned to such term in Amendment No. 1 (it being understood and agreed that the Amendment No. 1 Effective Date occurred on February 28, 2022).</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u w:val="single" w:color="auto"/>
          <w:color w:val="0000FF"/>
        </w:rPr>
        <w:t>“Amendment No. 2” means that certain Amendment No. 2 to Loan Agreement, dated as of June 15, 2023, by and among the Borrower, the Guarantors party thereto, the Lenders party thereto and the Administrative Agent.</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“Amendment No. 2 Effective Date” has the meaning assigned to such term in Amendment No. 2 (it being understood and agreed that the Amendment No. 2 Effective Date occurred on June 15, 2023).</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has the meaning set forth in the preamble to this Loan Agreement.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shall mean an Administrative Questionnaire (in which the Person completing such Administrative Questionnaire shall designate one or more credit contacts to whom all syndicate-level information (which may contain MNPI about the Loan Parties, their Subsidiaries and their Related Parties or their respective securities) will be made available and who may receive such information in accordance with the assignee’s compliance procedures and applicable Requirements of Laws, including Federal and state securities laws) in the form supplied from time to time by the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9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(i) any other Person that directly, or indirectly (through one or more intermediaries or otherwise), Controls or is Controlled by or is under common Control with such Person, and (ii) such Person’s officers, directors and other</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Persons functioning in substantially similar roles. Notwithstanding anything herein to the contrary, neither Agent nor any Lender, nor any of their respective Affiliates, shall be deemed an Affiliate of any Loan Party solely by virtue of the transactions contemplated by this Loan Agreement and the other Loan Documents.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and “</w:t>
      </w:r>
      <w:r>
        <w:rPr>
          <w:rFonts w:ascii="Arial" w:cs="Arial" w:eastAsia="Arial" w:hAnsi="Arial"/>
          <w:sz w:val="22"/>
          <w:szCs w:val="22"/>
          <w:u w:val="single" w:color="auto"/>
          <w:color w:val="auto"/>
        </w:rPr>
        <w:t>Agent</w:t>
      </w:r>
      <w:r>
        <w:rPr>
          <w:rFonts w:ascii="Arial" w:cs="Arial" w:eastAsia="Arial" w:hAnsi="Arial"/>
          <w:sz w:val="22"/>
          <w:szCs w:val="22"/>
          <w:color w:val="auto"/>
        </w:rPr>
        <w:t>” each has the meaning set forth in the preamble to this Loan Agreement.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Incremental Amount</w:t>
      </w:r>
      <w:r>
        <w:rPr>
          <w:rFonts w:ascii="Arial" w:cs="Arial" w:eastAsia="Arial" w:hAnsi="Arial"/>
          <w:sz w:val="22"/>
          <w:szCs w:val="22"/>
          <w:color w:val="auto"/>
        </w:rPr>
        <w:t>” shall mean, at any time, the sum of the aggregate principal amount of all Incremental Term Loans (whether or not then outstanding) and, to the extent not yet terminated, unfunded Incremental Term Loan Commitments, in each case, incurred at or prior to such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Alternative Interest Rate Election Event</w:t>
      </w:r>
      <w:r>
        <w:rPr>
          <w:rFonts w:ascii="Arial" w:cs="Arial" w:eastAsia="Arial" w:hAnsi="Arial"/>
          <w:sz w:val="22"/>
          <w:szCs w:val="22"/>
          <w:color w:val="008000"/>
          <w:strike w:val="1"/>
        </w:rPr>
        <w:t>” has the meaning given to such term in</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8000"/>
          <w:strike w:val="1"/>
        </w:rPr>
        <w:t>Section</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FF0000"/>
          <w:strike w:val="1"/>
        </w:rPr>
        <w:t>2.06(c)</w:t>
      </w:r>
      <w:r>
        <w:rPr>
          <w:rFonts w:ascii="Arial" w:cs="Arial" w:eastAsia="Arial" w:hAnsi="Arial"/>
          <w:sz w:val="22"/>
          <w:szCs w:val="22"/>
          <w:color w:val="FF0000"/>
          <w:strike w:val="1"/>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7.29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as to any Person, any Laws applicable to, or otherwise binding upon, such Person or any of its property, products, business, assets or operations, or to which such Person or any of its property, products, business, assets or operations is subject.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w:t>
      </w:r>
    </w:p>
    <w:p>
      <w:pPr>
        <w:spacing w:after="0" w:line="179" w:lineRule="exact"/>
        <w:rPr>
          <w:sz w:val="20"/>
          <w:szCs w:val="20"/>
          <w:color w:val="auto"/>
        </w:rPr>
      </w:pPr>
    </w:p>
    <w:p>
      <w:pPr>
        <w:ind w:firstLine="1304"/>
        <w:spacing w:after="0" w:line="232" w:lineRule="auto"/>
        <w:tabs>
          <w:tab w:leader="none" w:pos="1785"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 respect to any Incremental Term Loan that was not incurred as an increase to the Initial Loans, the rate or rates per annum specified in the applicable Incremental Joinder Agreement; and</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817"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with respect to the Initial Loans, (i) for any day on and after the Amendment No. 1 Effective Date, 6.75%, and (ii) for any day prior to the Amendment No. 1 Effective Date, the rate per annum set forth below under the caption “Applicable Spread” based upon the Total Net Leverage Ratio as of the last day of the most recently ended fiscal quarter for which a Compliance Certificate have been delivered pursuant to </w:t>
      </w:r>
      <w:r>
        <w:rPr>
          <w:rFonts w:ascii="Arial" w:cs="Arial" w:eastAsia="Arial" w:hAnsi="Arial"/>
          <w:sz w:val="19"/>
          <w:szCs w:val="19"/>
          <w:u w:val="single" w:color="auto"/>
          <w:color w:val="auto"/>
        </w:rPr>
        <w:t>Section 8.01(d)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the first Adjustment Date that occurs after December 31, 2020, the “Applicable Rate” shall be the rate per annum set forth below in Category 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0" w:type="dxa"/>
            <w:vAlign w:val="bottom"/>
            <w:tcBorders>
              <w:bottom w:val="single" w:sz="8" w:color="EEECE1"/>
            </w:tcBorders>
            <w:shd w:val="clear" w:color="auto" w:fill="EEECE1"/>
          </w:tcPr>
          <w:p>
            <w:pPr>
              <w:spacing w:after="0"/>
              <w:rPr>
                <w:sz w:val="24"/>
                <w:szCs w:val="24"/>
                <w:color w:val="auto"/>
              </w:rPr>
            </w:pPr>
          </w:p>
        </w:tc>
        <w:tc>
          <w:tcPr>
            <w:tcW w:w="6540" w:type="dxa"/>
            <w:vAlign w:val="bottom"/>
            <w:tcBorders>
              <w:bottom w:val="single" w:sz="8" w:color="EEECE1"/>
            </w:tcBorders>
            <w:gridSpan w:val="4"/>
            <w:shd w:val="clear" w:color="auto" w:fill="EEECE1"/>
          </w:tcPr>
          <w:p>
            <w:pPr>
              <w:spacing w:after="0"/>
              <w:rPr>
                <w:sz w:val="20"/>
                <w:szCs w:val="20"/>
                <w:color w:val="auto"/>
              </w:rPr>
            </w:pPr>
            <w:r>
              <w:rPr>
                <w:rFonts w:ascii="Arial" w:cs="Arial" w:eastAsia="Arial" w:hAnsi="Arial"/>
                <w:sz w:val="22"/>
                <w:szCs w:val="22"/>
                <w:b w:val="1"/>
                <w:bCs w:val="1"/>
                <w:color w:val="auto"/>
              </w:rPr>
              <w:t>Total Net Leverage Ratio</w:t>
            </w:r>
          </w:p>
        </w:tc>
        <w:tc>
          <w:tcPr>
            <w:tcW w:w="4680" w:type="dxa"/>
            <w:vAlign w:val="bottom"/>
            <w:tcBorders>
              <w:bottom w:val="single" w:sz="8" w:color="EEECE1"/>
            </w:tcBorders>
            <w:shd w:val="clear" w:color="auto" w:fill="EEECE1"/>
          </w:tcPr>
          <w:p>
            <w:pPr>
              <w:jc w:val="center"/>
              <w:spacing w:after="0"/>
              <w:rPr>
                <w:sz w:val="20"/>
                <w:szCs w:val="20"/>
                <w:color w:val="auto"/>
              </w:rPr>
            </w:pPr>
            <w:r>
              <w:rPr>
                <w:rFonts w:ascii="Arial" w:cs="Arial" w:eastAsia="Arial" w:hAnsi="Arial"/>
                <w:sz w:val="22"/>
                <w:szCs w:val="22"/>
                <w:b w:val="1"/>
                <w:bCs w:val="1"/>
                <w:color w:val="auto"/>
                <w:w w:val="88"/>
              </w:rPr>
              <w:t>Applicable Spread</w:t>
            </w:r>
          </w:p>
        </w:tc>
      </w:tr>
      <w:tr>
        <w:trPr>
          <w:trHeight w:val="257"/>
        </w:trPr>
        <w:tc>
          <w:tcPr>
            <w:tcW w:w="20" w:type="dxa"/>
            <w:vAlign w:val="bottom"/>
          </w:tcPr>
          <w:p>
            <w:pPr>
              <w:spacing w:after="0"/>
              <w:rPr>
                <w:sz w:val="22"/>
                <w:szCs w:val="22"/>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Category 1</w:t>
            </w:r>
          </w:p>
        </w:tc>
        <w:tc>
          <w:tcPr>
            <w:tcW w:w="5580" w:type="dxa"/>
            <w:vAlign w:val="bottom"/>
            <w:gridSpan w:val="2"/>
          </w:tcPr>
          <w:p>
            <w:pPr>
              <w:spacing w:after="0"/>
              <w:rPr>
                <w:sz w:val="22"/>
                <w:szCs w:val="22"/>
                <w:color w:val="auto"/>
              </w:rPr>
            </w:pPr>
          </w:p>
        </w:tc>
        <w:tc>
          <w:tcPr>
            <w:tcW w:w="4680" w:type="dxa"/>
            <w:vAlign w:val="bottom"/>
          </w:tcPr>
          <w:p>
            <w:pPr>
              <w:spacing w:after="0"/>
              <w:rPr>
                <w:sz w:val="22"/>
                <w:szCs w:val="22"/>
                <w:color w:val="auto"/>
              </w:rPr>
            </w:pPr>
          </w:p>
        </w:tc>
      </w:tr>
      <w:tr>
        <w:trPr>
          <w:trHeight w:val="39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80" w:type="dxa"/>
            <w:vAlign w:val="bottom"/>
            <w:gridSpan w:val="3"/>
          </w:tcPr>
          <w:p>
            <w:pPr>
              <w:spacing w:after="0"/>
              <w:rPr>
                <w:sz w:val="20"/>
                <w:szCs w:val="20"/>
                <w:color w:val="auto"/>
              </w:rPr>
            </w:pPr>
            <w:r>
              <w:rPr>
                <w:rFonts w:ascii="Arial" w:cs="Arial" w:eastAsia="Arial" w:hAnsi="Arial"/>
                <w:sz w:val="22"/>
                <w:szCs w:val="22"/>
                <w:color w:val="auto"/>
              </w:rPr>
              <w:t>Greater than or equal to 2.00:1.00</w:t>
            </w:r>
          </w:p>
        </w:tc>
        <w:tc>
          <w:tcPr>
            <w:tcW w:w="4680" w:type="dxa"/>
            <w:vAlign w:val="bottom"/>
          </w:tcPr>
          <w:p>
            <w:pPr>
              <w:jc w:val="center"/>
              <w:ind w:left="12"/>
              <w:spacing w:after="0"/>
              <w:rPr>
                <w:sz w:val="20"/>
                <w:szCs w:val="20"/>
                <w:color w:val="auto"/>
              </w:rPr>
            </w:pPr>
            <w:r>
              <w:rPr>
                <w:rFonts w:ascii="Arial" w:cs="Arial" w:eastAsia="Arial" w:hAnsi="Arial"/>
                <w:sz w:val="22"/>
                <w:szCs w:val="22"/>
                <w:color w:val="auto"/>
                <w:w w:val="89"/>
              </w:rPr>
              <w:t>6.75%</w:t>
            </w:r>
          </w:p>
        </w:tc>
      </w:tr>
      <w:tr>
        <w:trPr>
          <w:trHeight w:val="327"/>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80" w:type="dxa"/>
            <w:vAlign w:val="bottom"/>
            <w:gridSpan w:val="3"/>
          </w:tcPr>
          <w:p>
            <w:pPr>
              <w:spacing w:after="0"/>
              <w:rPr>
                <w:sz w:val="20"/>
                <w:szCs w:val="20"/>
                <w:color w:val="auto"/>
              </w:rPr>
            </w:pPr>
            <w:r>
              <w:rPr>
                <w:rFonts w:ascii="Arial" w:cs="Arial" w:eastAsia="Arial" w:hAnsi="Arial"/>
                <w:sz w:val="22"/>
                <w:szCs w:val="22"/>
                <w:color w:val="auto"/>
              </w:rPr>
              <w:t>Category 2</w:t>
            </w:r>
          </w:p>
        </w:tc>
        <w:tc>
          <w:tcPr>
            <w:tcW w:w="46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80" w:type="dxa"/>
            <w:vAlign w:val="bottom"/>
            <w:gridSpan w:val="3"/>
          </w:tcPr>
          <w:p>
            <w:pPr>
              <w:spacing w:after="0"/>
              <w:rPr>
                <w:sz w:val="20"/>
                <w:szCs w:val="20"/>
                <w:color w:val="auto"/>
              </w:rPr>
            </w:pPr>
            <w:r>
              <w:rPr>
                <w:rFonts w:ascii="Arial" w:cs="Arial" w:eastAsia="Arial" w:hAnsi="Arial"/>
                <w:sz w:val="22"/>
                <w:szCs w:val="22"/>
                <w:color w:val="auto"/>
              </w:rPr>
              <w:t>Less than 2.00:1.00 but greater than or equal to 1.00:1.00</w:t>
            </w:r>
          </w:p>
        </w:tc>
        <w:tc>
          <w:tcPr>
            <w:tcW w:w="4680" w:type="dxa"/>
            <w:vAlign w:val="bottom"/>
          </w:tcPr>
          <w:p>
            <w:pPr>
              <w:jc w:val="center"/>
              <w:ind w:left="12"/>
              <w:spacing w:after="0"/>
              <w:rPr>
                <w:sz w:val="20"/>
                <w:szCs w:val="20"/>
                <w:color w:val="auto"/>
              </w:rPr>
            </w:pPr>
            <w:r>
              <w:rPr>
                <w:rFonts w:ascii="Arial" w:cs="Arial" w:eastAsia="Arial" w:hAnsi="Arial"/>
                <w:sz w:val="22"/>
                <w:szCs w:val="22"/>
                <w:color w:val="auto"/>
                <w:w w:val="89"/>
              </w:rPr>
              <w:t>6.50%</w:t>
            </w:r>
          </w:p>
        </w:tc>
      </w:tr>
      <w:tr>
        <w:trPr>
          <w:trHeight w:val="314"/>
        </w:trPr>
        <w:tc>
          <w:tcPr>
            <w:tcW w:w="20" w:type="dxa"/>
            <w:vAlign w:val="bottom"/>
          </w:tcPr>
          <w:p>
            <w:pPr>
              <w:spacing w:after="0"/>
              <w:rPr>
                <w:sz w:val="24"/>
                <w:szCs w:val="2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Category 3</w:t>
            </w:r>
          </w:p>
        </w:tc>
        <w:tc>
          <w:tcPr>
            <w:tcW w:w="5580" w:type="dxa"/>
            <w:vAlign w:val="bottom"/>
            <w:gridSpan w:val="2"/>
          </w:tcPr>
          <w:p>
            <w:pPr>
              <w:spacing w:after="0"/>
              <w:rPr>
                <w:sz w:val="24"/>
                <w:szCs w:val="24"/>
                <w:color w:val="auto"/>
              </w:rPr>
            </w:pPr>
          </w:p>
        </w:tc>
        <w:tc>
          <w:tcPr>
            <w:tcW w:w="468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80" w:type="dxa"/>
            <w:vAlign w:val="bottom"/>
            <w:gridSpan w:val="3"/>
          </w:tcPr>
          <w:p>
            <w:pPr>
              <w:spacing w:after="0"/>
              <w:rPr>
                <w:sz w:val="20"/>
                <w:szCs w:val="20"/>
                <w:color w:val="auto"/>
              </w:rPr>
            </w:pPr>
            <w:r>
              <w:rPr>
                <w:rFonts w:ascii="Arial" w:cs="Arial" w:eastAsia="Arial" w:hAnsi="Arial"/>
                <w:sz w:val="22"/>
                <w:szCs w:val="22"/>
                <w:color w:val="auto"/>
              </w:rPr>
              <w:t>Less than 1.00:1.00</w:t>
            </w:r>
          </w:p>
        </w:tc>
        <w:tc>
          <w:tcPr>
            <w:tcW w:w="4680" w:type="dxa"/>
            <w:vAlign w:val="bottom"/>
          </w:tcPr>
          <w:p>
            <w:pPr>
              <w:jc w:val="center"/>
              <w:ind w:left="12"/>
              <w:spacing w:after="0"/>
              <w:rPr>
                <w:sz w:val="20"/>
                <w:szCs w:val="20"/>
                <w:color w:val="auto"/>
              </w:rPr>
            </w:pPr>
            <w:r>
              <w:rPr>
                <w:rFonts w:ascii="Arial" w:cs="Arial" w:eastAsia="Arial" w:hAnsi="Arial"/>
                <w:sz w:val="22"/>
                <w:szCs w:val="22"/>
                <w:color w:val="auto"/>
                <w:w w:val="89"/>
              </w:rPr>
              <w:t>6.00%</w:t>
            </w:r>
          </w:p>
        </w:tc>
      </w:tr>
    </w:tbl>
    <w:p>
      <w:pPr>
        <w:spacing w:after="0" w:line="320" w:lineRule="exact"/>
        <w:rPr>
          <w:sz w:val="20"/>
          <w:szCs w:val="20"/>
          <w:color w:val="auto"/>
        </w:rPr>
      </w:pPr>
    </w:p>
    <w:p>
      <w:pPr>
        <w:jc w:val="both"/>
        <w:ind w:firstLine="1553"/>
        <w:spacing w:after="0" w:line="223" w:lineRule="auto"/>
        <w:rPr>
          <w:sz w:val="20"/>
          <w:szCs w:val="20"/>
          <w:color w:val="auto"/>
        </w:rPr>
      </w:pPr>
      <w:r>
        <w:rPr>
          <w:rFonts w:ascii="Arial" w:cs="Arial" w:eastAsia="Arial" w:hAnsi="Arial"/>
          <w:sz w:val="22"/>
          <w:szCs w:val="22"/>
          <w:color w:val="auto"/>
        </w:rPr>
        <w:t>Any increase or decrease in the Applicable Margin with respect to the Initial Loans resulting from a change in the Total Net Leverage Ratio shall become effective as of the first Business Day immediately following the date of delivery the applicable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-356235</wp:posOffset>
            </wp:positionV>
            <wp:extent cx="163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Certificate pursuant to </w:t>
      </w:r>
      <w:r>
        <w:rPr>
          <w:rFonts w:ascii="Arial" w:cs="Arial" w:eastAsia="Arial" w:hAnsi="Arial"/>
          <w:sz w:val="19"/>
          <w:szCs w:val="19"/>
          <w:u w:val="single" w:color="auto"/>
          <w:color w:val="auto"/>
        </w:rPr>
        <w:t>Section 8.01(d)</w:t>
      </w:r>
      <w:r>
        <w:rPr>
          <w:rFonts w:ascii="Arial" w:cs="Arial" w:eastAsia="Arial" w:hAnsi="Arial"/>
          <w:sz w:val="19"/>
          <w:szCs w:val="19"/>
          <w:color w:val="auto"/>
        </w:rPr>
        <w:t xml:space="preserve"> showing such increase or decrease, if any, following the completion of each applicable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if the applicable Compliance Certificate is not delivered when due in accordance with </w:t>
      </w:r>
      <w:r>
        <w:rPr>
          <w:rFonts w:ascii="Arial" w:cs="Arial" w:eastAsia="Arial" w:hAnsi="Arial"/>
          <w:sz w:val="19"/>
          <w:szCs w:val="19"/>
          <w:u w:val="single" w:color="auto"/>
          <w:color w:val="auto"/>
        </w:rPr>
        <w:t>Section 8.01(d)</w:t>
      </w:r>
      <w:r>
        <w:rPr>
          <w:rFonts w:ascii="Arial" w:cs="Arial" w:eastAsia="Arial" w:hAnsi="Arial"/>
          <w:sz w:val="19"/>
          <w:szCs w:val="19"/>
          <w:color w:val="auto"/>
        </w:rPr>
        <w:t xml:space="preserve"> or an Event of Default has occurred and is continuing, then Category 1 shall apply in respect of the Initial Loans as of the date (x) after the date on which such Compliance Certificate was required to have been delivered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8.01(d)</w:t>
      </w:r>
      <w:r>
        <w:rPr>
          <w:rFonts w:ascii="Arial" w:cs="Arial" w:eastAsia="Arial" w:hAnsi="Arial"/>
          <w:sz w:val="19"/>
          <w:szCs w:val="19"/>
          <w:color w:val="auto"/>
        </w:rPr>
        <w:t xml:space="preserve"> or (y) such Event of Default has occurred, as applicable, and shall remain in effect until the date on which such Compliance Certificate is so delivered or such Event of Default is no longer continuing, as applicable.</w:t>
      </w:r>
    </w:p>
    <w:p>
      <w:pPr>
        <w:spacing w:after="0" w:line="152" w:lineRule="exact"/>
        <w:rPr>
          <w:sz w:val="20"/>
          <w:szCs w:val="20"/>
          <w:color w:val="auto"/>
        </w:rPr>
      </w:pPr>
    </w:p>
    <w:p>
      <w:pPr>
        <w:jc w:val="both"/>
        <w:ind w:firstLine="1661"/>
        <w:spacing w:after="0" w:line="218" w:lineRule="auto"/>
        <w:rPr>
          <w:sz w:val="20"/>
          <w:szCs w:val="20"/>
          <w:color w:val="auto"/>
        </w:rPr>
      </w:pPr>
      <w:r>
        <w:rPr>
          <w:rFonts w:ascii="Arial" w:cs="Arial" w:eastAsia="Arial" w:hAnsi="Arial"/>
          <w:sz w:val="21"/>
          <w:szCs w:val="21"/>
          <w:color w:val="auto"/>
        </w:rPr>
        <w:t xml:space="preserve">In the event that any financial statement delivered on an Adjustment Date or any Compliance Certificate delivered pursuant to </w:t>
      </w:r>
      <w:r>
        <w:rPr>
          <w:rFonts w:ascii="Arial" w:cs="Arial" w:eastAsia="Arial" w:hAnsi="Arial"/>
          <w:sz w:val="21"/>
          <w:szCs w:val="21"/>
          <w:u w:val="single" w:color="auto"/>
          <w:color w:val="auto"/>
        </w:rPr>
        <w:t>Section 8.01(d)</w:t>
      </w:r>
      <w:r>
        <w:rPr>
          <w:rFonts w:ascii="Arial" w:cs="Arial" w:eastAsia="Arial" w:hAnsi="Arial"/>
          <w:sz w:val="21"/>
          <w:szCs w:val="21"/>
          <w:color w:val="auto"/>
        </w:rPr>
        <w:t>, as applicable, is inaccurate, and such inaccuracy, if corrected, would have led to the imposition of a higher Applicable Margin for any period than the Applicable Margin applied for that period, then (i) Borrower shall immediately deliver to Administrative Agent a corrected financial statement and a corrected Compliance Certificate for that period (the “</w:t>
      </w:r>
      <w:r>
        <w:rPr>
          <w:rFonts w:ascii="Arial" w:cs="Arial" w:eastAsia="Arial" w:hAnsi="Arial"/>
          <w:sz w:val="21"/>
          <w:szCs w:val="21"/>
          <w:u w:val="single" w:color="auto"/>
          <w:color w:val="auto"/>
        </w:rPr>
        <w:t>Corrected Financials Date</w:t>
      </w:r>
      <w:r>
        <w:rPr>
          <w:rFonts w:ascii="Arial" w:cs="Arial" w:eastAsia="Arial" w:hAnsi="Arial"/>
          <w:sz w:val="21"/>
          <w:szCs w:val="21"/>
          <w:color w:val="auto"/>
        </w:rPr>
        <w:t xml:space="preserve">”), (ii) the Applicable Margin shall be determined based on the corrected Compliance Certificate for that period, and (iii) Borrower shall immediately pay to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Margin for that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for the avoidance of doubt, such deficiency shall be due and payable as at such Corrected Financials Date and no Default or Event of Default under </w:t>
      </w:r>
      <w:r>
        <w:rPr>
          <w:rFonts w:ascii="Arial" w:cs="Arial" w:eastAsia="Arial" w:hAnsi="Arial"/>
          <w:sz w:val="21"/>
          <w:szCs w:val="21"/>
          <w:u w:val="single" w:color="auto"/>
          <w:color w:val="auto"/>
        </w:rPr>
        <w:t>Section 10.01(a)</w:t>
      </w:r>
      <w:r>
        <w:rPr>
          <w:rFonts w:ascii="Arial" w:cs="Arial" w:eastAsia="Arial" w:hAnsi="Arial"/>
          <w:sz w:val="21"/>
          <w:szCs w:val="21"/>
          <w:color w:val="auto"/>
        </w:rPr>
        <w:t xml:space="preserve"> shall be deemed to have occur with respect to such deficiency prior to such date (but if not so paid, shall constitute an Event of Default immediately thereafter). This paragraph shall not limit the rights of Administrative Agent or the Lenders with respect to </w:t>
      </w:r>
      <w:r>
        <w:rPr>
          <w:rFonts w:ascii="Arial" w:cs="Arial" w:eastAsia="Arial" w:hAnsi="Arial"/>
          <w:sz w:val="21"/>
          <w:szCs w:val="21"/>
          <w:u w:val="single" w:color="auto"/>
          <w:color w:val="auto"/>
        </w:rPr>
        <w:t>Section 2.05(c)</w:t>
      </w:r>
      <w:r>
        <w:rPr>
          <w:rFonts w:ascii="Arial" w:cs="Arial" w:eastAsia="Arial" w:hAnsi="Arial"/>
          <w:sz w:val="21"/>
          <w:szCs w:val="21"/>
          <w:color w:val="auto"/>
        </w:rPr>
        <w:t xml:space="preserve"> and Article X hereof, and shall survive the termination of this Loan Agreement until the payment in full in cash of the aggregate outstanding principal balance of the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-1858645</wp:posOffset>
            </wp:positionV>
            <wp:extent cx="2311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14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or will be engaged in making, purchasing, holding or investing in one or more debt securities, bank loans, other commercial loans, or other similar extensions of credit in the Ordinary Course of Business, and which Person either: (a) is administered, managed, advised or underwritten by (i) a Lender,</w:t>
      </w:r>
    </w:p>
    <w:p>
      <w:pPr>
        <w:spacing w:after="0" w:line="2" w:lineRule="exact"/>
        <w:rPr>
          <w:sz w:val="20"/>
          <w:szCs w:val="20"/>
          <w:color w:val="auto"/>
        </w:rPr>
      </w:pPr>
    </w:p>
    <w:p>
      <w:pPr>
        <w:jc w:val="both"/>
        <w:ind w:firstLine="8"/>
        <w:spacing w:after="0" w:line="214" w:lineRule="auto"/>
        <w:tabs>
          <w:tab w:leader="none" w:pos="349"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 Affiliate of a Lender or (iii) an entity or an Affiliate of an entity that administers, manages, advises or underwrites a Lender; (b) purchases, holds or invests in, or was formed for the purpose of purchasing, holding or investing in, one or more debt securities, bank loans, other commercial loans, or other similar extensions of credit originated by (i) a Lender or (ii) an Affiliate of a Lender or (c) a Hayfin Party.</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means an assignment and acceptance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such other form as acceptable to the Administrative Agent.</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of Claims Act</w:t>
      </w:r>
      <w:r>
        <w:rPr>
          <w:rFonts w:ascii="Arial" w:cs="Arial" w:eastAsia="Arial" w:hAnsi="Arial"/>
          <w:sz w:val="19"/>
          <w:szCs w:val="19"/>
          <w:color w:val="auto"/>
        </w:rPr>
        <w:t>” means (i) Title 31, United States Code § 3727, and Title 41, United States Code § 15, in each case as revised or amended, and any rules or regulations issued pursuant thereto, and (ii) all other federal and state laws, rules and regulations governing the assignment of government contracts or claims against a Governmental Authority.</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Indebtedness</w:t>
      </w:r>
      <w:r>
        <w:rPr>
          <w:rFonts w:ascii="Arial" w:cs="Arial" w:eastAsia="Arial" w:hAnsi="Arial"/>
          <w:sz w:val="22"/>
          <w:szCs w:val="22"/>
          <w:color w:val="auto"/>
        </w:rPr>
        <w:t>” means, on any date, in respect of any Capitalized Lease of any Person, the capitalized amount thereof that would appear as a liability on a balance sheet of such Person prepared as of such date in accordance with GAAP.</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Authorized Officer</w:t>
      </w:r>
      <w:r>
        <w:rPr>
          <w:rFonts w:ascii="Arial" w:cs="Arial" w:eastAsia="Arial" w:hAnsi="Arial"/>
          <w:sz w:val="19"/>
          <w:szCs w:val="19"/>
          <w:color w:val="auto"/>
        </w:rPr>
        <w:t xml:space="preserve">” means, with respect to any Person, the president, chief executive officer, chief financial officer (including interim chief financial officer), chief operating officer or secretary of such Person (or a manager, in the case of a Person that is a limited liability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financial reporting and other financial</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matters (including Compliance Certificates, Excess Cash Flow, and Solvency Certificates), “</w:t>
      </w:r>
      <w:r>
        <w:rPr>
          <w:rFonts w:ascii="Arial" w:cs="Arial" w:eastAsia="Arial" w:hAnsi="Arial"/>
          <w:sz w:val="22"/>
          <w:szCs w:val="22"/>
          <w:u w:val="single" w:color="auto"/>
          <w:color w:val="auto"/>
        </w:rPr>
        <w:t>Authorized Officer</w:t>
      </w:r>
      <w:r>
        <w:rPr>
          <w:rFonts w:ascii="Arial" w:cs="Arial" w:eastAsia="Arial" w:hAnsi="Arial"/>
          <w:sz w:val="22"/>
          <w:szCs w:val="22"/>
          <w:color w:val="auto"/>
        </w:rPr>
        <w:t>” means the chief financial officer (including interim chief financial officer) of the applicable Loan Party or such other officer or similar Person performing such duties for such Loan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w:t>
      </w:r>
      <w:r>
        <w:rPr>
          <w:rFonts w:ascii="Arial" w:cs="Arial" w:eastAsia="Arial" w:hAnsi="Arial"/>
          <w:sz w:val="19"/>
          <w:szCs w:val="19"/>
          <w:color w:val="auto"/>
        </w:rPr>
        <w:t>” means, on any date of determination (each a “</w:t>
      </w:r>
      <w:r>
        <w:rPr>
          <w:rFonts w:ascii="Arial" w:cs="Arial" w:eastAsia="Arial" w:hAnsi="Arial"/>
          <w:sz w:val="19"/>
          <w:szCs w:val="19"/>
          <w:u w:val="single" w:color="auto"/>
          <w:color w:val="auto"/>
        </w:rPr>
        <w:t>Reference Date</w:t>
      </w:r>
      <w:r>
        <w:rPr>
          <w:rFonts w:ascii="Arial" w:cs="Arial" w:eastAsia="Arial" w:hAnsi="Arial"/>
          <w:sz w:val="19"/>
          <w:szCs w:val="19"/>
          <w:color w:val="auto"/>
        </w:rPr>
        <w:t>”), an amount equal to, without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duplication:</w:t>
      </w:r>
    </w:p>
    <w:p>
      <w:pPr>
        <w:spacing w:after="0" w:line="161" w:lineRule="exact"/>
        <w:rPr>
          <w:sz w:val="20"/>
          <w:szCs w:val="20"/>
          <w:color w:val="auto"/>
        </w:rPr>
      </w:pPr>
    </w:p>
    <w:p>
      <w:pPr>
        <w:ind w:left="1760" w:hanging="456"/>
        <w:spacing w:after="0"/>
        <w:tabs>
          <w:tab w:leader="none" w:pos="1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Retained ECF Amount; </w:t>
      </w:r>
      <w:r>
        <w:rPr>
          <w:rFonts w:ascii="Arial" w:cs="Arial" w:eastAsia="Arial" w:hAnsi="Arial"/>
          <w:sz w:val="22"/>
          <w:szCs w:val="22"/>
          <w:i w:val="1"/>
          <w:iCs w:val="1"/>
          <w:color w:val="auto"/>
        </w:rPr>
        <w:t>minus</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884"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the aggregate amount of Investments made in reliance on </w:t>
      </w:r>
      <w:r>
        <w:rPr>
          <w:rFonts w:ascii="Arial" w:cs="Arial" w:eastAsia="Arial" w:hAnsi="Arial"/>
          <w:sz w:val="22"/>
          <w:szCs w:val="22"/>
          <w:u w:val="single" w:color="auto"/>
          <w:color w:val="auto"/>
        </w:rPr>
        <w:t>Section 9.05(s)</w:t>
      </w:r>
      <w:r>
        <w:rPr>
          <w:rFonts w:ascii="Arial" w:cs="Arial" w:eastAsia="Arial" w:hAnsi="Arial"/>
          <w:sz w:val="22"/>
          <w:szCs w:val="22"/>
          <w:color w:val="auto"/>
        </w:rPr>
        <w:t xml:space="preserve">. Restricted Payments made in reliance on </w:t>
      </w:r>
      <w:r>
        <w:rPr>
          <w:rFonts w:ascii="Arial" w:cs="Arial" w:eastAsia="Arial" w:hAnsi="Arial"/>
          <w:sz w:val="22"/>
          <w:szCs w:val="22"/>
          <w:u w:val="single" w:color="auto"/>
          <w:color w:val="auto"/>
        </w:rPr>
        <w:t>Section 9.06(h)</w:t>
      </w:r>
      <w:r>
        <w:rPr>
          <w:rFonts w:ascii="Arial" w:cs="Arial" w:eastAsia="Arial" w:hAnsi="Arial"/>
          <w:sz w:val="22"/>
          <w:szCs w:val="22"/>
          <w:color w:val="auto"/>
        </w:rPr>
        <w:t xml:space="preserve"> and payments of Indebtedness that has been contractually subordinated in right of payment to the Obligations in reliance on Section 9.07(a)(ii) during the period from the Closing Date through and including such Reference Date.</w:t>
      </w:r>
    </w:p>
    <w:p>
      <w:pPr>
        <w:spacing w:after="0" w:line="16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u w:val="single" w:color="auto"/>
          <w:color w:val="0000FF"/>
        </w:rPr>
        <w:t>“Available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Loan Agreement or (y) otherwise, any payment period for interest calculated with reference to such Benchmark (or component thereof) that is or may be used for determining any frequency of making payments of interest pursuant to this Loan Agreement calculated with reference to such Benchmark, in each case, as of such date and not including, for the avoidance of doubt, any tenor for such Benchmark that is then-removed from the definition of “Interest Period” pursuant to Section 2.13. For the avoidance of doubt, as of June 15, 2023 with respect to the Term SOFR Reference Rate, there is only one Available Tenor (i.e. 3 months).</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as amended, modified, succeeded or replaced from</w:t>
      </w:r>
    </w:p>
    <w:p>
      <w:pPr>
        <w:spacing w:after="0"/>
        <w:rPr>
          <w:sz w:val="20"/>
          <w:szCs w:val="20"/>
          <w:color w:val="auto"/>
        </w:rPr>
      </w:pPr>
      <w:r>
        <w:rPr>
          <w:rFonts w:ascii="Arial" w:cs="Arial" w:eastAsia="Arial" w:hAnsi="Arial"/>
          <w:sz w:val="22"/>
          <w:szCs w:val="22"/>
          <w:color w:val="auto"/>
        </w:rPr>
        <w:t>time to time.</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u w:val="single" w:color="auto"/>
          <w:color w:val="0000FF"/>
        </w:rPr>
        <w:t>“Benchmark”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2.13.</w:t>
      </w:r>
    </w:p>
    <w:p>
      <w:pPr>
        <w:spacing w:after="0" w:line="1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0000FF"/>
        </w:rPr>
        <w:t xml:space="preserve">“Benchmark Replacement” means with respect to any Benchmark Transition Event, the sum of: (a) the alternate benchmark rate that has been selected </w:t>
      </w:r>
      <w:r>
        <w:rPr>
          <w:rFonts w:ascii="Arial" w:cs="Arial" w:eastAsia="Arial" w:hAnsi="Arial"/>
          <w:sz w:val="19"/>
          <w:szCs w:val="19"/>
          <w:u w:val="single" w:color="auto"/>
          <w:color w:val="008000"/>
        </w:rPr>
        <w:t>by the Administrative Agent and the Borrower</w:t>
      </w:r>
      <w:r>
        <w:rPr>
          <w:rFonts w:ascii="Arial" w:cs="Arial" w:eastAsia="Arial" w:hAnsi="Arial"/>
          <w:sz w:val="19"/>
          <w:szCs w:val="19"/>
          <w:u w:val="single" w:color="auto"/>
          <w:color w:val="0000FF"/>
        </w:rPr>
        <w:t xml:space="preserve"> giving due consideration to (i) any selection or recommendation of a replacement benchmark rate or the mechanism for determining such a rate by the Relevant</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u w:val="single" w:color="auto"/>
          <w:color w:val="0000FF"/>
        </w:rPr>
        <w:t xml:space="preserve">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w:t>
      </w:r>
      <w:r>
        <w:rPr>
          <w:rFonts w:ascii="Arial" w:cs="Arial" w:eastAsia="Arial" w:hAnsi="Arial"/>
          <w:sz w:val="22"/>
          <w:szCs w:val="22"/>
          <w:u w:val="single" w:color="auto"/>
          <w:color w:val="008000"/>
        </w:rPr>
        <w:t>for the purposes of this Loan Agreement</w:t>
      </w:r>
      <w:r>
        <w:rPr>
          <w:rFonts w:ascii="Arial" w:cs="Arial" w:eastAsia="Arial" w:hAnsi="Arial"/>
          <w:sz w:val="22"/>
          <w:szCs w:val="22"/>
          <w:u w:val="single" w:color="auto"/>
          <w:color w:val="0000FF"/>
        </w:rPr>
        <w:t xml:space="preserve"> and the other Loan Documents; provided, that such alternative benchmark rate shall not be primarily based on the Prime Rate or the Federal Funds Rate without the prior written consent of the Required Lenders.</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u w:val="single" w:color="auto"/>
          <w:color w:val="0000FF"/>
        </w:rPr>
        <w:t>“Benchmark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“Benchmark Replacement Date” means the earliest to occur of the following events with respect to the then-current Benchmark:</w:t>
      </w:r>
    </w:p>
    <w:p>
      <w:pPr>
        <w:spacing w:after="0" w:line="159" w:lineRule="exact"/>
        <w:rPr>
          <w:sz w:val="20"/>
          <w:szCs w:val="20"/>
          <w:color w:val="auto"/>
        </w:rPr>
      </w:pPr>
    </w:p>
    <w:p>
      <w:pPr>
        <w:jc w:val="both"/>
        <w:ind w:firstLine="1304"/>
        <w:spacing w:after="0" w:line="218" w:lineRule="auto"/>
        <w:tabs>
          <w:tab w:leader="none" w:pos="1789" w:val="left"/>
        </w:tabs>
        <w:numPr>
          <w:ilvl w:val="0"/>
          <w:numId w:val="28"/>
        </w:numPr>
        <w:rPr>
          <w:rFonts w:ascii="Arial" w:cs="Arial" w:eastAsia="Arial" w:hAnsi="Arial"/>
          <w:sz w:val="22"/>
          <w:szCs w:val="22"/>
          <w:color w:val="0000FF"/>
        </w:rPr>
      </w:pPr>
      <w:r>
        <w:rPr>
          <w:rFonts w:ascii="Arial" w:cs="Arial" w:eastAsia="Arial" w:hAnsi="Arial"/>
          <w:sz w:val="22"/>
          <w:szCs w:val="22"/>
          <w:u w:val="single" w:color="auto"/>
          <w:color w:val="008000"/>
        </w:rPr>
        <w:t>in the case of clause (</w:t>
      </w:r>
      <w:r>
        <w:rPr>
          <w:rFonts w:ascii="Arial" w:cs="Arial" w:eastAsia="Arial" w:hAnsi="Arial"/>
          <w:sz w:val="22"/>
          <w:szCs w:val="22"/>
          <w:u w:val="single" w:color="auto"/>
          <w:color w:val="0000FF"/>
        </w:rPr>
        <w:t>a) or (b) of the definition of “Benchmark Transition Event”, the later of (i) the date of</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0" w:lineRule="exact"/>
        <w:rPr>
          <w:rFonts w:ascii="Arial" w:cs="Arial" w:eastAsia="Arial" w:hAnsi="Arial"/>
          <w:sz w:val="22"/>
          <w:szCs w:val="22"/>
          <w:color w:val="0000FF"/>
        </w:rPr>
      </w:pPr>
    </w:p>
    <w:p>
      <w:pPr>
        <w:jc w:val="both"/>
        <w:ind w:firstLine="1304"/>
        <w:spacing w:after="0" w:line="221" w:lineRule="auto"/>
        <w:tabs>
          <w:tab w:leader="none" w:pos="1894" w:val="left"/>
        </w:tabs>
        <w:numPr>
          <w:ilvl w:val="0"/>
          <w:numId w:val="28"/>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 xml:space="preserve">in the case of clause (c) of the definition of “Benchmark Transition Event”, the first date on which all Available Tenors of such Benchmark (or the published component used in the calculation thereof) have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w:t>
      </w:r>
      <w:r>
        <w:rPr>
          <w:rFonts w:ascii="Arial" w:cs="Arial" w:eastAsia="Arial" w:hAnsi="Arial"/>
          <w:sz w:val="21"/>
          <w:szCs w:val="21"/>
          <w:u w:val="single" w:color="auto"/>
          <w:color w:val="008000"/>
        </w:rPr>
        <w:t>determined by reference to the</w:t>
      </w:r>
      <w:r>
        <w:rPr>
          <w:rFonts w:ascii="Arial" w:cs="Arial" w:eastAsia="Arial" w:hAnsi="Arial"/>
          <w:sz w:val="21"/>
          <w:szCs w:val="21"/>
          <w:u w:val="single" w:color="auto"/>
          <w:color w:val="0000FF"/>
        </w:rPr>
        <w:t xml:space="preserv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-1672590</wp:posOffset>
            </wp:positionV>
            <wp:extent cx="3130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14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0000FF"/>
        </w:rPr>
        <w:t xml:space="preserve">For the avoidance of doubt, the “Benchmark Replacement Date” will be deemed to have occurred </w:t>
      </w:r>
      <w:r>
        <w:rPr>
          <w:rFonts w:ascii="Arial" w:cs="Arial" w:eastAsia="Arial" w:hAnsi="Arial"/>
          <w:sz w:val="19"/>
          <w:szCs w:val="19"/>
          <w:u w:val="single" w:color="auto"/>
          <w:color w:val="008000"/>
        </w:rPr>
        <w:t>in the case of</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clause (</w:t>
      </w:r>
      <w:r>
        <w:rPr>
          <w:rFonts w:ascii="Arial" w:cs="Arial" w:eastAsia="Arial" w:hAnsi="Arial"/>
          <w:sz w:val="19"/>
          <w:szCs w:val="19"/>
          <w:u w:val="single" w:color="auto"/>
          <w:color w:val="0000FF"/>
        </w:rPr>
        <w:t>a) or (b) with respect to any Benchmark upon the occurrence of the applicable event or events set forth therein with</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respect to all then-current Available Tenors of such Benchmark (or the published component used in the calculation thereof).</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“Benchmark Transition Event” means the occurrence of one or more of the following events with respect to the then-current Benchmark:</w:t>
      </w:r>
    </w:p>
    <w:p>
      <w:pPr>
        <w:spacing w:after="0" w:line="159" w:lineRule="exact"/>
        <w:rPr>
          <w:sz w:val="20"/>
          <w:szCs w:val="20"/>
          <w:color w:val="auto"/>
        </w:rPr>
      </w:pPr>
    </w:p>
    <w:p>
      <w:pPr>
        <w:jc w:val="both"/>
        <w:ind w:firstLine="1304"/>
        <w:spacing w:after="0" w:line="268" w:lineRule="auto"/>
        <w:tabs>
          <w:tab w:leader="none" w:pos="1785" w:val="left"/>
        </w:tabs>
        <w:numPr>
          <w:ilvl w:val="0"/>
          <w:numId w:val="2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u w:val="single" w:color="auto"/>
          <w:color w:val="0000FF"/>
        </w:rPr>
        <w:t>time of such statement or publication, there is no successor administrator that will continue to provide any Available Tenor of such Benchmark (or such component thereof);</w:t>
      </w:r>
    </w:p>
    <w:p>
      <w:pPr>
        <w:spacing w:after="0" w:line="159" w:lineRule="exact"/>
        <w:rPr>
          <w:sz w:val="20"/>
          <w:szCs w:val="20"/>
          <w:color w:val="auto"/>
        </w:rPr>
      </w:pPr>
    </w:p>
    <w:p>
      <w:pPr>
        <w:jc w:val="both"/>
        <w:ind w:firstLine="1304"/>
        <w:spacing w:after="0" w:line="211" w:lineRule="auto"/>
        <w:tabs>
          <w:tab w:leader="none" w:pos="1834" w:val="left"/>
        </w:tabs>
        <w:numPr>
          <w:ilvl w:val="0"/>
          <w:numId w:val="3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8" w:lineRule="exact"/>
        <w:rPr>
          <w:rFonts w:ascii="Arial" w:cs="Arial" w:eastAsia="Arial" w:hAnsi="Arial"/>
          <w:sz w:val="22"/>
          <w:szCs w:val="22"/>
          <w:u w:val="single" w:color="auto"/>
          <w:color w:val="0000FF"/>
        </w:rPr>
      </w:pPr>
    </w:p>
    <w:p>
      <w:pPr>
        <w:jc w:val="both"/>
        <w:ind w:firstLine="1304"/>
        <w:spacing w:after="0" w:line="226" w:lineRule="auto"/>
        <w:tabs>
          <w:tab w:leader="none" w:pos="1785" w:val="left"/>
        </w:tabs>
        <w:numPr>
          <w:ilvl w:val="0"/>
          <w:numId w:val="30"/>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For the avoidance of doubt, a “Benchmark Transition Event” will be deemed to have occurred with respect to any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2"/>
          <w:szCs w:val="22"/>
          <w:u w:val="single" w:color="auto"/>
          <w:color w:val="0000FF"/>
        </w:rPr>
        <w:t>Available Tenor of such Benchmark (or the published component used in the calculation thereof).</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0000FF"/>
        </w:rPr>
        <w:t>“Benchmark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0000FF"/>
        </w:rPr>
        <w:t>“Benchmark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2.13 and (b) ending at the time that a Benchmark Replacement has replaced the then-current Benchmark for all purposes hereunder and under any Loan Document in accordance with Section 2.13.</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or any successor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has the meaning given to such term in Section 8.21.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set forth in the preamble to this Loan Agreement.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borrowing hereunder consisting of Loans made to or for the benefit of Borrower on the same day by Lenders pursuant to this Loan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Notice</w:t>
      </w:r>
      <w:r>
        <w:rPr>
          <w:rFonts w:ascii="Arial" w:cs="Arial" w:eastAsia="Arial" w:hAnsi="Arial"/>
          <w:sz w:val="22"/>
          <w:szCs w:val="22"/>
          <w:color w:val="auto"/>
        </w:rPr>
        <w:t xml:space="preserve">” means a written notice given by the Borrower to Administrative Agent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w:t>
      </w:r>
      <w:r>
        <w:rPr>
          <w:rFonts w:ascii="Arial" w:cs="Arial" w:eastAsia="Arial" w:hAnsi="Arial"/>
          <w:sz w:val="22"/>
          <w:szCs w:val="22"/>
          <w:color w:val="auto"/>
        </w:rPr>
        <w:t xml:space="preserve">,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Budget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8.01(f)</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the business of developing, licensing, acquiring, manufacturing, commercializing and marketing regenerative biologics utilizing human placental allografts, and any business reasonably related, ancillary or incidental thereto.</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means </w:t>
      </w:r>
      <w:r>
        <w:rPr>
          <w:rFonts w:ascii="Arial" w:cs="Arial" w:eastAsia="Arial" w:hAnsi="Arial"/>
          <w:sz w:val="21"/>
          <w:szCs w:val="21"/>
          <w:color w:val="FF0000"/>
          <w:strike w:val="1"/>
        </w:rPr>
        <w:t>(a)</w:t>
      </w:r>
      <w:r>
        <w:rPr>
          <w:rFonts w:ascii="Arial" w:cs="Arial" w:eastAsia="Arial" w:hAnsi="Arial"/>
          <w:sz w:val="21"/>
          <w:szCs w:val="21"/>
          <w:color w:val="auto"/>
        </w:rPr>
        <w:t xml:space="preserve"> any day that is not a Saturday, Sunday or other day on which commercial banks in the City of New York are required, authorized or otherwise permitted by law or other governmental actions to close</w:t>
      </w:r>
      <w:r>
        <w:rPr>
          <w:rFonts w:ascii="Arial" w:cs="Arial" w:eastAsia="Arial" w:hAnsi="Arial"/>
          <w:sz w:val="21"/>
          <w:szCs w:val="21"/>
          <w:color w:val="FF0000"/>
          <w:strike w:val="1"/>
        </w:rPr>
        <w:t>, and (b) with</w:t>
      </w:r>
      <w:r>
        <w:rPr>
          <w:rFonts w:ascii="Arial" w:cs="Arial" w:eastAsia="Arial" w:hAnsi="Arial"/>
          <w:sz w:val="21"/>
          <w:szCs w:val="21"/>
          <w:color w:val="auto"/>
        </w:rPr>
        <w:t xml:space="preserve"> </w:t>
      </w:r>
      <w:r>
        <w:rPr>
          <w:rFonts w:ascii="Arial" w:cs="Arial" w:eastAsia="Arial" w:hAnsi="Arial"/>
          <w:sz w:val="21"/>
          <w:szCs w:val="21"/>
          <w:color w:val="FF0000"/>
          <w:strike w:val="1"/>
        </w:rPr>
        <w:t>respect to any notices or determinations in connection with any LIBOR Rate established hereunder, any day that is also a day for trading by and between banks in Dollar deposits in the London Interbank Eurodollar market</w:t>
      </w:r>
      <w:r>
        <w:rPr>
          <w:rFonts w:ascii="Arial" w:cs="Arial" w:eastAsia="Arial" w:hAnsi="Arial"/>
          <w:sz w:val="21"/>
          <w:szCs w:val="21"/>
          <w:color w:val="000000"/>
          <w:strike w:val="1"/>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Date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9.13(b)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shall mean, with respect to any Person, all expenditures by such Person which should be capitalized in accordance with GAAP and, without duplication, the amount of Capitalized Lease Obligations incurred by such Person.</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any and all shares, interests, participations, units or other equivalents (however designated) of capital stock of a corporation, membership interests in a limited liability company, partnership interests of a limited partnership, any and all equivalent ownership interests in a Person, and in each case any and all warrants, rights or options to purchase, and all conversion or exchange rights, voting rights, calls or rights of any character with respect to, any of the foregoing but excluding any debt securities convertible into such Capital Stock.</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Capitalized Lease Obligations</w:t>
      </w:r>
      <w:r>
        <w:rPr>
          <w:rFonts w:ascii="Arial" w:cs="Arial" w:eastAsia="Arial" w:hAnsi="Arial"/>
          <w:sz w:val="21"/>
          <w:szCs w:val="21"/>
          <w:color w:val="auto"/>
        </w:rPr>
        <w:t xml:space="preserve">” means, as applied to any Person, subject to </w:t>
      </w:r>
      <w:r>
        <w:rPr>
          <w:rFonts w:ascii="Arial" w:cs="Arial" w:eastAsia="Arial" w:hAnsi="Arial"/>
          <w:sz w:val="21"/>
          <w:szCs w:val="21"/>
          <w:u w:val="single" w:color="auto"/>
          <w:color w:val="auto"/>
        </w:rPr>
        <w:t>Section 1.03</w:t>
      </w:r>
      <w:r>
        <w:rPr>
          <w:rFonts w:ascii="Arial" w:cs="Arial" w:eastAsia="Arial" w:hAnsi="Arial"/>
          <w:sz w:val="21"/>
          <w:szCs w:val="21"/>
          <w:color w:val="auto"/>
        </w:rPr>
        <w:t>, all obligations under Capitalized Leases of such Person or any of its Subsidiaries, in each case taken at the amount thereof accounted for as liabilities on the balance sheet (excluding the footnotes thereto) of such Person in accordance with GAAP.</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Leases</w:t>
      </w:r>
      <w:r>
        <w:rPr>
          <w:rFonts w:ascii="Arial" w:cs="Arial" w:eastAsia="Arial" w:hAnsi="Arial"/>
          <w:sz w:val="22"/>
          <w:szCs w:val="22"/>
          <w:color w:val="auto"/>
        </w:rPr>
        <w:t xml:space="preserve">” means, as applied to any Person, subject to </w:t>
      </w:r>
      <w:r>
        <w:rPr>
          <w:rFonts w:ascii="Arial" w:cs="Arial" w:eastAsia="Arial" w:hAnsi="Arial"/>
          <w:sz w:val="22"/>
          <w:szCs w:val="22"/>
          <w:u w:val="single" w:color="auto"/>
          <w:color w:val="auto"/>
        </w:rPr>
        <w:t>Section 1.03</w:t>
      </w:r>
      <w:r>
        <w:rPr>
          <w:rFonts w:ascii="Arial" w:cs="Arial" w:eastAsia="Arial" w:hAnsi="Arial"/>
          <w:sz w:val="22"/>
          <w:szCs w:val="22"/>
          <w:color w:val="auto"/>
        </w:rPr>
        <w:t>, all leases of property (real or personal) that have been or should be, in accordance with GAAP, classified as capitalized leases on the balance sheet of such Person or any of its Subsidiaries, on a consolidated basis.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23" w:lineRule="auto"/>
        <w:tabs>
          <w:tab w:leader="none" w:pos="189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direct obligation of, or unconditional guaranty by, the United States of America (or any agency or political subdivision thereof, to the extent such obligations are supported by the full faith and credit of the United States of America) maturing not more than one year after the date of acquisition thereof;</w:t>
      </w:r>
    </w:p>
    <w:p>
      <w:pPr>
        <w:spacing w:after="0" w:line="158" w:lineRule="exact"/>
        <w:rPr>
          <w:rFonts w:ascii="Arial" w:cs="Arial" w:eastAsia="Arial" w:hAnsi="Arial"/>
          <w:sz w:val="22"/>
          <w:szCs w:val="22"/>
          <w:color w:val="auto"/>
        </w:rPr>
      </w:pPr>
    </w:p>
    <w:p>
      <w:pPr>
        <w:ind w:firstLine="1304"/>
        <w:spacing w:after="0" w:line="232" w:lineRule="auto"/>
        <w:tabs>
          <w:tab w:leader="none" w:pos="1811"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commercial paper maturing not more than one hundred eighty (180) days from the date of issue and issued by a corporation (other than an Affiliate of any Loan Party)</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organized under the laws of any state of the United States of America or of the District of Columbia and, at the time of acquisition thereof, rated A 1 or higher by S&amp;P or P 1 or higher by Moody’s;</w:t>
      </w:r>
    </w:p>
    <w:p>
      <w:pPr>
        <w:spacing w:after="0" w:line="159" w:lineRule="exact"/>
        <w:rPr>
          <w:sz w:val="20"/>
          <w:szCs w:val="20"/>
          <w:color w:val="auto"/>
        </w:rPr>
      </w:pPr>
    </w:p>
    <w:p>
      <w:pPr>
        <w:jc w:val="both"/>
        <w:ind w:firstLine="1304"/>
        <w:spacing w:after="0" w:line="216" w:lineRule="auto"/>
        <w:tabs>
          <w:tab w:leader="none" w:pos="180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Dollar denominated certificate of deposit, time deposit or bankers’ acceptance, maturing not more than one year after its date of issuance, which is issued by a bank organized under the laws of the United States of America (or any state thereof) which has, at the time of acquisition of such certificate of deposit, time deposit or bankers’ acceptance, as applicable, (i) a credit rating of A or higher from S&amp;P or A-2 or higher from Moody’s and (ii) a combined capital and surplus greater than $500,000,000;</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77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any repurchase agreement having a term of thirty (30) days or less entered into with any commercial banking institution satisfying, at the time of acquisition thereof, the criteria set forth in </w:t>
      </w:r>
      <w:r>
        <w:rPr>
          <w:rFonts w:ascii="Arial" w:cs="Arial" w:eastAsia="Arial" w:hAnsi="Arial"/>
          <w:sz w:val="22"/>
          <w:szCs w:val="22"/>
          <w:u w:val="single" w:color="auto"/>
          <w:color w:val="auto"/>
        </w:rPr>
        <w:t>clause (c)(i)</w:t>
      </w:r>
      <w:r>
        <w:rPr>
          <w:rFonts w:ascii="Arial" w:cs="Arial" w:eastAsia="Arial" w:hAnsi="Arial"/>
          <w:sz w:val="22"/>
          <w:szCs w:val="22"/>
          <w:color w:val="auto"/>
        </w:rPr>
        <w:t xml:space="preserve"> which (i) is secured by a fully perfected security interest in any obligation of the type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and (ii) has a market value at the time such repurchase agreement is entered into of not less than 100% of the repurchase obligation of such commercial banking institution thereunder;</w:t>
      </w:r>
    </w:p>
    <w:p>
      <w:pPr>
        <w:spacing w:after="0" w:line="157" w:lineRule="exact"/>
        <w:rPr>
          <w:rFonts w:ascii="Arial" w:cs="Arial" w:eastAsia="Arial" w:hAnsi="Arial"/>
          <w:sz w:val="22"/>
          <w:szCs w:val="22"/>
          <w:color w:val="auto"/>
        </w:rPr>
      </w:pPr>
    </w:p>
    <w:p>
      <w:pPr>
        <w:ind w:firstLine="1304"/>
        <w:spacing w:after="0" w:line="232" w:lineRule="auto"/>
        <w:tabs>
          <w:tab w:leader="none" w:pos="18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mutual funds with assets in excess of $5,000,000, substantially all of which are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definition; and</w:t>
      </w:r>
    </w:p>
    <w:p>
      <w:pPr>
        <w:spacing w:after="0" w:line="158" w:lineRule="exact"/>
        <w:rPr>
          <w:rFonts w:ascii="Arial" w:cs="Arial" w:eastAsia="Arial" w:hAnsi="Arial"/>
          <w:sz w:val="22"/>
          <w:szCs w:val="22"/>
          <w:color w:val="auto"/>
        </w:rPr>
      </w:pPr>
    </w:p>
    <w:p>
      <w:pPr>
        <w:ind w:left="1740" w:hanging="436"/>
        <w:spacing w:after="0"/>
        <w:tabs>
          <w:tab w:leader="none" w:pos="17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other short term liquid investments approved in writing by the Administrative Agent.</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shall mean any agreement to provide cash management services, including treasury, depository, overdraft, credit or debit card, electronic funds transfer and other cash management arrangements.</w:t>
      </w:r>
    </w:p>
    <w:p>
      <w:pPr>
        <w:spacing w:after="0" w:line="10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Bank</w:t>
      </w:r>
      <w:r>
        <w:rPr>
          <w:rFonts w:ascii="Arial" w:cs="Arial" w:eastAsia="Arial" w:hAnsi="Arial"/>
          <w:sz w:val="21"/>
          <w:szCs w:val="21"/>
          <w:color w:val="auto"/>
        </w:rPr>
        <w:t xml:space="preserve">” shall mean (x) any Person that is a Lender or an Agent (or an Affiliate of a Lender or an Agent), (y) any person who was a Lender or an Agent (or any Affiliate of a Lender or an Agent) at the time it entered into a Cash Management Agreement, in each case, in its capacity as a party to such Cash Management Agreement, or (z) with the prior written consent of the Administrative Agent (such consent not to be unreasonably withheld, conditioned or delayed), each other Person with whom the Loan Party has entered into a Cash Management Agreement provided that if such Person is not a Lender or an Agent, by accepting the benefits of this Loan Agreement, such Person shall be deemed to have (i) appointed the Collateral Agent as its agent under the applicable Loan Documents and (ii) agrees to be bound by the provisions of </w:t>
      </w:r>
      <w:r>
        <w:rPr>
          <w:rFonts w:ascii="Arial" w:cs="Arial" w:eastAsia="Arial" w:hAnsi="Arial"/>
          <w:sz w:val="21"/>
          <w:szCs w:val="21"/>
          <w:u w:val="single" w:color="auto"/>
          <w:color w:val="auto"/>
        </w:rPr>
        <w:t>Sections 12.05(a), 12.14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and 12.25</w:t>
      </w:r>
      <w:r>
        <w:rPr>
          <w:rFonts w:ascii="Arial" w:cs="Arial" w:eastAsia="Arial" w:hAnsi="Arial"/>
          <w:sz w:val="21"/>
          <w:szCs w:val="21"/>
          <w:color w:val="auto"/>
        </w:rPr>
        <w:t xml:space="preserve"> as if it were a Lender.</w:t>
      </w:r>
    </w:p>
    <w:p>
      <w:pPr>
        <w:spacing w:after="0" w:line="16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Casualty Event</w:t>
      </w:r>
      <w:r>
        <w:rPr>
          <w:rFonts w:ascii="Arial" w:cs="Arial" w:eastAsia="Arial" w:hAnsi="Arial"/>
          <w:sz w:val="22"/>
          <w:szCs w:val="22"/>
          <w:color w:val="auto"/>
        </w:rPr>
        <w:t>” means the damage, destruction or condemnation, as the case may be, of property of any Person or any of its Subsidiaries.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of 1980 (42 U.S.C. § 9601, et seq.), as amended, and all rules, regulations and binding standards issued thereunder.</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Closing Date, of any of the following: (a) the adoption, change in or taking effect of any law, rule or regulation or in the administration, implementation, interpretation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any of the following:</w:t>
      </w:r>
    </w:p>
    <w:p>
      <w:pPr>
        <w:spacing w:after="0" w:line="179" w:lineRule="exact"/>
        <w:rPr>
          <w:sz w:val="20"/>
          <w:szCs w:val="20"/>
          <w:color w:val="auto"/>
        </w:rPr>
      </w:pPr>
    </w:p>
    <w:p>
      <w:pPr>
        <w:jc w:val="both"/>
        <w:ind w:firstLine="1304"/>
        <w:spacing w:after="0" w:line="268" w:lineRule="auto"/>
        <w:tabs>
          <w:tab w:leader="none" w:pos="1771"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Person, “person” (within the meaning of Section 13(d) or 14(d) of the Exchange Act) or “group” (within the meaning of Section 13(d) or 14(d) of the Exchange Act), shall at any time have acquired direct or indirect beneficial ownership of a percentage of the voting power of the outstanding Voting Stock of the Borrower that exceeds 35% thereof; or</w:t>
      </w:r>
    </w:p>
    <w:p>
      <w:pPr>
        <w:spacing w:after="0" w:line="132" w:lineRule="exact"/>
        <w:rPr>
          <w:rFonts w:ascii="Arial" w:cs="Arial" w:eastAsia="Arial" w:hAnsi="Arial"/>
          <w:sz w:val="19"/>
          <w:szCs w:val="19"/>
          <w:color w:val="auto"/>
        </w:rPr>
      </w:pPr>
    </w:p>
    <w:p>
      <w:pPr>
        <w:ind w:left="1800" w:hanging="496"/>
        <w:spacing w:after="0"/>
        <w:tabs>
          <w:tab w:leader="none" w:pos="18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sale of all or substantially all of the property or assets of the Borrower other than in a sale or transfer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another Loan Party.</w:t>
      </w:r>
    </w:p>
    <w:p>
      <w:pPr>
        <w:spacing w:after="0" w:line="161"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w:t>
      </w:r>
      <w:r>
        <w:rPr>
          <w:rFonts w:ascii="Arial" w:cs="Arial" w:eastAsia="Arial" w:hAnsi="Arial"/>
          <w:sz w:val="21"/>
          <w:szCs w:val="21"/>
          <w:color w:val="auto"/>
        </w:rPr>
        <w:t xml:space="preserve">” when used in reference to (a) any Loan or Borrowing, refers to whether such Loan, or the Loans comprising such Borrowing, are Initial Loans or Incremental Term Loans of any series established as a separate “Class </w:t>
      </w:r>
      <w:r>
        <w:rPr>
          <w:rFonts w:ascii="Arial" w:cs="Arial" w:eastAsia="Arial" w:hAnsi="Arial"/>
          <w:sz w:val="21"/>
          <w:szCs w:val="21"/>
          <w:color w:val="FF0000"/>
        </w:rPr>
        <w:t>“</w:t>
      </w:r>
      <w:r>
        <w:rPr>
          <w:rFonts w:ascii="Arial" w:cs="Arial" w:eastAsia="Arial" w:hAnsi="Arial"/>
          <w:sz w:val="21"/>
          <w:szCs w:val="21"/>
          <w:u w:val="single" w:color="auto"/>
          <w:color w:val="0000FF"/>
        </w:rPr>
        <w:t>”</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(b) any Commitment, refers to whether such Commitment is an Initial Term Loan Commitment, DDTL Commitment or an Incremental Term Loan Commitment of any series established as a separate “Class”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(c) any Lender, refers to whether such Lender has a Loan or Commitment of a particular Class. The Initial Term Loans and the DDTLs are a single Class for all purposes under this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6955790</wp:posOffset>
            </wp:positionH>
            <wp:positionV relativeFrom="paragraph">
              <wp:posOffset>-629920</wp:posOffset>
            </wp:positionV>
            <wp:extent cx="1206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14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 means the first date upon which all conditions precedent listed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have been satisfied or waived pursuant to the terms thereof.</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 and all rules, regulations, standards and guidelines issued thereunder. Section references to the Code are to the Code as in effect at the date of this Loan Agreement, and any subsequent provisions of the Code amendatory thereof, supplemental thereto or substituted therefor.</w:t>
      </w:r>
    </w:p>
    <w:p>
      <w:pPr>
        <w:spacing w:after="0" w:line="13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any assets of any Loan Party or other assets upon which the Collateral Agent and/or the Secured Parties has been granted a Lien in connection with this Loan Agreement, including pursuant to the Security Documents.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has the meaning set forth in the preamble to this Loan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Assignee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12.06(d)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Collections</w:t>
      </w:r>
      <w:r>
        <w:rPr>
          <w:rFonts w:ascii="Arial" w:cs="Arial" w:eastAsia="Arial" w:hAnsi="Arial"/>
          <w:sz w:val="21"/>
          <w:szCs w:val="21"/>
          <w:color w:val="auto"/>
        </w:rPr>
        <w:t>” means all cash, checks, credit card slips or receipts, notes, instruments, and other items of payment (including insurance proceeds, proceeds of cash sales, rental proceeds, and tax refunds) of the Loan Parties.</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the Initial Term Loan Commitment, the DDTL Commitment and any Incremental Term Loan Commitment.</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has the meaning assigned to such term in the definition of “Disqualified Institution”.</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7"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duly completed and executed by an Authorized Officer of the Borrower substantially in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 together with such changes thereto or departures therefrom as the Administrative Agent may reasonably request (in connection with any operational or administrative function of the Administrative Agent or to reflect any amendment or modification of this Loan Agreement or any other Loan Document) or approve from time to time.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12.18</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0000FF"/>
        </w:rPr>
        <w:t xml:space="preserve">“Conforming Changes” means, with respect to either the use or administration of Adjusted Term SOFR or the use, administration, adoption or implementation of any Benchmark Replacement, any technical, administrative or operational changes (including changes to </w:t>
      </w:r>
      <w:r>
        <w:rPr>
          <w:rFonts w:ascii="Arial" w:cs="Arial" w:eastAsia="Arial" w:hAnsi="Arial"/>
          <w:sz w:val="19"/>
          <w:szCs w:val="19"/>
          <w:u w:val="single" w:color="auto"/>
          <w:color w:val="008000"/>
        </w:rPr>
        <w:t>the definition of “Prime Rate</w:t>
      </w:r>
      <w:r>
        <w:rPr>
          <w:rFonts w:ascii="Arial" w:cs="Arial" w:eastAsia="Arial" w:hAnsi="Arial"/>
          <w:sz w:val="19"/>
          <w:szCs w:val="19"/>
          <w:u w:val="single" w:color="auto"/>
          <w:color w:val="0000FF"/>
        </w:rPr>
        <w:t>,”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2.07 and other technical, administrative or operational matters) that the Administrative Agent (in consultation with Borrower) decides may be appropriate to reflect the adoption and implementation of any such rate or to permit the use and administration thereof by the Administrative Agent in a manner substantially consistent with market practice (or, if the Administrative Agent (in consultation with Borrower)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Loan Agreement and the other Loan Documents); provided, that no such Conforming Changes shall implement an Interest Period other than three (3) months without the prior written consent of the Required Lenders.</w:t>
      </w:r>
    </w:p>
    <w:p>
      <w:pPr>
        <w:spacing w:after="0" w:line="16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Adjusted EBITDA</w:t>
      </w:r>
      <w:r>
        <w:rPr>
          <w:rFonts w:ascii="Arial" w:cs="Arial" w:eastAsia="Arial" w:hAnsi="Arial"/>
          <w:sz w:val="22"/>
          <w:szCs w:val="22"/>
          <w:color w:val="auto"/>
        </w:rPr>
        <w:t>” means, for a specified period, an amount determined for the Consolidated Companies equal to, on a trailing twelve month basis (including, subject to the established Consolidated Adjusted EBITDA amounts provided below, any months that precede the Closing Date):</w:t>
      </w:r>
    </w:p>
    <w:p>
      <w:pPr>
        <w:spacing w:after="0" w:line="159" w:lineRule="exact"/>
        <w:rPr>
          <w:sz w:val="20"/>
          <w:szCs w:val="20"/>
          <w:color w:val="auto"/>
        </w:rPr>
      </w:pPr>
    </w:p>
    <w:p>
      <w:pPr>
        <w:ind w:left="1760" w:hanging="456"/>
        <w:spacing w:after="0"/>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Consolidated Net Income of the Consolidated Companies, </w:t>
      </w:r>
      <w:r>
        <w:rPr>
          <w:rFonts w:ascii="Arial" w:cs="Arial" w:eastAsia="Arial" w:hAnsi="Arial"/>
          <w:sz w:val="22"/>
          <w:szCs w:val="22"/>
          <w:u w:val="single" w:color="auto"/>
          <w:color w:val="auto"/>
        </w:rPr>
        <w:t>plus</w:t>
      </w:r>
    </w:p>
    <w:p>
      <w:pPr>
        <w:spacing w:after="0" w:line="179" w:lineRule="exact"/>
        <w:rPr>
          <w:rFonts w:ascii="Arial" w:cs="Arial" w:eastAsia="Arial" w:hAnsi="Arial"/>
          <w:sz w:val="22"/>
          <w:szCs w:val="22"/>
          <w:color w:val="auto"/>
        </w:rPr>
      </w:pPr>
    </w:p>
    <w:p>
      <w:pPr>
        <w:ind w:firstLine="1304"/>
        <w:spacing w:after="0" w:line="232" w:lineRule="auto"/>
        <w:tabs>
          <w:tab w:leader="none" w:pos="1891"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sum of the following amounts, without duplication, to the extent deducted (other than in respect of clauses (ix), (x) and (xiv)) in calculating such Consolidated Net Income:</w:t>
      </w:r>
    </w:p>
    <w:p>
      <w:pPr>
        <w:spacing w:after="0" w:line="158" w:lineRule="exact"/>
        <w:rPr>
          <w:rFonts w:ascii="Arial" w:cs="Arial" w:eastAsia="Arial" w:hAnsi="Arial"/>
          <w:sz w:val="22"/>
          <w:szCs w:val="22"/>
          <w:color w:val="auto"/>
        </w:rPr>
      </w:pPr>
    </w:p>
    <w:p>
      <w:pPr>
        <w:ind w:left="2380" w:hanging="428"/>
        <w:spacing w:after="0"/>
        <w:tabs>
          <w:tab w:leader="none" w:pos="23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Consolidated Interest Expense during such measurement period,</w:t>
      </w:r>
    </w:p>
    <w:p>
      <w:pPr>
        <w:spacing w:after="0" w:line="179" w:lineRule="exact"/>
        <w:rPr>
          <w:rFonts w:ascii="Arial" w:cs="Arial" w:eastAsia="Arial" w:hAnsi="Arial"/>
          <w:sz w:val="22"/>
          <w:szCs w:val="22"/>
          <w:color w:val="auto"/>
        </w:rPr>
      </w:pPr>
    </w:p>
    <w:p>
      <w:pPr>
        <w:jc w:val="both"/>
        <w:ind w:left="660" w:firstLine="1292"/>
        <w:spacing w:after="0" w:line="223" w:lineRule="auto"/>
        <w:tabs>
          <w:tab w:leader="none" w:pos="257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Taxes paid and provisions for Taxes based on income, profits or capital of such Person and its subsidiaries, including, in each case, federal, state, provincial, local, foreign, unitary, franchise, excise, property, withholding and similar Taxes, including any penalties and interest,</w:t>
      </w:r>
    </w:p>
    <w:p>
      <w:pPr>
        <w:spacing w:after="0" w:line="158" w:lineRule="exact"/>
        <w:rPr>
          <w:rFonts w:ascii="Arial" w:cs="Arial" w:eastAsia="Arial" w:hAnsi="Arial"/>
          <w:sz w:val="22"/>
          <w:szCs w:val="22"/>
          <w:color w:val="auto"/>
        </w:rPr>
      </w:pPr>
    </w:p>
    <w:p>
      <w:pPr>
        <w:ind w:left="2500" w:hanging="548"/>
        <w:spacing w:after="0"/>
        <w:tabs>
          <w:tab w:leader="none" w:pos="2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impairment charge or asset write-off charge and total depreciation expense,</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7" w:lineRule="exact"/>
        <w:rPr>
          <w:sz w:val="20"/>
          <w:szCs w:val="20"/>
          <w:color w:val="auto"/>
        </w:rPr>
      </w:pPr>
    </w:p>
    <w:p>
      <w:pPr>
        <w:ind w:left="1360" w:hanging="528"/>
        <w:spacing w:after="0"/>
        <w:tabs>
          <w:tab w:leader="none" w:pos="1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total amortization expense, including amortization, impairment or write-off of intangibles,</w:t>
      </w:r>
    </w:p>
    <w:p>
      <w:pPr>
        <w:spacing w:after="0" w:line="179" w:lineRule="exact"/>
        <w:rPr>
          <w:rFonts w:ascii="Arial" w:cs="Arial" w:eastAsia="Arial" w:hAnsi="Arial"/>
          <w:sz w:val="22"/>
          <w:szCs w:val="22"/>
          <w:color w:val="auto"/>
        </w:rPr>
      </w:pPr>
    </w:p>
    <w:p>
      <w:pPr>
        <w:jc w:val="both"/>
        <w:ind w:left="-460" w:firstLine="1292"/>
        <w:spacing w:after="0" w:line="222" w:lineRule="auto"/>
        <w:tabs>
          <w:tab w:leader="none" w:pos="1481"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charges, losses, reserves or expenses related to signing, retention, relocation, recruiting or completion bonuses or recruiting costs, severance costs, transition costs, curtailments or modifications to pension and post-employment, retirement or employee benefit plans (including any settlement of pension liabilities), and restructuring charges, expenses and reserves; provided that the amounts added to Consolidated Adjusted EBITDA pursuant to this clause (v) and clauses (b)(vi)(B), (b)(viii) and (b)(xiv) of the definition of Consolidated Adjusted EBITDA shall not, in the aggregate, exceed 20% of Consolidated Adjusted EBITDA for any relevant Test Period (calculated prior to any adjustments pursuant to such clauses),</w:t>
      </w:r>
    </w:p>
    <w:p>
      <w:pPr>
        <w:spacing w:after="0" w:line="164" w:lineRule="exact"/>
        <w:rPr>
          <w:rFonts w:ascii="Arial" w:cs="Arial" w:eastAsia="Arial" w:hAnsi="Arial"/>
          <w:sz w:val="21"/>
          <w:szCs w:val="21"/>
          <w:color w:val="auto"/>
        </w:rPr>
      </w:pPr>
    </w:p>
    <w:p>
      <w:pPr>
        <w:jc w:val="both"/>
        <w:ind w:left="-460" w:firstLine="1292"/>
        <w:spacing w:after="0" w:line="226" w:lineRule="auto"/>
        <w:tabs>
          <w:tab w:leader="none" w:pos="1464"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any (A) extraordinary (as defined under GAAP prior to FASB Update No. 2015-01) expenses or charges and (B) any unusual or non-recurring expenses or charges;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amounts added to Consolidated Adjusted EBITDA pursuant to this clause (vi)(B) and clauses (b)(v), (b)(viii) and (b)(xiv) of the definition of Consolidated Adjusted EBITDA shall not, in the aggregate, exceed 20% of Consolidated Adjusted EBITDA for any relevant Test Period (calculated prior to any adjustments pursuant to such clauses),</w:t>
      </w:r>
    </w:p>
    <w:p>
      <w:pPr>
        <w:spacing w:after="0" w:line="159" w:lineRule="exact"/>
        <w:rPr>
          <w:rFonts w:ascii="Arial" w:cs="Arial" w:eastAsia="Arial" w:hAnsi="Arial"/>
          <w:sz w:val="21"/>
          <w:szCs w:val="21"/>
          <w:color w:val="auto"/>
        </w:rPr>
      </w:pPr>
    </w:p>
    <w:p>
      <w:pPr>
        <w:jc w:val="both"/>
        <w:ind w:left="-460" w:firstLine="1292"/>
        <w:spacing w:after="0" w:line="257" w:lineRule="auto"/>
        <w:tabs>
          <w:tab w:leader="none" w:pos="1474" w:val="left"/>
        </w:tabs>
        <w:numPr>
          <w:ilvl w:val="0"/>
          <w:numId w:val="35"/>
        </w:numPr>
        <w:rPr>
          <w:rFonts w:ascii="Arial" w:cs="Arial" w:eastAsia="Arial" w:hAnsi="Arial"/>
          <w:sz w:val="19"/>
          <w:szCs w:val="19"/>
          <w:color w:val="auto"/>
        </w:rPr>
      </w:pPr>
      <w:r>
        <w:rPr>
          <w:rFonts w:ascii="Arial" w:cs="Arial" w:eastAsia="Arial" w:hAnsi="Arial"/>
          <w:sz w:val="19"/>
          <w:szCs w:val="19"/>
          <w:color w:val="auto"/>
        </w:rPr>
        <w:t>other non-cash charges and expenses reducing Consolidated Net Income (excluding any such non-cash item to the extent that it represents an accrual or reserve for potential cash items in any future period or amortization of a prepaid cash item that was paid in a prior period) including, without limitation, non-cash compensation expense in respect of stock option and incentive plans, impairment charges and other write offs of intangible assets and goodwill,</w:t>
      </w:r>
    </w:p>
    <w:p>
      <w:pPr>
        <w:spacing w:after="0" w:line="144" w:lineRule="exact"/>
        <w:rPr>
          <w:rFonts w:ascii="Arial" w:cs="Arial" w:eastAsia="Arial" w:hAnsi="Arial"/>
          <w:sz w:val="19"/>
          <w:szCs w:val="19"/>
          <w:color w:val="auto"/>
        </w:rPr>
      </w:pPr>
    </w:p>
    <w:p>
      <w:pPr>
        <w:jc w:val="both"/>
        <w:ind w:left="-460" w:firstLine="1292"/>
        <w:spacing w:after="0" w:line="214" w:lineRule="auto"/>
        <w:tabs>
          <w:tab w:leader="none" w:pos="1508"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non-capitalized costs in connection with financings, acquisitions, investments, dispositions, private or public offerings of equity securities or the establishment of joint ventures, in each case whether or not consummated;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amounts added to Consolidated Adjusted EBITDA pursuant to this clause (viii) and clauses (b)(v), (b) (vi)(B) and (b)(xiv) of the definition of Consolidated Adjusted EBITDA shall not, in the aggregate, exceed 20% of Consolidated Adjusted EBITDA for any relevant Test Period (calculated prior to any adjustments pursuant to such clauses),</w:t>
      </w:r>
    </w:p>
    <w:p>
      <w:pPr>
        <w:spacing w:after="0" w:line="158" w:lineRule="exact"/>
        <w:rPr>
          <w:rFonts w:ascii="Arial" w:cs="Arial" w:eastAsia="Arial" w:hAnsi="Arial"/>
          <w:sz w:val="22"/>
          <w:szCs w:val="22"/>
          <w:color w:val="auto"/>
        </w:rPr>
      </w:pPr>
    </w:p>
    <w:p>
      <w:pPr>
        <w:jc w:val="both"/>
        <w:ind w:left="-460" w:firstLine="1292"/>
        <w:spacing w:after="0" w:line="226" w:lineRule="auto"/>
        <w:tabs>
          <w:tab w:leader="none" w:pos="1530" w:val="left"/>
        </w:tabs>
        <w:numPr>
          <w:ilvl w:val="0"/>
          <w:numId w:val="35"/>
        </w:numPr>
        <w:rPr>
          <w:rFonts w:ascii="Arial" w:cs="Arial" w:eastAsia="Arial" w:hAnsi="Arial"/>
          <w:sz w:val="21"/>
          <w:szCs w:val="21"/>
          <w:color w:val="auto"/>
        </w:rPr>
      </w:pPr>
      <w:r>
        <w:rPr>
          <w:rFonts w:ascii="Arial" w:cs="Arial" w:eastAsia="Arial" w:hAnsi="Arial"/>
          <w:sz w:val="21"/>
          <w:szCs w:val="21"/>
          <w:color w:val="auto"/>
        </w:rPr>
        <w:t>fees and expenses incurred in connection with the consummation of the Transactions and any refinancing, extension, waiver, forbearance, amendment, restatement, amendment and restatement, supplement or other modification of the Loan Documents (in each case, whether or not consummated); provided that amounts added back under this clause (ix) in respect of costs, fees and expenses arising in connection with the Transactions shall not exceed $5,000,000 in the aggregate for the relevant Test Period,</w:t>
      </w:r>
    </w:p>
    <w:p>
      <w:pPr>
        <w:spacing w:after="0" w:line="159" w:lineRule="exact"/>
        <w:rPr>
          <w:rFonts w:ascii="Arial" w:cs="Arial" w:eastAsia="Arial" w:hAnsi="Arial"/>
          <w:sz w:val="21"/>
          <w:szCs w:val="21"/>
          <w:color w:val="auto"/>
        </w:rPr>
      </w:pPr>
    </w:p>
    <w:p>
      <w:pPr>
        <w:jc w:val="both"/>
        <w:ind w:left="-460" w:firstLine="1292"/>
        <w:spacing w:after="0" w:line="247" w:lineRule="auto"/>
        <w:tabs>
          <w:tab w:leader="none" w:pos="1401"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amount of any expense, charge or loss, in each case that is actually reimbursed or reasonably expected to be reimbursed within 365 days by third parties pursuant to indemnification or reimbursement provisions or similar agreements or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such amount is not so reimbursed or received (or if the amount reimbursed or received is less than the amount added back pursuant to this clause </w:t>
      </w:r>
      <w:r>
        <w:rPr>
          <w:rFonts w:ascii="Arial" w:cs="Arial" w:eastAsia="Arial" w:hAnsi="Arial"/>
          <w:sz w:val="19"/>
          <w:szCs w:val="19"/>
          <w:u w:val="single" w:color="auto"/>
          <w:color w:val="auto"/>
        </w:rPr>
        <w:t>(xi)</w:t>
      </w:r>
      <w:r>
        <w:rPr>
          <w:rFonts w:ascii="Arial" w:cs="Arial" w:eastAsia="Arial" w:hAnsi="Arial"/>
          <w:sz w:val="19"/>
          <w:szCs w:val="19"/>
          <w:color w:val="auto"/>
        </w:rPr>
        <w:t>) by the Borrower or its Subsidiaries within such 365-day period applicable thereto, then such amount (or unreimbursed portion of such amount) shall be subtracted in subsequent periods to the extent applicable and (y) any such amount shall not be included in any subsequent period in which such amount is actually reimbursed or received,</w:t>
      </w:r>
    </w:p>
    <w:p>
      <w:pPr>
        <w:sectPr>
          <w:pgSz w:w="11900" w:h="16838" w:orient="portrait"/>
          <w:cols w:equalWidth="0" w:num="1">
            <w:col w:w="10120"/>
          </w:cols>
          <w:pgMar w:left="1440" w:top="1440" w:right="339" w:bottom="1440" w:gutter="0" w:footer="0" w:header="0"/>
        </w:sectPr>
      </w:pPr>
    </w:p>
    <w:bookmarkStart w:id="66" w:name="page67"/>
    <w:bookmarkEnd w:id="66"/>
    <w:p>
      <w:pPr>
        <w:spacing w:after="0" w:line="177" w:lineRule="exact"/>
        <w:rPr>
          <w:sz w:val="20"/>
          <w:szCs w:val="20"/>
          <w:color w:val="auto"/>
        </w:rPr>
      </w:pPr>
    </w:p>
    <w:p>
      <w:pPr>
        <w:jc w:val="both"/>
        <w:ind w:left="-460" w:firstLine="1292"/>
        <w:spacing w:after="0" w:line="218" w:lineRule="auto"/>
        <w:tabs>
          <w:tab w:leader="none" w:pos="1611"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cost, expense or other charge (including any legal fees and expenses) associated with investigations by Governmental Authorities, any litigation or as a result of the Inaccurate Information (including in connection with the restatement of historical financial statements) or payment of any actual legal settlement, fine, judgment or order in respect of the foregoing,</w:t>
      </w:r>
    </w:p>
    <w:p>
      <w:pPr>
        <w:spacing w:after="0" w:line="160" w:lineRule="exact"/>
        <w:rPr>
          <w:rFonts w:ascii="Arial" w:cs="Arial" w:eastAsia="Arial" w:hAnsi="Arial"/>
          <w:sz w:val="22"/>
          <w:szCs w:val="22"/>
          <w:color w:val="auto"/>
        </w:rPr>
      </w:pPr>
    </w:p>
    <w:p>
      <w:pPr>
        <w:jc w:val="both"/>
        <w:ind w:left="-460" w:firstLine="1292"/>
        <w:spacing w:after="0" w:line="218" w:lineRule="auto"/>
        <w:tabs>
          <w:tab w:leader="none" w:pos="1562" w:val="left"/>
        </w:tabs>
        <w:numPr>
          <w:ilvl w:val="0"/>
          <w:numId w:val="36"/>
        </w:numPr>
        <w:rPr>
          <w:rFonts w:ascii="Arial" w:cs="Arial" w:eastAsia="Arial" w:hAnsi="Arial"/>
          <w:sz w:val="22"/>
          <w:szCs w:val="22"/>
          <w:color w:val="auto"/>
        </w:rPr>
      </w:pPr>
      <w:r>
        <w:rPr>
          <w:rFonts w:ascii="Arial" w:cs="Arial" w:eastAsia="Arial" w:hAnsi="Arial"/>
          <w:sz w:val="22"/>
          <w:szCs w:val="22"/>
          <w:color w:val="auto"/>
        </w:rPr>
        <w:t>cash receipts (or any netting arrangements resulting in reduced cash expenses) not included in Consolidated Adjusted EBITDA in any period solely to the extent that the corresponding non-cash gains relating to such receipts were deducted in the calculation of Consolidated Adjusted EBITDA pursuant to paragraph (c)(i) below for any previous period and not added back,</w:t>
      </w:r>
    </w:p>
    <w:p>
      <w:pPr>
        <w:spacing w:after="0" w:line="160" w:lineRule="exact"/>
        <w:rPr>
          <w:rFonts w:ascii="Arial" w:cs="Arial" w:eastAsia="Arial" w:hAnsi="Arial"/>
          <w:sz w:val="22"/>
          <w:szCs w:val="22"/>
          <w:color w:val="auto"/>
        </w:rPr>
      </w:pPr>
    </w:p>
    <w:p>
      <w:pPr>
        <w:jc w:val="both"/>
        <w:ind w:left="-460" w:firstLine="1292"/>
        <w:spacing w:after="0" w:line="223" w:lineRule="auto"/>
        <w:tabs>
          <w:tab w:leader="none" w:pos="15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amounts of indemnities and expense reimbursement paid or accrued to directors and officers, in each case during such period, including payment for directors and officers insurance policies in an amount not to exceed $1,500,000 in the aggregate;</w:t>
      </w:r>
    </w:p>
    <w:p>
      <w:pPr>
        <w:spacing w:after="0" w:line="158" w:lineRule="exact"/>
        <w:rPr>
          <w:rFonts w:ascii="Arial" w:cs="Arial" w:eastAsia="Arial" w:hAnsi="Arial"/>
          <w:sz w:val="22"/>
          <w:szCs w:val="22"/>
          <w:color w:val="auto"/>
        </w:rPr>
      </w:pPr>
    </w:p>
    <w:p>
      <w:pPr>
        <w:jc w:val="both"/>
        <w:ind w:left="-460" w:firstLine="1292"/>
        <w:spacing w:after="0" w:line="241" w:lineRule="auto"/>
        <w:tabs>
          <w:tab w:leader="none" w:pos="1484"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amount of net cost savings and operating expense reductions projected by the Borrower in good faith (calculated on a pro forma basis as though such items had been realized on the first day of such period) as a result of actual actions taken prior to the last day of the applicable Test Period in connection with any acquisition, investment, disposition, unit opening or closing or restructuring or cost savings initiative by the Borrower or any of its Subsidiaries, net of the amount of actual benefits realized during such period that are otherwise included in the calculation of Consolidated Adjusted EBITDA from such actions, and only to the extent that the same have been realized or are reasonably expected to be realized within twelve (12) months of the related acquisition, investment, disposition or restructuring or cost-savings initiative;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 Authorized Officer of Borrower shall have provided a reasonably detailed statement or schedule of such cost savings and operating expense reductions and shall have certified to the Administrative Agent that (x) such cost savings are reasonably identifiable, reasonably attributable to the actions specified and reasonably anticipated to result from such actions and (y) such actions have been taken and are ongoing, and the benefits resulting therefrom are anticipated by Borrower to be realized within twelve (12) months of the end of such Test Period and (B) the amounts added to Consolidated Adjusted EBITDA pursuant to this clause (xiv) and clauses (b)(v), (b)(vi)(B) and (b)(viii) of the definition of Consolidated Adjusted EBITDA shall not, in the aggregate, exceed 20% of Consolidated Adjusted EBITDA for any relevant Test Period (calculated prior to any adjustments pursuant to such clauses),</w:t>
      </w:r>
    </w:p>
    <w:p>
      <w:pPr>
        <w:spacing w:after="0" w:line="381" w:lineRule="exact"/>
        <w:rPr>
          <w:rFonts w:ascii="Arial" w:cs="Arial" w:eastAsia="Arial" w:hAnsi="Arial"/>
          <w:sz w:val="19"/>
          <w:szCs w:val="19"/>
          <w:color w:val="auto"/>
        </w:rPr>
      </w:pPr>
    </w:p>
    <w:p>
      <w:pPr>
        <w:jc w:val="both"/>
        <w:ind w:left="-460" w:firstLine="1292"/>
        <w:spacing w:after="0" w:line="216" w:lineRule="auto"/>
        <w:tabs>
          <w:tab w:leader="none" w:pos="141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(A) non-cash costs incurred by the Consolidated Companies pursuant to any management equity or equity-based plan or stock option plan or any other management or employee benefit plan or agreement or any stock subscription or stockholders agreement, and (B) cash costs in respect thereto, in the case of this clause (B), to the extent such costs or expenses are funded with net cash proceeds of an issuance of Capital Stock (but not Disqualified Capital Stock) of the Borrower, and</w:t>
      </w:r>
    </w:p>
    <w:p>
      <w:pPr>
        <w:spacing w:after="0" w:line="157" w:lineRule="exact"/>
        <w:rPr>
          <w:rFonts w:ascii="Arial" w:cs="Arial" w:eastAsia="Arial" w:hAnsi="Arial"/>
          <w:sz w:val="22"/>
          <w:szCs w:val="22"/>
          <w:color w:val="auto"/>
        </w:rPr>
      </w:pPr>
    </w:p>
    <w:p>
      <w:pPr>
        <w:jc w:val="both"/>
        <w:ind w:left="-460" w:firstLine="1292"/>
        <w:spacing w:after="0" w:line="216" w:lineRule="auto"/>
        <w:tabs>
          <w:tab w:leader="none" w:pos="1519"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accruals and reserves that are established or adjusted (A) within 12 months after the Closing Date and that are so required to be established or adjusted in accordance with GAAP or (B) after the closing of any acquisition that are so required as a result of such acquisition in accordance with GAAP, or changes as a result of the adoption or modification of accounting policies, whether effected through a cumulative effect adjustment, restatement or a retroactive application; </w:t>
      </w:r>
      <w:r>
        <w:rPr>
          <w:rFonts w:ascii="Arial" w:cs="Arial" w:eastAsia="Arial" w:hAnsi="Arial"/>
          <w:sz w:val="22"/>
          <w:szCs w:val="22"/>
          <w:u w:val="single" w:color="auto"/>
          <w:color w:val="auto"/>
        </w:rPr>
        <w:t>minus</w:t>
      </w:r>
    </w:p>
    <w:p>
      <w:pPr>
        <w:sectPr>
          <w:pgSz w:w="11900" w:h="16838" w:orient="portrait"/>
          <w:cols w:equalWidth="0" w:num="1">
            <w:col w:w="10120"/>
          </w:cols>
          <w:pgMar w:left="1440" w:top="1440" w:right="339" w:bottom="1440" w:gutter="0" w:footer="0" w:header="0"/>
        </w:sectPr>
      </w:pPr>
    </w:p>
    <w:bookmarkStart w:id="67" w:name="page68"/>
    <w:bookmarkEnd w:id="67"/>
    <w:p>
      <w:pPr>
        <w:spacing w:after="0" w:line="177" w:lineRule="exact"/>
        <w:rPr>
          <w:sz w:val="20"/>
          <w:szCs w:val="20"/>
          <w:color w:val="auto"/>
        </w:rPr>
      </w:pPr>
    </w:p>
    <w:p>
      <w:pPr>
        <w:ind w:left="1760" w:hanging="456"/>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the extent increasing Consolidated Net Income, the sum of, without duplication:</w:t>
      </w:r>
    </w:p>
    <w:p>
      <w:pPr>
        <w:spacing w:after="0" w:line="179" w:lineRule="exact"/>
        <w:rPr>
          <w:rFonts w:ascii="Arial" w:cs="Arial" w:eastAsia="Arial" w:hAnsi="Arial"/>
          <w:sz w:val="22"/>
          <w:szCs w:val="22"/>
          <w:color w:val="auto"/>
        </w:rPr>
      </w:pPr>
    </w:p>
    <w:p>
      <w:pPr>
        <w:jc w:val="both"/>
        <w:ind w:left="660" w:firstLine="1292"/>
        <w:spacing w:after="0" w:line="223" w:lineRule="auto"/>
        <w:tabs>
          <w:tab w:leader="none" w:pos="2395" w:val="left"/>
        </w:tabs>
        <w:numPr>
          <w:ilvl w:val="1"/>
          <w:numId w:val="37"/>
        </w:numPr>
        <w:rPr>
          <w:rFonts w:ascii="Arial" w:cs="Arial" w:eastAsia="Arial" w:hAnsi="Arial"/>
          <w:sz w:val="22"/>
          <w:szCs w:val="22"/>
          <w:color w:val="auto"/>
        </w:rPr>
      </w:pPr>
      <w:r>
        <w:rPr>
          <w:rFonts w:ascii="Arial" w:cs="Arial" w:eastAsia="Arial" w:hAnsi="Arial"/>
          <w:sz w:val="22"/>
          <w:szCs w:val="22"/>
          <w:color w:val="auto"/>
        </w:rPr>
        <w:t>amounts for other non-cash gains increasing Consolidated Net Income for such period (excluding any such non-cash item to the extent it represents the reversal of an accrual or reserve for potential cash item in any prior period); and</w:t>
      </w:r>
    </w:p>
    <w:p>
      <w:pPr>
        <w:spacing w:after="0" w:line="158" w:lineRule="exact"/>
        <w:rPr>
          <w:rFonts w:ascii="Arial" w:cs="Arial" w:eastAsia="Arial" w:hAnsi="Arial"/>
          <w:sz w:val="22"/>
          <w:szCs w:val="22"/>
          <w:color w:val="auto"/>
        </w:rPr>
      </w:pPr>
    </w:p>
    <w:p>
      <w:pPr>
        <w:ind w:left="2440" w:hanging="488"/>
        <w:spacing w:after="0"/>
        <w:tabs>
          <w:tab w:leader="none" w:pos="2440" w:val="left"/>
        </w:tabs>
        <w:numPr>
          <w:ilvl w:val="1"/>
          <w:numId w:val="37"/>
        </w:numPr>
        <w:rPr>
          <w:rFonts w:ascii="Arial" w:cs="Arial" w:eastAsia="Arial" w:hAnsi="Arial"/>
          <w:sz w:val="22"/>
          <w:szCs w:val="22"/>
          <w:color w:val="auto"/>
        </w:rPr>
      </w:pPr>
      <w:r>
        <w:rPr>
          <w:rFonts w:ascii="Arial" w:cs="Arial" w:eastAsia="Arial" w:hAnsi="Arial"/>
          <w:sz w:val="22"/>
          <w:szCs w:val="22"/>
          <w:color w:val="auto"/>
        </w:rPr>
        <w:t>extraordinary, unusual or non-recurring gains received during the specified period.</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Consolidated Adjusted EBITDA for each of the following periods set forth below shall be as set forth opposite such period, but in each case subject to approval by the Administrative Agent (in its reasonable discretion) of the manner in which such amounts were calculated: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Historical Consolidated Adjusted EBITDA figures:</w:t>
      </w:r>
    </w:p>
    <w:p>
      <w:pPr>
        <w:spacing w:after="0" w:line="221" w:lineRule="exact"/>
        <w:rPr>
          <w:sz w:val="20"/>
          <w:szCs w:val="20"/>
          <w:color w:val="auto"/>
        </w:rPr>
      </w:pPr>
    </w:p>
    <w:tbl>
      <w:tblPr>
        <w:tblLayout w:type="fixed"/>
        <w:tblInd w:w="1470" w:type="dxa"/>
        <w:tblCellMar>
          <w:top w:w="0" w:type="dxa"/>
          <w:left w:w="0" w:type="dxa"/>
          <w:bottom w:w="0" w:type="dxa"/>
          <w:right w:w="0" w:type="dxa"/>
        </w:tblCellMar>
      </w:tblPr>
      <w:tr>
        <w:trPr>
          <w:trHeight w:val="320"/>
        </w:trPr>
        <w:tc>
          <w:tcPr>
            <w:tcW w:w="4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Fiscal Quarter ended September 30, 2019</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$7,500,000</w:t>
            </w:r>
          </w:p>
        </w:tc>
      </w:tr>
      <w:tr>
        <w:trPr>
          <w:trHeight w:val="30"/>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301"/>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Fiscal Quarter ended December 31, 2019</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$17,100,000</w:t>
            </w:r>
          </w:p>
        </w:tc>
      </w:tr>
      <w:tr>
        <w:trPr>
          <w:trHeight w:val="44"/>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r>
      <w:tr>
        <w:trPr>
          <w:trHeight w:val="301"/>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Fiscal Quarter ended March 31, 2020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$3,100,000</w:t>
            </w:r>
          </w:p>
        </w:tc>
      </w:tr>
      <w:tr>
        <w:trPr>
          <w:trHeight w:val="30"/>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Companies</w:t>
      </w:r>
      <w:r>
        <w:rPr>
          <w:rFonts w:ascii="Arial" w:cs="Arial" w:eastAsia="Arial" w:hAnsi="Arial"/>
          <w:sz w:val="22"/>
          <w:szCs w:val="22"/>
          <w:color w:val="auto"/>
        </w:rPr>
        <w:t>” means the Loan Parties and their Subsidiaries on a consolidated basis in accordance</w:t>
      </w:r>
    </w:p>
    <w:p>
      <w:pPr>
        <w:spacing w:after="0"/>
        <w:rPr>
          <w:sz w:val="20"/>
          <w:szCs w:val="20"/>
          <w:color w:val="auto"/>
        </w:rPr>
      </w:pPr>
      <w:r>
        <w:rPr>
          <w:rFonts w:ascii="Arial" w:cs="Arial" w:eastAsia="Arial" w:hAnsi="Arial"/>
          <w:sz w:val="22"/>
          <w:szCs w:val="22"/>
          <w:color w:val="auto"/>
        </w:rPr>
        <w:t>with GAAP.</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for the Consolidated Companies, the sum of all interest (net of interest income) in respect of Indebtedness (including, without limitation, the interest component of any payments in respect of Capitalized Lease Obligations) accrued or capitalized during such period (whether or not actually paid during such period) and any commitment fees in respect of such Indebtedness, including, without limitation, the Unused DDTL Commitment Fee.</w:t>
      </w:r>
    </w:p>
    <w:p>
      <w:pPr>
        <w:spacing w:after="0" w:line="14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specified period, the consolidated net income (or deficit) of the Consolidated Companies, after deduction of all expenses, taxes, and other proper charges, determined in accordance with past practice and in accordance with GAAP, after eliminating therefrom all extraordinary nonrecurring items of income or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 the income (or loss) of any Person in which any Person (other than any of the Consolidated Companies) has a joint interest, except to the extent of the amount of dividends or other distributions actually paid in cash to any of the Consolidated Companies by such Person during such specified period, (b) the income (or loss) of any Person accrued prior to the date it becomes a consolidated Subsidiary of any of the Consolidated Companies or is merged into or consolidated with any of the Consolidated Companies or such Person’s assets are acquired by any of the Consolidated Companies, (c) the income of any consolidated Subsidiary of any of the Consolidated Companies to the extent that the declaration or payment of dividends or other distributions by that consolidated Subsidiary of that income is not at the time permitted by operation of the terms of any Contractual Obligation or Applicable Law applicable to that consolidated Subsidiary, except to the extent of the amount of dividends or other distributions</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actually paid in cash to any of the Consolidated Companies by such Person during such specified period, (d) any restoration to income of any contingency reserve, except to the extent that provision for such reserve was made out of income accrued during such period, (e) any gain attributable to the write-up of any asset and any loss attributable to the write-down of any asset; (f) any net gain from the collection of the proceeds of life insurance policies, (g) any net gain arising from the acquisition of any securities, or the extinguishment, under GAAP, of any Indebtedness, of any of the Consolidated Companies, (h) in the case of a successor to any consolidated Subsidiary of any of the Consolidated Companies by consolidation or merger or as a transferee of its assets, any earnings of such successor prior to such consolidation, merger or transfer of asset (unless such successor was a consolidated Subsidiary of any of the Consolidated Companies prior to such consolidation, merger or transfer), (i) any deferred credit representing the excess of equity in any consolidated Subsidiary of any of the Consolidated Companies at the date of acquisition of such consolidated Subsidiary over the cost to the Consolidated Companies of the investment in such Subsidiary, (j) the cumulative effect of any change in GAAP during such period, and (k) any noncash FASB ASC 815 income (or loss) related to hedging activities.</w:t>
      </w:r>
    </w:p>
    <w:p>
      <w:pPr>
        <w:spacing w:after="0" w:line="3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0000FF"/>
        </w:rPr>
        <w:t>“Consolidated Total Assets” shall mean, for any Test Period, all amounts that would, in conformity with GAAP, be set forth opposite the caption “total assets” (or any like caption) on a consolidated balance sheet of the applicable Person at such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Ineligible Product Revenue</w:t>
      </w:r>
      <w:r>
        <w:rPr>
          <w:rFonts w:ascii="Arial" w:cs="Arial" w:eastAsia="Arial" w:hAnsi="Arial"/>
          <w:sz w:val="19"/>
          <w:szCs w:val="19"/>
          <w:color w:val="auto"/>
        </w:rPr>
        <w:t>” shall mean, for any Test Period, the gross revenue of the Borrower and its Subsidiaries from the sale of Ineligible Products during such Test Period, determined on a consolidated basis in accordance with GAAP (it being understood and agreed that if a Product constituted an Ineligible Product for only a portion of such Test Period, only the gross revenue from the sale of such Ineligible Product during the time such Product was an Ineligible Product during such Test Period shall constitute “Consolidated Total Ineligible Product Revenue”).</w:t>
      </w:r>
    </w:p>
    <w:p>
      <w:pPr>
        <w:spacing w:after="0" w:line="14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Net Sales</w:t>
      </w:r>
      <w:r>
        <w:rPr>
          <w:rFonts w:ascii="Arial" w:cs="Arial" w:eastAsia="Arial" w:hAnsi="Arial"/>
          <w:sz w:val="22"/>
          <w:szCs w:val="22"/>
          <w:color w:val="auto"/>
        </w:rPr>
        <w:t xml:space="preserve">” shall mean, for any Test Period, (i) Consolidated Total Revenue for such Test Period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sum of (x) Consolidated Total Net Sales Deductions for such Test Period and (y) Consolidated Total Ineligible Product Revenue for such Test Period.</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Net Sales Deductions</w:t>
      </w:r>
      <w:r>
        <w:rPr>
          <w:rFonts w:ascii="Arial" w:cs="Arial" w:eastAsia="Arial" w:hAnsi="Arial"/>
          <w:sz w:val="21"/>
          <w:szCs w:val="21"/>
          <w:color w:val="auto"/>
        </w:rPr>
        <w:t>” shall mean, for any Test Period, the sum of the following expenses of the Borrower and its Subsidiaries on a consolidated basis, in each case attributable to the sale of any Product in such Test Period, as accrued (or as would be accrued) on financial statements prepared in accordance with GAAP: (a) billbacks, chargebacks, customer adjustments (including payment discounts and customer pricing), channel or trade discounts, quantity, cash discounts, off invoice discounts, government and other third-party rebates with respect to such Product; (b) cash returns, cash refunds, allowances or credits, including those in respect of rejection, defects, damaged item credits, sales returns, retroactive price reductions, shelf-stock adjustments, invoice errors, and replacement costs with respect to such Product; (c) Group Purchasing Organization (GPO) fees, including performance allowances and volume incentives; and (d) such other discounts and other deductions customary in the trade.</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Revenue</w:t>
      </w:r>
      <w:r>
        <w:rPr>
          <w:rFonts w:ascii="Arial" w:cs="Arial" w:eastAsia="Arial" w:hAnsi="Arial"/>
          <w:sz w:val="19"/>
          <w:szCs w:val="19"/>
          <w:color w:val="auto"/>
        </w:rPr>
        <w:t xml:space="preserve"> ” shall mean, for any Test Period, the gross revenue of the Borrower and its Subsidiaries from the sale of Products during such Test Period, determined on a consolidated basis in accordance with GAAP.</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Working Capital</w:t>
      </w:r>
      <w:r>
        <w:rPr>
          <w:rFonts w:ascii="Arial" w:cs="Arial" w:eastAsia="Arial" w:hAnsi="Arial"/>
          <w:sz w:val="22"/>
          <w:szCs w:val="22"/>
          <w:color w:val="auto"/>
        </w:rPr>
        <w:t>” means, as of any date of determination, the excess of (a) the sum of all amounts (other than cash and current tax assets) that would, in conformity with GAAP, be set forth opposite the caption “total current assets” (or any like</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caption) on a consolidated balance sheet of the Consolidated Companies at such date over (b) the sum of all amounts that would, in conformity with GAAP, be set forth opposite the caption “total current liabilities” (or any like caption) on a consolidated balance sheet of the Consolidated Companies on such date, including deferred revenue but excluding, without duplication, (i) the current portion of any Indebtedness, (ii) all Indebtedness consisting of the Loans to the extent otherwise included therein, (iii) the current portion of interest and (iv) the current portion of current and deferred income Taxes.</w:t>
      </w:r>
    </w:p>
    <w:p>
      <w:pPr>
        <w:spacing w:after="0" w:line="14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Liability</w:t>
      </w:r>
      <w:r>
        <w:rPr>
          <w:rFonts w:ascii="Arial" w:cs="Arial" w:eastAsia="Arial" w:hAnsi="Arial"/>
          <w:sz w:val="19"/>
          <w:szCs w:val="19"/>
          <w:color w:val="auto"/>
        </w:rPr>
        <w:t>” means, for any Person, any agreement, undertaking or arrangement by which such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Stock of any other Person. The amount of any Contingent Liability shall (subject to any limitation set forth therein) be determined in accordance with GAAP.</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means, as to any Person, any provision of any security issued by such Person, or any agreement, instrument, permit, license or other undertaking to which such Person is a party or by which such Person or any of its property is bound or subject.</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xml:space="preserve">”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definition, any Person which owns directly or indirectly ten percent (10%) or more of the Capital Stock having ordinary voting power for the election of directors or other members of the governing body of a Person, or ten percent (10%) or more of the Capital Stock of a Person (other than as a limited partner of such Person) shall be deemed an Affiliate of such Person. The terms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160"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Agreements</w:t>
      </w:r>
      <w:r>
        <w:rPr>
          <w:rFonts w:ascii="Arial" w:cs="Arial" w:eastAsia="Arial" w:hAnsi="Arial"/>
          <w:sz w:val="22"/>
          <w:szCs w:val="22"/>
          <w:color w:val="auto"/>
        </w:rPr>
        <w:t>” means any copyright security agreement entered into on or after the Closing Date (as required by this Loan Agreement or any other Loan Document), in each case as amended, supplemented or otherwise modified, renewed or replaced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172" w:lineRule="exact"/>
        <w:rPr>
          <w:sz w:val="20"/>
          <w:szCs w:val="20"/>
          <w:color w:val="auto"/>
        </w:rPr>
      </w:pPr>
    </w:p>
    <w:p>
      <w:pPr>
        <w:ind w:left="2500" w:hanging="548"/>
        <w:spacing w:after="0"/>
        <w:tabs>
          <w:tab w:leader="none" w:pos="2500" w:val="left"/>
        </w:tabs>
        <w:numPr>
          <w:ilvl w:val="0"/>
          <w:numId w:val="38"/>
        </w:numPr>
        <w:rPr>
          <w:rFonts w:ascii="Arial" w:cs="Arial" w:eastAsia="Arial" w:hAnsi="Arial"/>
          <w:sz w:val="21"/>
          <w:szCs w:val="21"/>
          <w:color w:val="auto"/>
        </w:rPr>
      </w:pPr>
      <w:r>
        <w:rPr>
          <w:rFonts w:ascii="Arial" w:cs="Arial" w:eastAsia="Arial" w:hAnsi="Arial"/>
          <w:sz w:val="21"/>
          <w:szCs w:val="21"/>
          <w:color w:val="FF0000"/>
          <w:strike w:val="1"/>
        </w:rPr>
        <w:t>(i)</w:t>
      </w:r>
      <w:r>
        <w:rPr>
          <w:rFonts w:ascii="Arial" w:cs="Arial" w:eastAsia="Arial" w:hAnsi="Arial"/>
          <w:sz w:val="21"/>
          <w:szCs w:val="21"/>
          <w:color w:val="FF0000"/>
        </w:rPr>
        <w:t xml:space="preserve"> </w:t>
      </w:r>
      <w:r>
        <w:rPr>
          <w:rFonts w:ascii="Arial" w:cs="Arial" w:eastAsia="Arial" w:hAnsi="Arial"/>
          <w:sz w:val="21"/>
          <w:szCs w:val="21"/>
          <w:color w:val="000000"/>
        </w:rPr>
        <w:t>a “covered entity” as that term is defined in, and interpreted in accordance with, 12 C.F.R. §</w:t>
      </w:r>
    </w:p>
    <w:p>
      <w:pPr>
        <w:ind w:left="660"/>
        <w:spacing w:after="0"/>
        <w:rPr>
          <w:sz w:val="20"/>
          <w:szCs w:val="20"/>
          <w:color w:val="auto"/>
        </w:rPr>
      </w:pPr>
      <w:r>
        <w:rPr>
          <w:rFonts w:ascii="Arial" w:cs="Arial" w:eastAsia="Arial" w:hAnsi="Arial"/>
          <w:sz w:val="22"/>
          <w:szCs w:val="22"/>
          <w:color w:val="auto"/>
        </w:rPr>
        <w:t>252.82(b);</w:t>
      </w:r>
    </w:p>
    <w:p>
      <w:pPr>
        <w:spacing w:after="0" w:line="161" w:lineRule="exact"/>
        <w:rPr>
          <w:sz w:val="20"/>
          <w:szCs w:val="20"/>
          <w:color w:val="auto"/>
        </w:rPr>
      </w:pPr>
    </w:p>
    <w:p>
      <w:pPr>
        <w:ind w:left="2560" w:hanging="608"/>
        <w:spacing w:after="0"/>
        <w:tabs>
          <w:tab w:leader="none" w:pos="2560" w:val="left"/>
        </w:tabs>
        <w:numPr>
          <w:ilvl w:val="0"/>
          <w:numId w:val="39"/>
        </w:numPr>
        <w:rPr>
          <w:rFonts w:ascii="Arial" w:cs="Arial" w:eastAsia="Arial" w:hAnsi="Arial"/>
          <w:sz w:val="19"/>
          <w:szCs w:val="19"/>
          <w:color w:val="auto"/>
        </w:rPr>
      </w:pPr>
      <w:r>
        <w:rPr>
          <w:rFonts w:ascii="Arial" w:cs="Arial" w:eastAsia="Arial" w:hAnsi="Arial"/>
          <w:sz w:val="19"/>
          <w:szCs w:val="19"/>
          <w:color w:val="FF0000"/>
          <w:strike w:val="1"/>
        </w:rPr>
        <w:t>(ii)</w:t>
      </w:r>
      <w:r>
        <w:rPr>
          <w:rFonts w:ascii="Arial" w:cs="Arial" w:eastAsia="Arial" w:hAnsi="Arial"/>
          <w:sz w:val="19"/>
          <w:szCs w:val="19"/>
          <w:color w:val="FF0000"/>
        </w:rPr>
        <w:t xml:space="preserve"> </w:t>
      </w:r>
      <w:r>
        <w:rPr>
          <w:rFonts w:ascii="Arial" w:cs="Arial" w:eastAsia="Arial" w:hAnsi="Arial"/>
          <w:sz w:val="19"/>
          <w:szCs w:val="19"/>
          <w:color w:val="000000"/>
        </w:rPr>
        <w:t>a “covered bank” as that term is defined in, and interpreted in accordance with, 12 C.F.R. §</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47.3(b); or</w:t>
      </w:r>
    </w:p>
    <w:p>
      <w:pPr>
        <w:spacing w:after="0" w:line="161" w:lineRule="exact"/>
        <w:rPr>
          <w:sz w:val="20"/>
          <w:szCs w:val="20"/>
          <w:color w:val="auto"/>
        </w:rPr>
      </w:pPr>
    </w:p>
    <w:p>
      <w:pPr>
        <w:ind w:left="2600" w:hanging="648"/>
        <w:spacing w:after="0"/>
        <w:tabs>
          <w:tab w:leader="none" w:pos="2600" w:val="left"/>
        </w:tabs>
        <w:numPr>
          <w:ilvl w:val="0"/>
          <w:numId w:val="40"/>
        </w:numPr>
        <w:rPr>
          <w:rFonts w:ascii="Arial" w:cs="Arial" w:eastAsia="Arial" w:hAnsi="Arial"/>
          <w:sz w:val="19"/>
          <w:szCs w:val="19"/>
          <w:color w:val="auto"/>
        </w:rPr>
      </w:pPr>
      <w:r>
        <w:rPr>
          <w:rFonts w:ascii="Arial" w:cs="Arial" w:eastAsia="Arial" w:hAnsi="Arial"/>
          <w:sz w:val="19"/>
          <w:szCs w:val="19"/>
          <w:color w:val="FF0000"/>
          <w:strike w:val="1"/>
        </w:rPr>
        <w:t>(iii)</w:t>
      </w:r>
      <w:r>
        <w:rPr>
          <w:rFonts w:ascii="Arial" w:cs="Arial" w:eastAsia="Arial" w:hAnsi="Arial"/>
          <w:sz w:val="19"/>
          <w:szCs w:val="19"/>
          <w:color w:val="FF0000"/>
        </w:rPr>
        <w:t xml:space="preserve"> </w:t>
      </w:r>
      <w:r>
        <w:rPr>
          <w:rFonts w:ascii="Arial" w:cs="Arial" w:eastAsia="Arial" w:hAnsi="Arial"/>
          <w:sz w:val="19"/>
          <w:szCs w:val="19"/>
          <w:color w:val="000000"/>
        </w:rPr>
        <w:t>a “covered FSI” as that term is defined in, and interpreted in accordance with, 12 C.F.R. §</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382.2(b).</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Customer</w:t>
      </w:r>
      <w:r>
        <w:rPr>
          <w:rFonts w:ascii="Arial" w:cs="Arial" w:eastAsia="Arial" w:hAnsi="Arial"/>
          <w:sz w:val="22"/>
          <w:szCs w:val="22"/>
          <w:color w:val="auto"/>
        </w:rPr>
        <w:t>” means and includes the account debtor with respect to any Account and/or the prospective purchaser of goods, services or both with respect to any contract or contract right, and/or any party who enters into or proposes to enter into any contract or other arrangement with a Person, pursuant to which such Person is to deliver any personal property or perform any services.</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DACA Compliance Date</w:t>
      </w:r>
      <w:r>
        <w:rPr>
          <w:rFonts w:ascii="Arial" w:cs="Arial" w:eastAsia="Arial" w:hAnsi="Arial"/>
          <w:sz w:val="22"/>
          <w:szCs w:val="22"/>
          <w:color w:val="auto"/>
        </w:rPr>
        <w:t>” means the earlier of (i) the first date a deposit account of any Loan Party is subject to an Account Control Agreement and (ii) thirty (30) days after the Closing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DDTL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DDTL Commitment</w:t>
      </w:r>
      <w:r>
        <w:rPr>
          <w:rFonts w:ascii="Arial" w:cs="Arial" w:eastAsia="Arial" w:hAnsi="Arial"/>
          <w:sz w:val="22"/>
          <w:szCs w:val="22"/>
          <w:color w:val="auto"/>
        </w:rPr>
        <w:t xml:space="preserve">” means, in the case of each DDTL Lender as of the date hereof, the amount set forth opposite such DDTL Lender’s name on </w:t>
      </w:r>
      <w:r>
        <w:rPr>
          <w:rFonts w:ascii="Arial" w:cs="Arial" w:eastAsia="Arial" w:hAnsi="Arial"/>
          <w:sz w:val="22"/>
          <w:szCs w:val="22"/>
          <w:u w:val="single" w:color="auto"/>
          <w:color w:val="auto"/>
        </w:rPr>
        <w:t>Schedule 1.01</w:t>
      </w:r>
      <w:r>
        <w:rPr>
          <w:rFonts w:ascii="Arial" w:cs="Arial" w:eastAsia="Arial" w:hAnsi="Arial"/>
          <w:sz w:val="22"/>
          <w:szCs w:val="22"/>
          <w:color w:val="auto"/>
        </w:rPr>
        <w:t xml:space="preserve"> under the heading “</w:t>
      </w:r>
      <w:r>
        <w:rPr>
          <w:rFonts w:ascii="Arial" w:cs="Arial" w:eastAsia="Arial" w:hAnsi="Arial"/>
          <w:sz w:val="22"/>
          <w:szCs w:val="22"/>
          <w:u w:val="single" w:color="auto"/>
          <w:color w:val="auto"/>
        </w:rPr>
        <w:t>DDTL Commitment</w:t>
      </w:r>
      <w:r>
        <w:rPr>
          <w:rFonts w:ascii="Arial" w:cs="Arial" w:eastAsia="Arial" w:hAnsi="Arial"/>
          <w:sz w:val="22"/>
          <w:szCs w:val="22"/>
          <w:color w:val="auto"/>
        </w:rPr>
        <w:t>”, as the same may be changed from time to time pursuant to the terms 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DDTL Commitment Expiration Date</w:t>
      </w:r>
      <w:r>
        <w:rPr>
          <w:rFonts w:ascii="Arial" w:cs="Arial" w:eastAsia="Arial" w:hAnsi="Arial"/>
          <w:sz w:val="22"/>
          <w:szCs w:val="22"/>
          <w:color w:val="auto"/>
        </w:rPr>
        <w:t>” means June 30, 2021</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DDTL Lender</w:t>
      </w:r>
      <w:r>
        <w:rPr>
          <w:rFonts w:ascii="Arial" w:cs="Arial" w:eastAsia="Arial" w:hAnsi="Arial"/>
          <w:sz w:val="22"/>
          <w:szCs w:val="22"/>
          <w:color w:val="auto"/>
        </w:rPr>
        <w:t>” means any Lender with DDTL Commitment or an outstanding DDTL.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act or condition that, with notice or lapse of time, or both, would constitute an Event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of Default.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fund any portion of the Loans required to be funded by it hereunder within five () Business Days of the date required to be funded by it hereunder, (b) has otherwise failed to pay over to the Administrative Agent or any Lender any other amount required to be paid by it hereunder within five (5) Business Days of the date when due, (c) has notified the Borrower, the Administrative Agent or any Lender in writing that it does not intend to comply with its funding obligations hereunder, or generally under other agreements in which it commits to extend credit, or has made a public statement to that effect, (d) has failed, within three (3) Business Days after written request by the Administrative Agent or the Borrower, to confirm in writing to the Administrative Agent and the Borrower, in a manner reasonably satisfactory to the Administrative Agent or the Borrower, as applicable, that it will comply with its prospective funding obligations hereunder (provided that such Lender shall cease to be a Defaulting Lender pursuant to this clause (d) upon receipt of such written confirmation by the Administrative Agent and the Borrower) or (e) has, or has a direct or indirect parent company that has, (i) become the subject of an Insolvency Proceeding or a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(e) above shall be conclusive and binding absent manifest error, and such Lender shall be deemed to be a Defaulting Lender upon delivery of written notice of such determination to the Borrower and each Lender; provided that, for the avoidance of doubt, such a determination by the Administrative Agent shall not be required for a Lender to constitute a Defaulting Lender.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“Designated Japanese Subsidiary” means MiMedx Japan, Godo Kaisha.</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7"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u w:val="single" w:color="auto"/>
          <w:color w:val="0000FF"/>
        </w:rPr>
        <w:t>“Designated Japanese Subsidiary Total Ineligible Product Revenue” shall mean, for any Test Period, the gross revenue of the Designated Japanese Subsidiary from the sale of Ineligible Products during such Test Period, determined in accordance with GAAP (it being understood and agreed that if a Product constituted an Ineligible Product for only a portion of such Test Period, only the gross revenue from the sale of such Ineligible Product during the time such Product was an Ineligible Product during such Test Period shall constitute “Designated Japanese Subsidiary Total Ineligible Product Revenue”).</w:t>
      </w:r>
    </w:p>
    <w:p>
      <w:pPr>
        <w:spacing w:after="0" w:line="14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0000FF"/>
        </w:rPr>
        <w:t xml:space="preserve">“Designated Japanese Subsidiary Total Net Sales” shall mean, for any Test Period, (i) Designated Japanese Subsidiary Total Revenue for such Test Period </w:t>
      </w:r>
      <w:r>
        <w:rPr>
          <w:rFonts w:ascii="Arial" w:cs="Arial" w:eastAsia="Arial" w:hAnsi="Arial"/>
          <w:sz w:val="19"/>
          <w:szCs w:val="19"/>
          <w:i w:val="1"/>
          <w:iCs w:val="1"/>
          <w:u w:val="single" w:color="auto"/>
          <w:color w:val="0000FF"/>
        </w:rPr>
        <w:t>minus</w:t>
      </w:r>
      <w:r>
        <w:rPr>
          <w:rFonts w:ascii="Arial" w:cs="Arial" w:eastAsia="Arial" w:hAnsi="Arial"/>
          <w:sz w:val="19"/>
          <w:szCs w:val="19"/>
          <w:u w:val="single" w:color="auto"/>
          <w:color w:val="0000FF"/>
        </w:rPr>
        <w:t xml:space="preserve"> (ii) the sum of (x) Designated Japanese Subsidiary Total Net Sales Deductions for such Test Period and (y) Designated Japanese Subsidiary Total Ineligible Product Revenue for such Test Period.</w:t>
      </w:r>
    </w:p>
    <w:p>
      <w:pPr>
        <w:spacing w:after="0" w:line="13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u w:val="single" w:color="auto"/>
          <w:color w:val="0000FF"/>
        </w:rPr>
        <w:t>“Designated Japanese Subsidiary Total Net Sales Deductions” shall mean, for any Test Period, the sum of the following expenses of the Designated Japanese Subsidiary, in each case attributable to the sale of any Product in such Test Period, as accrued (or as would be accrued) on financial statements prepared in accordance with GAAP: (a) billbacks, chargebacks, customer adjustments (including payment discounts and customer pricing), channel or trade discounts, quantity, cash discounts, off invoice discounts, government and other third-party rebates with respect to such Product; (b) cash returns, cash refunds, allowances or credits, including those in respect of rejection, defects, damaged item credits, sales returns, retroactive price reductions, shelf-stock adjustments, invoice errors, and replacement costs with respect to such Product; (c) Group Purchasing Organization (GPO) fees, including performance allowances and volume incentives; and (d) such other discounts and other deductions customary in the trade.</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u w:val="single" w:color="auto"/>
          <w:color w:val="0000FF"/>
        </w:rPr>
        <w:t>“Designated Japanese Subsidiary Total Revenue” shall mean, for any Test Period, the gross revenue of the Designated Japanese Subsidiary from the sale of Products during such Test Period, determined in accordance with GAAP.</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means, with respect to any Person, any sale, transfer, license, sub-license, lease, sale and leaseback, contribution or other conveyance (including by way of merger, condemnation, casualty event or division of a limited liability company) of any of such Person’s or any of such Person’s Subsidiaries’ assets or properties (including Capital Stock of Subsidiaries, but excluding any Capital Stock of the Borrower) to any other Person in a single transaction or series of transactions.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Dispose</w:t>
      </w:r>
      <w:r>
        <w:rPr>
          <w:rFonts w:ascii="Arial" w:cs="Arial" w:eastAsia="Arial" w:hAnsi="Arial"/>
          <w:sz w:val="22"/>
          <w:szCs w:val="22"/>
          <w:color w:val="auto"/>
        </w:rPr>
        <w:t>” shall have a correlative meaning consistent with the foregoing.</w:t>
      </w:r>
    </w:p>
    <w:p>
      <w:pPr>
        <w:spacing w:after="0" w:line="17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Stock</w:t>
      </w:r>
      <w:r>
        <w:rPr>
          <w:rFonts w:ascii="Arial" w:cs="Arial" w:eastAsia="Arial" w:hAnsi="Arial"/>
          <w:sz w:val="19"/>
          <w:szCs w:val="19"/>
          <w:color w:val="auto"/>
        </w:rPr>
        <w:t>” means any Capital Stock that, by its terms (or by the terms of any security or other Capital Stock into which it is convertible or for which it is exchangeable) or upon the happening of any event or condition, (a) matures or is mandatorily redeemable (other than solely for Qualified Capital Stock), pursuant to a sinking fund obligation or otherwise, (b) is redeemable at the option of the holder thereof (other than solely for Qualified Capital Stock), in whole or in part,</w:t>
      </w:r>
    </w:p>
    <w:p>
      <w:pPr>
        <w:spacing w:after="0" w:line="1" w:lineRule="exact"/>
        <w:rPr>
          <w:sz w:val="20"/>
          <w:szCs w:val="20"/>
          <w:color w:val="auto"/>
        </w:rPr>
      </w:pPr>
    </w:p>
    <w:p>
      <w:pPr>
        <w:jc w:val="both"/>
        <w:ind w:firstLine="8"/>
        <w:spacing w:after="0" w:line="237" w:lineRule="auto"/>
        <w:tabs>
          <w:tab w:leader="none" w:pos="3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provides for the scheduled payment of dividends in cash or (d) is or becomes convertible into or exchangeable for Indebtedness or any other Capital Stock that would constitute Disqualified Capital Stock, in each case, prior to the date that is ninety-one (91) days after the Latest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such Capital Stock is issued pursuant to a plan for the benefit of employees of any Loan Party or by any such plan to such employees, such Capital Stock shall not constitute Disqualified Capital Stock solely because it may be required to be repurchased by a Loan Party in order to satisfy applicable statutory or regulatory obligations and (ii) only the portion of the Capital Stock meeting one of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color w:val="auto"/>
        </w:rPr>
        <w:t>prior to the date that is ninety-one (91) days after the Latest Maturity Date will be deemed to be Disqualified Capital Stock.</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7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Institution</w:t>
      </w:r>
      <w:r>
        <w:rPr>
          <w:rFonts w:ascii="Arial" w:cs="Arial" w:eastAsia="Arial" w:hAnsi="Arial"/>
          <w:sz w:val="21"/>
          <w:szCs w:val="21"/>
          <w:color w:val="auto"/>
        </w:rPr>
        <w:t>” means, as of any date, competitors of the Borrower or any of its Subsidiaries that are in the same or a similar line of business and, in each case, identified in writing to the Administrative Agent from time to time prior to such date (each such entity, a “Competitor”) and Affiliates of Competitors to the extent such affiliates are reasonably identifiable (on the basis of the similarity of such Affiliate’s name to the name of an entity so identified in writing) or designated in writing by the Borrower from time to time prior to such date and to the extent such Affiliates are not bona fide debt funds or investment vehicles that are primarily engaged in making, purchasing, holding or otherwise investing in commercial loans and similar extensions of credit in the ordinary course of business with appropriate information barriers in place; provided, that no such updates shall be deemed to retroactively disqualify any parties that have previously acquired an assignment or participation interest or any party for which the applicable “Trade Date” with respect to an assignment or participation interest has occurred in respect of the Loans in compliance with the provisions of this Loan Agreement from continuing to hold or vote such previously acquired assignments and participations or from closing an assignment or participation interest sale for which the applicable “Trade Date” has previously occurred on the terms set forth herein for Lenders that are not Disqualified Institutions; provided, that, and notwithstanding the foregoing, no Hayfin Party shall be considered a Disqualified Institution under this Loan Agreement.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dollars in lawful currency of the United States of America.</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organized under the laws of the U.S., any state thereof or the District of Columbia.</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Benefit Plan</w:t>
      </w:r>
      <w:r>
        <w:rPr>
          <w:rFonts w:ascii="Arial" w:cs="Arial" w:eastAsia="Arial" w:hAnsi="Arial"/>
          <w:sz w:val="22"/>
          <w:szCs w:val="22"/>
          <w:color w:val="auto"/>
        </w:rPr>
        <w:t>” means any employee benefit plan, as defined in Section 3(3) of ERISA, which is contributed to by (or to which there is an obligation to contribute of) any Loan Party or any ERISA Affiliate.</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Environmental Claims</w:t>
      </w:r>
      <w:r>
        <w:rPr>
          <w:rFonts w:ascii="Arial" w:cs="Arial" w:eastAsia="Arial" w:hAnsi="Arial"/>
          <w:sz w:val="21"/>
          <w:szCs w:val="21"/>
          <w:color w:val="auto"/>
        </w:rPr>
        <w:t>” means any and all actions (including administrative, regulatory and judicial actions), suits, demands, demand letters, claims, liens, notices of noncompliance or violation, requests for information, warning letters, notices of deficiencies or investigations (other than internal reports prepared by the Loan Parties) in the ordinary course of such Person’s business arising under or related to any alleged violation of or non-compliance with any Environmental Law or any permit issued, or any approval given, under any Environmental Law, including (i) any actual or threatened claims or assertions of liability by any Governmental Authorities for enforcement, cleanup, removal, response, fines, penalties, remedial or other actions or damages pursuant to any applicable Environmental Law and (ii) any claims or assertions of liability by any third party seeking damages, contribution, indemnification, cost recovery, fines, penalties, compensation or injunctive relief resulting from the Release or</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threatened Release of Hazardous Materials or arising from any alleged violation of Environmental Law.</w:t>
      </w:r>
    </w:p>
    <w:p>
      <w:pPr>
        <w:spacing w:after="0" w:line="17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applicable federal, state, foreign, local or municipal statute, law (including the common law), rule, regulation, order, ordinance, code, decree, or other binding written requirement of any Governmental Authority now or hereafter in effect, in each case as amended, and any binding judicial interpretation thereof, including any binding judicial or administrative order, consent decree or judgment, relating to or imposing liability or standards of conduct concerning protection of the environment or natural resources, or the protection of human health or safety (from exposure to Hazardous Materials), or occupational health and safety (from exposure to Hazardous Materials), including public environmental notification requirements.</w:t>
      </w:r>
    </w:p>
    <w:p>
      <w:pPr>
        <w:spacing w:after="0" w:line="16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and the regulations promulgated thereunder. Section references to ERISA are to ERISA as in effect at the date of this Loan Agreement and any subsequent provisions of ERISA amendatory thereof, supplemental thereto or substituted therefor.</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each person (as defined in Section 3(9) of ERISA) that, together with any Loan Party or any Subsidiary of any Loan Party, is, or within the last six (6) years was, treated as a “single employer” within the meaning of Section 4001(b) of ERISA, and for the purpose of Section 302 of ERISA and/or Section 412, 4971, 4977 and/or each “applicable section” under Section 414(t)(2) of the Code, within the meaning of Section 414(b), (c), (m) or (o) of the Code.</w:t>
      </w:r>
    </w:p>
    <w:p>
      <w:pPr>
        <w:spacing w:after="0" w:line="144"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xml:space="preserve"> ” means any of the following: (i) a Reportable Event with respect to any Plan; (ii) any Plan is insolvent or in endangered or critical status within the meaning of Section 432 of the Code or Section 4241 or 4245 of ERISA or notice of any such insolvency has been given to any of the Loan Parties or any ERISA Affiliate; (iii) any Plan is in “at risk” status (as defined in Section 430 of the Code or Section 303 of ERISA); (iv) any Plan (other than a Multiemployer Plan) has failed to satisfy the minimum funding standard of Section 412 of the Code or Section 302 of ERISA (whether or not waived in accordance with Section 412(c) of the Code or Section 302(c) of ERISA), or any of the Loan Parties or any Subsidiary of any Loan Party has applied for or received a waiver of the minimum funding standard or an extension of any amortization period within the meaning of Section 412 of the Code or Section 302, 303 or 304 of ERISA with respect to any Plan; (v) any Loan Party or any ERISA Affiliate fails to make by its due date a required installment under Section 430(j) of the Code with respect to any Plan or to make any required contribution to a Multiemployer Plan when due; (vi) any of the Loan Parties, any of their respective Subsidiaries, or, to the extent applicable to the Loan Parties or any of their respective Subsidiaries, any ERISA Affiliate incurs (or is reasonably expected to incur) any liability to or on account of a Plan pursuant to Section 409, 502(i), 502(l), 515, 4062, 4063, 4064, 4069, 4201, 4204 or 4212 of ERISA or Section 436(f), 4971, 4975 or 4980 of the Code or is notified in writing that it will incur any liability under any of the foregoing Sections with respect to any Plan; (vii) any proceeding is instituted (or is reasonably likely to be instituted) to terminate any Plan or to appoint a trustee to administer any Plan, or any written notice of any such proceeding is given to any of the Loan Parties or any ERISA Affiliate; (viii) the imposition on account of any Plan of any Lien under the Code or ERISA on the assets of any of the Loan Parties or any ERISA Affiliate or notification to any of the Loan Parties or any ERISA Affiliate that such a Lien will be imposed on the assets of any of the Loan Parties or any ERISA Affiliate; (ix) the occurrence of an event, circumstance, transaction, or failure that results in liability to the Loan Parties or any ERISA Affiliate under Title I of ERISA or a tax under any of Sections 4971 through 5000 of the Code; or (x) the complete or partial withdrawal of any of the Loan Parties or any ERISA Affiliate from a Multiemployer Plan that results in or is reasonably expect to result in</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imposition of Withdrawal Liability or insolvency under Title IV of ERISA of any Multiemployer Plan.”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w:t>
      </w:r>
      <w:r>
        <w:rPr>
          <w:rFonts w:ascii="Arial" w:cs="Arial" w:eastAsia="Arial" w:hAnsi="Arial"/>
          <w:sz w:val="21"/>
          <w:szCs w:val="21"/>
          <w:color w:val="FF0000"/>
          <w:strike w:val="1"/>
        </w:rPr>
        <w:t xml:space="preserve">” when used in reference to any Loan or Borrowing, refers to whether such Loan, or the Loans comprising such Borrowing, are bearing interest at a rate </w:t>
      </w:r>
      <w:r>
        <w:rPr>
          <w:rFonts w:ascii="Arial" w:cs="Arial" w:eastAsia="Arial" w:hAnsi="Arial"/>
          <w:sz w:val="21"/>
          <w:szCs w:val="21"/>
          <w:color w:val="008000"/>
          <w:strike w:val="1"/>
        </w:rPr>
        <w:t>determined by reference to the</w:t>
      </w:r>
      <w:r>
        <w:rPr>
          <w:rFonts w:ascii="Arial" w:cs="Arial" w:eastAsia="Arial" w:hAnsi="Arial"/>
          <w:sz w:val="21"/>
          <w:szCs w:val="21"/>
          <w:color w:val="FF0000"/>
          <w:strike w:val="1"/>
        </w:rPr>
        <w:t xml:space="preserve"> LIBOR Rate but does not include any Loan or Borrowing bearing interest at a rate determined by reference to </w:t>
      </w:r>
      <w:r>
        <w:rPr>
          <w:rFonts w:ascii="Arial" w:cs="Arial" w:eastAsia="Arial" w:hAnsi="Arial"/>
          <w:sz w:val="21"/>
          <w:szCs w:val="21"/>
          <w:color w:val="008000"/>
          <w:strike w:val="1"/>
        </w:rPr>
        <w:t>the definition of “Prime Rate</w:t>
      </w:r>
      <w:r>
        <w:rPr>
          <w:rFonts w:ascii="Arial" w:cs="Arial" w:eastAsia="Arial" w:hAnsi="Arial"/>
          <w:sz w:val="21"/>
          <w:szCs w:val="21"/>
          <w:color w:val="FF0000"/>
          <w:strike w:val="1"/>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fiscal year of the Consolidated Companies, an amount equal to:</w:t>
      </w:r>
    </w:p>
    <w:p>
      <w:pPr>
        <w:spacing w:after="0" w:line="179" w:lineRule="exact"/>
        <w:rPr>
          <w:sz w:val="20"/>
          <w:szCs w:val="20"/>
          <w:color w:val="auto"/>
        </w:rPr>
      </w:pPr>
    </w:p>
    <w:p>
      <w:pPr>
        <w:jc w:val="both"/>
        <w:ind w:firstLine="1304"/>
        <w:spacing w:after="0" w:line="249" w:lineRule="auto"/>
        <w:tabs>
          <w:tab w:leader="none" w:pos="176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sum, without duplication, of (i) Consolidated Adjusted EBITDA for such fiscal year without giving effect to clause (b)(xiv) thereof, (ii) the net decrease, if any, in Consolidated Working Capital of the Consolidated Companies during such fiscal year, (iii) the net cash gains during such fiscal year from the sale or disposition of assets of the Consolidated Companies outside of the ordinary course of business, to the extent not included in arriving at such Consolidated Adjusted EBITDA and to the extent not otherwise included as a mandatory prepayment and (iv) cash Extraordinary Receipts to the extent such items are not included in the calculation of Consolidated Adjusted EBITDA for such fiscal year; </w:t>
      </w:r>
      <w:r>
        <w:rPr>
          <w:rFonts w:ascii="Arial" w:cs="Arial" w:eastAsia="Arial" w:hAnsi="Arial"/>
          <w:sz w:val="19"/>
          <w:szCs w:val="19"/>
          <w:u w:val="single" w:color="auto"/>
          <w:color w:val="auto"/>
        </w:rPr>
        <w:t>minus</w:t>
      </w:r>
    </w:p>
    <w:p>
      <w:pPr>
        <w:spacing w:after="0" w:line="151" w:lineRule="exact"/>
        <w:rPr>
          <w:rFonts w:ascii="Arial" w:cs="Arial" w:eastAsia="Arial" w:hAnsi="Arial"/>
          <w:sz w:val="19"/>
          <w:szCs w:val="19"/>
          <w:color w:val="auto"/>
        </w:rPr>
      </w:pPr>
    </w:p>
    <w:p>
      <w:pPr>
        <w:ind w:left="1780" w:hanging="476"/>
        <w:spacing w:after="0"/>
        <w:tabs>
          <w:tab w:leader="none" w:pos="17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sum of, without duplication;</w:t>
      </w:r>
    </w:p>
    <w:p>
      <w:pPr>
        <w:spacing w:after="0" w:line="179" w:lineRule="exact"/>
        <w:rPr>
          <w:rFonts w:ascii="Arial" w:cs="Arial" w:eastAsia="Arial" w:hAnsi="Arial"/>
          <w:sz w:val="22"/>
          <w:szCs w:val="22"/>
          <w:color w:val="auto"/>
        </w:rPr>
      </w:pPr>
    </w:p>
    <w:p>
      <w:pPr>
        <w:ind w:left="2380" w:hanging="428"/>
        <w:spacing w:after="0"/>
        <w:tabs>
          <w:tab w:leader="none" w:pos="23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Consolidated Interest Expense paid in cash during such fiscal year,</w:t>
      </w:r>
    </w:p>
    <w:p>
      <w:pPr>
        <w:spacing w:after="0" w:line="179" w:lineRule="exact"/>
        <w:rPr>
          <w:rFonts w:ascii="Arial" w:cs="Arial" w:eastAsia="Arial" w:hAnsi="Arial"/>
          <w:sz w:val="22"/>
          <w:szCs w:val="22"/>
          <w:color w:val="auto"/>
        </w:rPr>
      </w:pPr>
    </w:p>
    <w:p>
      <w:pPr>
        <w:jc w:val="both"/>
        <w:ind w:left="660" w:firstLine="1292"/>
        <w:spacing w:after="0" w:line="229" w:lineRule="auto"/>
        <w:tabs>
          <w:tab w:leader="none" w:pos="2478" w:val="left"/>
        </w:tabs>
        <w:numPr>
          <w:ilvl w:val="1"/>
          <w:numId w:val="42"/>
        </w:numPr>
        <w:rPr>
          <w:rFonts w:ascii="Arial" w:cs="Arial" w:eastAsia="Arial" w:hAnsi="Arial"/>
          <w:sz w:val="21"/>
          <w:szCs w:val="21"/>
          <w:color w:val="auto"/>
        </w:rPr>
      </w:pPr>
      <w:r>
        <w:rPr>
          <w:rFonts w:ascii="Arial" w:cs="Arial" w:eastAsia="Arial" w:hAnsi="Arial"/>
          <w:sz w:val="21"/>
          <w:szCs w:val="21"/>
          <w:color w:val="auto"/>
        </w:rPr>
        <w:t>all required payments of principal in respect of any Indebtedness during such fiscal year (other than mandatory prepayments of Loans pursuant to Section 4.02(a)(ix)), except to the extent financed with proceeds of Indebtedness or occurring in connection with a refinancing of all or any portion of such Indebtedness and only to the extent that the Indebtedness prepaid or repaid by its terms cannot be reborrowed or redrawn,</w:t>
      </w:r>
    </w:p>
    <w:p>
      <w:pPr>
        <w:spacing w:after="0" w:line="158" w:lineRule="exact"/>
        <w:rPr>
          <w:rFonts w:ascii="Arial" w:cs="Arial" w:eastAsia="Arial" w:hAnsi="Arial"/>
          <w:sz w:val="21"/>
          <w:szCs w:val="21"/>
          <w:color w:val="auto"/>
        </w:rPr>
      </w:pPr>
    </w:p>
    <w:p>
      <w:pPr>
        <w:jc w:val="both"/>
        <w:ind w:left="660" w:firstLine="1292"/>
        <w:spacing w:after="0" w:line="226" w:lineRule="auto"/>
        <w:tabs>
          <w:tab w:leader="none" w:pos="2527"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aggregate principal amount of any voluntary payment permitted hereunder of term Indebtedness (other than any voluntary prepayment of the Loans, which shall be the subject of Section 4.02(a)(ix)(y)) and the amount of any voluntary payments of revolving Indebtedness to the extent accompanied by permanent reductions of the related revolving facility commitments in an amount equal to such prepayment, in each case to the extent not financed with proceeds of long-term Indebtedness or the issuance of Capital Stock,</w:t>
      </w:r>
    </w:p>
    <w:p>
      <w:pPr>
        <w:spacing w:after="0" w:line="159" w:lineRule="exact"/>
        <w:rPr>
          <w:rFonts w:ascii="Arial" w:cs="Arial" w:eastAsia="Arial" w:hAnsi="Arial"/>
          <w:sz w:val="21"/>
          <w:szCs w:val="21"/>
          <w:color w:val="auto"/>
        </w:rPr>
      </w:pPr>
    </w:p>
    <w:p>
      <w:pPr>
        <w:jc w:val="both"/>
        <w:ind w:left="660" w:firstLine="1292"/>
        <w:spacing w:after="0" w:line="223" w:lineRule="auto"/>
        <w:tabs>
          <w:tab w:leader="none" w:pos="261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Taxes paid in cash and to the extent based on income, profits or capital of such Person and its subsidiaries, including, in each case, federal, state, provincial, local, foreign, unitary, franchise, excise, property, withholding and similar Taxes, including any penalties and interest,</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4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Capital Expenditures made during such fiscal year, excluding Capital Expenditures to the extent financed through the incurrence of Capital Lease Obligations, the issuance of Capital Stock, the incurrence of any long-term Indebtedness or the receipt of proceeds of insurance,</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7" w:lineRule="exact"/>
        <w:rPr>
          <w:sz w:val="20"/>
          <w:szCs w:val="20"/>
          <w:color w:val="auto"/>
        </w:rPr>
      </w:pPr>
    </w:p>
    <w:p>
      <w:pPr>
        <w:ind w:left="1900" w:hanging="608"/>
        <w:spacing w:after="0"/>
        <w:tabs>
          <w:tab w:leader="none" w:pos="19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net increase, if any, in Consolidated Working Capital of the Consolidated Companies during such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fiscal year,</w:t>
      </w:r>
    </w:p>
    <w:p>
      <w:pPr>
        <w:spacing w:after="0" w:line="161" w:lineRule="exact"/>
        <w:rPr>
          <w:sz w:val="20"/>
          <w:szCs w:val="20"/>
          <w:color w:val="auto"/>
        </w:rPr>
      </w:pPr>
    </w:p>
    <w:p>
      <w:pPr>
        <w:jc w:val="both"/>
        <w:ind w:firstLine="1292"/>
        <w:spacing w:after="0" w:line="249" w:lineRule="auto"/>
        <w:tabs>
          <w:tab w:leader="none" w:pos="1935"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any fees, costs, and expenses of the Borrower and its Subsidiaries related to this </w:t>
      </w:r>
      <w:r>
        <w:rPr>
          <w:rFonts w:ascii="Arial" w:cs="Arial" w:eastAsia="Arial" w:hAnsi="Arial"/>
          <w:sz w:val="19"/>
          <w:szCs w:val="19"/>
          <w:u w:val="single" w:color="auto"/>
          <w:color w:val="0000FF"/>
        </w:rPr>
        <w:t>Loan</w:t>
      </w:r>
      <w:r>
        <w:rPr>
          <w:rFonts w:ascii="Arial" w:cs="Arial" w:eastAsia="Arial" w:hAnsi="Arial"/>
          <w:sz w:val="19"/>
          <w:szCs w:val="19"/>
          <w:color w:val="auto"/>
        </w:rPr>
        <w:t xml:space="preserve"> Agreement, the Transactions, associated with investigations by Governmental Authorities, any litigation or as a result of the Inaccurate Information (including in connection with the restatement of historical financial statements) or payment of any actual legal settlement, fine, judgment or order in respect of the foregoing and any financings, acquisitions, investments, dispositions, private or public offerings of equity securities or the establishment of joint ventures, in each case whether or not consummated, to the extent added back in determining Consolidated Adjusted EBITDA and paid in cash,</w:t>
      </w:r>
    </w:p>
    <w:p>
      <w:pPr>
        <w:spacing w:after="0" w:line="151" w:lineRule="exact"/>
        <w:rPr>
          <w:rFonts w:ascii="Arial" w:cs="Arial" w:eastAsia="Arial" w:hAnsi="Arial"/>
          <w:sz w:val="19"/>
          <w:szCs w:val="19"/>
          <w:color w:val="auto"/>
        </w:rPr>
      </w:pPr>
    </w:p>
    <w:p>
      <w:pPr>
        <w:jc w:val="both"/>
        <w:ind w:firstLine="1292"/>
        <w:spacing w:after="0" w:line="223" w:lineRule="auto"/>
        <w:tabs>
          <w:tab w:leader="none" w:pos="20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payments in respect of earn-outs in accordance with the terms hereof made in cash by the Loan Parties to the extent permitted pursuant to Section 9.01(n), except to the extent financed with the proceeds of long-term Indebtedness or issuances of Capital Stock,</w:t>
      </w:r>
    </w:p>
    <w:p>
      <w:pPr>
        <w:spacing w:after="0" w:line="158" w:lineRule="exact"/>
        <w:rPr>
          <w:rFonts w:ascii="Arial" w:cs="Arial" w:eastAsia="Arial" w:hAnsi="Arial"/>
          <w:sz w:val="22"/>
          <w:szCs w:val="22"/>
          <w:color w:val="auto"/>
        </w:rPr>
      </w:pPr>
    </w:p>
    <w:p>
      <w:pPr>
        <w:ind w:firstLine="1292"/>
        <w:spacing w:after="0" w:line="232" w:lineRule="auto"/>
        <w:tabs>
          <w:tab w:leader="none" w:pos="1974"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non-cash charges, gains, credits, expenses, costs, adjustments or other amounts included in the calculation of Consolidated Net Income or Consolidated Adjusted EBITDA;</w:t>
      </w:r>
    </w:p>
    <w:p>
      <w:pPr>
        <w:spacing w:after="0" w:line="158" w:lineRule="exact"/>
        <w:rPr>
          <w:rFonts w:ascii="Arial" w:cs="Arial" w:eastAsia="Arial" w:hAnsi="Arial"/>
          <w:sz w:val="22"/>
          <w:szCs w:val="22"/>
          <w:color w:val="auto"/>
        </w:rPr>
      </w:pPr>
    </w:p>
    <w:p>
      <w:pPr>
        <w:jc w:val="both"/>
        <w:ind w:firstLine="1292"/>
        <w:spacing w:after="0" w:line="223" w:lineRule="auto"/>
        <w:tabs>
          <w:tab w:leader="none" w:pos="1949" w:val="left"/>
        </w:tabs>
        <w:numPr>
          <w:ilvl w:val="0"/>
          <w:numId w:val="44"/>
        </w:numPr>
        <w:rPr>
          <w:rFonts w:ascii="Arial" w:cs="Arial" w:eastAsia="Arial" w:hAnsi="Arial"/>
          <w:sz w:val="22"/>
          <w:szCs w:val="22"/>
          <w:color w:val="auto"/>
        </w:rPr>
      </w:pPr>
      <w:r>
        <w:rPr>
          <w:rFonts w:ascii="Arial" w:cs="Arial" w:eastAsia="Arial" w:hAnsi="Arial"/>
          <w:sz w:val="22"/>
          <w:szCs w:val="22"/>
          <w:color w:val="auto"/>
        </w:rPr>
        <w:t>payments of indemnities and expense reimbursement paid or accrued to directors and officers including payment for directors and officers insurance policies, in each case to the extent paid in cash and added-back to Consolidated Adjusted EBITDA during such fiscal year;</w:t>
      </w:r>
    </w:p>
    <w:p>
      <w:pPr>
        <w:spacing w:after="0" w:line="158" w:lineRule="exact"/>
        <w:rPr>
          <w:rFonts w:ascii="Arial" w:cs="Arial" w:eastAsia="Arial" w:hAnsi="Arial"/>
          <w:sz w:val="22"/>
          <w:szCs w:val="22"/>
          <w:color w:val="auto"/>
        </w:rPr>
      </w:pPr>
    </w:p>
    <w:p>
      <w:pPr>
        <w:ind w:firstLine="1292"/>
        <w:spacing w:after="0" w:line="232" w:lineRule="auto"/>
        <w:tabs>
          <w:tab w:leader="none" w:pos="1853"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Restricted Payments made in cash in accordance with Section 9.06(f), to the extent paid in cash and added-back to Consolidated Adjusted EBITDA during such fiscal year,</w:t>
      </w:r>
    </w:p>
    <w:p>
      <w:pPr>
        <w:spacing w:after="0" w:line="158" w:lineRule="exact"/>
        <w:rPr>
          <w:rFonts w:ascii="Arial" w:cs="Arial" w:eastAsia="Arial" w:hAnsi="Arial"/>
          <w:sz w:val="22"/>
          <w:szCs w:val="22"/>
          <w:color w:val="auto"/>
        </w:rPr>
      </w:pPr>
    </w:p>
    <w:p>
      <w:pPr>
        <w:ind w:firstLine="1292"/>
        <w:spacing w:after="0" w:line="232" w:lineRule="auto"/>
        <w:tabs>
          <w:tab w:leader="none" w:pos="1921" w:val="left"/>
        </w:tabs>
        <w:numPr>
          <w:ilvl w:val="0"/>
          <w:numId w:val="44"/>
        </w:numPr>
        <w:rPr>
          <w:rFonts w:ascii="Arial" w:cs="Arial" w:eastAsia="Arial" w:hAnsi="Arial"/>
          <w:sz w:val="22"/>
          <w:szCs w:val="22"/>
          <w:color w:val="auto"/>
        </w:rPr>
      </w:pPr>
      <w:r>
        <w:rPr>
          <w:rFonts w:ascii="Arial" w:cs="Arial" w:eastAsia="Arial" w:hAnsi="Arial"/>
          <w:sz w:val="22"/>
          <w:szCs w:val="22"/>
          <w:color w:val="auto"/>
        </w:rPr>
        <w:t>out-of-pocket costs, fees, expenses and charges related to any Permitted Acquisitions, in each case, only to the extent added back in determining Consolidated Adjusted EBITDA and paid in cash,</w:t>
      </w:r>
    </w:p>
    <w:p>
      <w:pPr>
        <w:spacing w:after="0" w:line="158" w:lineRule="exact"/>
        <w:rPr>
          <w:rFonts w:ascii="Arial" w:cs="Arial" w:eastAsia="Arial" w:hAnsi="Arial"/>
          <w:sz w:val="22"/>
          <w:szCs w:val="22"/>
          <w:color w:val="auto"/>
        </w:rPr>
      </w:pPr>
    </w:p>
    <w:p>
      <w:pPr>
        <w:ind w:firstLine="1292"/>
        <w:spacing w:after="0" w:line="247" w:lineRule="auto"/>
        <w:tabs>
          <w:tab w:leader="none" w:pos="1958" w:val="left"/>
        </w:tabs>
        <w:numPr>
          <w:ilvl w:val="0"/>
          <w:numId w:val="44"/>
        </w:numPr>
        <w:rPr>
          <w:rFonts w:ascii="Arial" w:cs="Arial" w:eastAsia="Arial" w:hAnsi="Arial"/>
          <w:sz w:val="21"/>
          <w:szCs w:val="21"/>
          <w:color w:val="auto"/>
        </w:rPr>
      </w:pPr>
      <w:r>
        <w:rPr>
          <w:rFonts w:ascii="Arial" w:cs="Arial" w:eastAsia="Arial" w:hAnsi="Arial"/>
          <w:sz w:val="21"/>
          <w:szCs w:val="21"/>
          <w:color w:val="auto"/>
        </w:rPr>
        <w:t>cash used to make Permitted Acquisitions and Investments in reliance on Section 9.05(g), except to the extent financed with the proceeds of long-term Indebtedness or issuances of Capital Stock,</w:t>
      </w:r>
    </w:p>
    <w:p>
      <w:pPr>
        <w:spacing w:after="0" w:line="150" w:lineRule="exact"/>
        <w:rPr>
          <w:rFonts w:ascii="Arial" w:cs="Arial" w:eastAsia="Arial" w:hAnsi="Arial"/>
          <w:sz w:val="21"/>
          <w:szCs w:val="21"/>
          <w:color w:val="auto"/>
        </w:rPr>
      </w:pPr>
    </w:p>
    <w:p>
      <w:pPr>
        <w:ind w:firstLine="1292"/>
        <w:spacing w:after="0" w:line="232" w:lineRule="auto"/>
        <w:tabs>
          <w:tab w:leader="none" w:pos="2059" w:val="left"/>
        </w:tabs>
        <w:numPr>
          <w:ilvl w:val="0"/>
          <w:numId w:val="44"/>
        </w:numPr>
        <w:rPr>
          <w:rFonts w:ascii="Arial" w:cs="Arial" w:eastAsia="Arial" w:hAnsi="Arial"/>
          <w:sz w:val="22"/>
          <w:szCs w:val="22"/>
          <w:color w:val="auto"/>
        </w:rPr>
      </w:pPr>
      <w:r>
        <w:rPr>
          <w:rFonts w:ascii="Arial" w:cs="Arial" w:eastAsia="Arial" w:hAnsi="Arial"/>
          <w:sz w:val="22"/>
          <w:szCs w:val="22"/>
          <w:color w:val="auto"/>
        </w:rPr>
        <w:t>losses on the disposition of assets not in the ordinary course only to the extent added back in determining Consolidated Adjusted EBITDA and paid in cash,</w:t>
      </w:r>
    </w:p>
    <w:p>
      <w:pPr>
        <w:spacing w:after="0" w:line="158" w:lineRule="exact"/>
        <w:rPr>
          <w:rFonts w:ascii="Arial" w:cs="Arial" w:eastAsia="Arial" w:hAnsi="Arial"/>
          <w:sz w:val="22"/>
          <w:szCs w:val="22"/>
          <w:color w:val="auto"/>
        </w:rPr>
      </w:pPr>
    </w:p>
    <w:p>
      <w:pPr>
        <w:jc w:val="both"/>
        <w:ind w:firstLine="1292"/>
        <w:spacing w:after="0" w:line="223" w:lineRule="auto"/>
        <w:tabs>
          <w:tab w:leader="none" w:pos="1971" w:val="left"/>
        </w:tabs>
        <w:numPr>
          <w:ilvl w:val="0"/>
          <w:numId w:val="44"/>
        </w:numPr>
        <w:rPr>
          <w:rFonts w:ascii="Arial" w:cs="Arial" w:eastAsia="Arial" w:hAnsi="Arial"/>
          <w:sz w:val="22"/>
          <w:szCs w:val="22"/>
          <w:color w:val="auto"/>
        </w:rPr>
      </w:pPr>
      <w:r>
        <w:rPr>
          <w:rFonts w:ascii="Arial" w:cs="Arial" w:eastAsia="Arial" w:hAnsi="Arial"/>
          <w:sz w:val="22"/>
          <w:szCs w:val="22"/>
          <w:color w:val="auto"/>
        </w:rPr>
        <w:t>amounts paid in cash during such year on account of items that were accounted for as non-cash reductions of Consolidated Net Income in determining Consolidated Net Income or as non-cash reductions of Consolidated Net Income in determining Consolidated Adjusted EBITDA in a prior years,</w:t>
      </w:r>
    </w:p>
    <w:p>
      <w:pPr>
        <w:spacing w:after="0" w:line="158" w:lineRule="exact"/>
        <w:rPr>
          <w:rFonts w:ascii="Arial" w:cs="Arial" w:eastAsia="Arial" w:hAnsi="Arial"/>
          <w:sz w:val="22"/>
          <w:szCs w:val="22"/>
          <w:color w:val="auto"/>
        </w:rPr>
      </w:pPr>
    </w:p>
    <w:p>
      <w:pPr>
        <w:ind w:left="2000" w:hanging="708"/>
        <w:spacing w:after="0"/>
        <w:tabs>
          <w:tab w:leader="none" w:pos="20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amounts added back in determining Consolidated Adjusted EBITDA representing reserves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kind or losses;</w:t>
      </w:r>
    </w:p>
    <w:p>
      <w:pPr>
        <w:spacing w:after="0" w:line="161" w:lineRule="exact"/>
        <w:rPr>
          <w:rFonts w:ascii="Arial" w:cs="Arial" w:eastAsia="Arial" w:hAnsi="Arial"/>
          <w:sz w:val="19"/>
          <w:szCs w:val="19"/>
          <w:color w:val="auto"/>
        </w:rPr>
      </w:pPr>
    </w:p>
    <w:p>
      <w:pPr>
        <w:ind w:firstLine="1292"/>
        <w:spacing w:after="0" w:line="298" w:lineRule="auto"/>
        <w:tabs>
          <w:tab w:leader="none" w:pos="201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amount of any extraordinary, unusual or non-recurring fees, expenses and charges to the extent added back in determining Consolidated Adjusted EBITDA pursuant to clause (b)(vi) thereof and paid in cash, and</w:t>
      </w:r>
    </w:p>
    <w:p>
      <w:pPr>
        <w:sectPr>
          <w:pgSz w:w="11900" w:h="16838" w:orient="portrait"/>
          <w:cols w:equalWidth="0" w:num="1">
            <w:col w:w="10580"/>
          </w:cols>
          <w:pgMar w:left="980" w:top="1440" w:right="339" w:bottom="1440" w:gutter="0" w:footer="0" w:header="0"/>
        </w:sectPr>
      </w:pPr>
    </w:p>
    <w:bookmarkStart w:id="76" w:name="page77"/>
    <w:bookmarkEnd w:id="76"/>
    <w:p>
      <w:pPr>
        <w:spacing w:after="0" w:line="177" w:lineRule="exact"/>
        <w:rPr>
          <w:sz w:val="20"/>
          <w:szCs w:val="20"/>
          <w:color w:val="auto"/>
        </w:rPr>
      </w:pPr>
    </w:p>
    <w:p>
      <w:pPr>
        <w:ind w:left="660" w:firstLine="1292"/>
        <w:spacing w:after="0" w:line="232" w:lineRule="auto"/>
        <w:tabs>
          <w:tab w:leader="none" w:pos="271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amounts paid in cash during such fiscal year to the extent added back in determining Consolidated Adjusted EBITDA pursuant to clause (b)(v) thereof.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Excluded Deposit Accounts</w:t>
      </w:r>
      <w:r>
        <w:rPr>
          <w:rFonts w:ascii="Arial" w:cs="Arial" w:eastAsia="Arial" w:hAnsi="Arial"/>
          <w:sz w:val="19"/>
          <w:szCs w:val="19"/>
          <w:color w:val="auto"/>
        </w:rPr>
        <w:t xml:space="preserve">” means a deposit account (i) which is used for the sole purpose of making payroll for the then current payroll period and withholding Tax payments related thereto and other employee wage and benefit payments and accrued and unpaid employee compensation (including salaries, wages, benefits and expense reimbursements), (ii) which is used for the sole purpose of paying Taxes, including withholding and sales Taxes, (iii) is a zero balance deposit account, (iv) constituting a custodian, trust, fiduciary or other escrow account established for the benefit of third parties in the Ordinary Course of Business in connection with transactions permitted hereunder or (v) other deposit accounts (other than those identified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which collectively have average daily balances for any fiscal month of less than $400,000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that no deposit account shall qualify as an Excluded Deposit Account under clause (v) of this definition if the inclusion thereof would result in the aggregate balances of all Excluded Deposit Accounts (other than those identified in clauses (i) through (iv)) exceeding, at any time, $600,000.</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shall mean, with respect to any Guarantor, any Swap Obligations if, and to the extent that, all or a portion of the Guaranty Obligations of such Subsidiary of, or the grant by such Guarantor of a security interest pursuant to the Security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Obligations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such exclusion shall apply only to the portion of such Swap Obligation that is attributable to swaps for which such Guaranty Obligations or security interest is or becomes illegal or unlawful under the Commodity Exchange Act or any rule, regulation or order of the Commodity Futures Trading Commission (or the application or official interpretation of any thereof).</w:t>
      </w:r>
    </w:p>
    <w:p>
      <w:pPr>
        <w:spacing w:after="0" w:line="3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18" w:lineRule="auto"/>
        <w:tabs>
          <w:tab w:leader="none" w:pos="190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Subsidiary that is prohibited or restricted by Applicable Law from entering into the Guaranty and Security Agreement or otherwise providing a guaranty of the Obligations, or if such guaranty would require governmental (including regulatory) consent, approval, license or authorization (except to the extent that such consent, approval, license or authorization has been obtained);</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1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any Subsidiary with respect to which entering into the Guaranty and Security Agreement or otherwise providing a guaranty of the Obligations would result in material adverse tax consequences as reasonably determined by the Borrower and the Administrative Agent; </w:t>
      </w:r>
      <w:r>
        <w:rPr>
          <w:rFonts w:ascii="Arial" w:cs="Arial" w:eastAsia="Arial" w:hAnsi="Arial"/>
          <w:sz w:val="22"/>
          <w:szCs w:val="22"/>
          <w:color w:val="FF0000"/>
          <w:strike w:val="1"/>
        </w:rPr>
        <w:t>and</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799" w:val="left"/>
        </w:tabs>
        <w:numPr>
          <w:ilvl w:val="0"/>
          <w:numId w:val="46"/>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Designated Japanese Subsidiary so long as (i) the Designated Japanese Subsidiary Total Net Sales as of the most recently ended Test Period does not exceed 7.50% of the Consolidated Total Net Sales as of the most recently ended Test Period and (ii) the Consolidated Total Assets of the Designated Japanese Subsidiary as of the most recently ended Test Period does not exceed 7.50% of the aggregate Consolidated Total Assets of the Borrower</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9"/>
          <w:szCs w:val="19"/>
          <w:u w:val="single" w:color="auto"/>
          <w:color w:val="0000FF"/>
        </w:rPr>
        <w:t>and its Subsidiaries as of the most recently ended Test Period; provided, that if the Designated Japanese Subsidiary becomes a Guarantor in accordance with Section 8.10 it shall under no circumstances constitute an Excluded Subsidiary; and</w:t>
      </w:r>
    </w:p>
    <w:p>
      <w:pPr>
        <w:spacing w:after="0" w:line="105" w:lineRule="exact"/>
        <w:rPr>
          <w:sz w:val="20"/>
          <w:szCs w:val="20"/>
          <w:color w:val="auto"/>
        </w:rPr>
      </w:pPr>
    </w:p>
    <w:p>
      <w:pPr>
        <w:jc w:val="both"/>
        <w:ind w:firstLine="1304"/>
        <w:spacing w:after="0" w:line="223" w:lineRule="auto"/>
        <w:tabs>
          <w:tab w:leader="none" w:pos="1801" w:val="left"/>
        </w:tabs>
        <w:numPr>
          <w:ilvl w:val="0"/>
          <w:numId w:val="47"/>
        </w:numPr>
        <w:rPr>
          <w:rFonts w:ascii="Arial" w:cs="Arial" w:eastAsia="Arial" w:hAnsi="Arial"/>
          <w:sz w:val="22"/>
          <w:szCs w:val="22"/>
          <w:color w:val="0000FF"/>
        </w:rPr>
      </w:pPr>
      <w:r>
        <w:rPr>
          <w:rFonts w:ascii="Arial" w:cs="Arial" w:eastAsia="Arial" w:hAnsi="Arial"/>
          <w:sz w:val="22"/>
          <w:szCs w:val="22"/>
          <w:color w:val="FF0000"/>
          <w:strike w:val="1"/>
        </w:rPr>
        <w:t>(c)</w:t>
      </w:r>
      <w:r>
        <w:rPr>
          <w:rFonts w:ascii="Arial" w:cs="Arial" w:eastAsia="Arial" w:hAnsi="Arial"/>
          <w:sz w:val="22"/>
          <w:szCs w:val="22"/>
          <w:color w:val="FF0000"/>
        </w:rPr>
        <w:t xml:space="preserve"> </w:t>
      </w:r>
      <w:r>
        <w:rPr>
          <w:rFonts w:ascii="Arial" w:cs="Arial" w:eastAsia="Arial" w:hAnsi="Arial"/>
          <w:sz w:val="22"/>
          <w:szCs w:val="22"/>
          <w:color w:val="000000"/>
        </w:rPr>
        <w:t>any other Subsidiary with respect to which the Administrative Agent and the Borrower reasonably agree</w:t>
      </w:r>
      <w:r>
        <w:rPr>
          <w:rFonts w:ascii="Arial" w:cs="Arial" w:eastAsia="Arial" w:hAnsi="Arial"/>
          <w:sz w:val="22"/>
          <w:szCs w:val="22"/>
          <w:color w:val="FF0000"/>
        </w:rPr>
        <w:t xml:space="preserve"> </w:t>
      </w:r>
      <w:r>
        <w:rPr>
          <w:rFonts w:ascii="Arial" w:cs="Arial" w:eastAsia="Arial" w:hAnsi="Arial"/>
          <w:sz w:val="22"/>
          <w:szCs w:val="22"/>
          <w:color w:val="000000"/>
        </w:rPr>
        <w:t>that the burden or cost of entering into the Guaranty and Security Agreement or otherwise providing a guaranty of the Obligations shall outweigh the benefits to be obtained by the Lenders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-304800</wp:posOffset>
            </wp:positionV>
            <wp:extent cx="3206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12.07(b)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4.04(f)</w:t>
      </w:r>
      <w:r>
        <w:rPr>
          <w:rFonts w:ascii="Arial" w:cs="Arial" w:eastAsia="Arial" w:hAnsi="Arial"/>
          <w:sz w:val="19"/>
          <w:szCs w:val="19"/>
          <w:color w:val="auto"/>
        </w:rPr>
        <w:t>, and (d) any U.S. federal withholding Taxes imposed under FATCA.</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Order</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7.29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means that certain Loan Agreement, dated as of June 10, 2019 (as amended, restated, amended and restated, supplemented and/or otherwise modified on or prior to the date hereof), by and among, </w:t>
      </w:r>
      <w:r>
        <w:rPr>
          <w:rFonts w:ascii="Arial" w:cs="Arial" w:eastAsia="Arial" w:hAnsi="Arial"/>
          <w:sz w:val="22"/>
          <w:szCs w:val="22"/>
          <w:i w:val="1"/>
          <w:iCs w:val="1"/>
          <w:color w:val="auto"/>
        </w:rPr>
        <w:t>inter alios</w:t>
      </w:r>
      <w:r>
        <w:rPr>
          <w:rFonts w:ascii="Arial" w:cs="Arial" w:eastAsia="Arial" w:hAnsi="Arial"/>
          <w:sz w:val="22"/>
          <w:szCs w:val="22"/>
          <w:color w:val="auto"/>
        </w:rPr>
        <w:t>, the Borrower, the entities identified as “Guarantors” thereunder, the lenders from time to time party thereto and Blue Torch Finance LLC, as administrative agent and collateral agent for such lenders.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Facility</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2.08(c)(ii)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 means any cash or other amounts or receipts received by, on behalf of or on account of any Loan Party or any Subsidiary of any Loan Party not in the Ordinary Course of Business constituting (a) proceeds of judgments, proceeds of settlements and other consideration of any kind received in connection with any cause of action,</w:t>
      </w:r>
    </w:p>
    <w:p>
      <w:pPr>
        <w:spacing w:after="0" w:line="2" w:lineRule="exact"/>
        <w:rPr>
          <w:sz w:val="20"/>
          <w:szCs w:val="20"/>
          <w:color w:val="auto"/>
        </w:rPr>
      </w:pPr>
    </w:p>
    <w:p>
      <w:pPr>
        <w:jc w:val="both"/>
        <w:ind w:firstLine="8"/>
        <w:spacing w:after="0" w:line="217" w:lineRule="auto"/>
        <w:tabs>
          <w:tab w:leader="none" w:pos="367"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indemnification payments received by any Loan Party to the extent not used or anticipated to be used to pay any corresponding liability or reimburse such Loan Party for the payment of such liability, and (c) foreign, United States, state or local tax refunds.</w:t>
      </w:r>
    </w:p>
    <w:p>
      <w:pPr>
        <w:spacing w:after="0" w:line="16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Loan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4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means, for any period, a fluctuating interest rate per annum equal for each day during such period to the weighted average of the rates on overnight federal</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funds transactions with members of the Federal Reserve System, as determined by the Administrative Agent in a commercially reasonable manner, and if no such rate is so published, the Federal Funds Rate for such day shall be the average rate for such day on such transactions received by the Administrative Agent from three (3) federal funds brokers of recognized standing selected by it (but in no event less than 0.0%).</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that certain fee letter, dated as of the date hereof, among the Borrower, the Agents, and the Lenders on the date hereof, as amended, amended and restated, supplemented or otherwise modified, renewed or replaced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means all amounts payable pursuant to, or referred to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in the Fee Letter.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 xml:space="preserve">“Floor” means, </w:t>
      </w:r>
      <w:r>
        <w:rPr>
          <w:rFonts w:ascii="Arial" w:cs="Arial" w:eastAsia="Arial" w:hAnsi="Arial"/>
          <w:sz w:val="22"/>
          <w:szCs w:val="22"/>
          <w:u w:val="single" w:color="auto"/>
          <w:color w:val="008000"/>
        </w:rPr>
        <w:t>with respect to any Loan,</w:t>
      </w:r>
      <w:r>
        <w:rPr>
          <w:rFonts w:ascii="Arial" w:cs="Arial" w:eastAsia="Arial" w:hAnsi="Arial"/>
          <w:sz w:val="22"/>
          <w:szCs w:val="22"/>
          <w:u w:val="single" w:color="auto"/>
          <w:color w:val="0000FF"/>
        </w:rPr>
        <w:t xml:space="preserve"> a per annum rate of interest equal to 1.50%.</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Debt</w:t>
      </w:r>
      <w:r>
        <w:rPr>
          <w:rFonts w:ascii="Arial" w:cs="Arial" w:eastAsia="Arial" w:hAnsi="Arial"/>
          <w:sz w:val="19"/>
          <w:szCs w:val="19"/>
          <w:color w:val="auto"/>
        </w:rPr>
        <w:t xml:space="preserve">” means, as of any date of determination, all then outstanding Indebtedness of the Consolidated Companies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(to the extent such Indebtedness is drawn and unreimbursed),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(to the extent such Indebtedness is (a) recorded as a liability in accordance with GAAP and (b) due before the Latest Maturity Date),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(to the extent such Disqualified Capital Stock (a) matures or is mandatorily redeemable (other than solely for Qualified Capital Stock), pursuant to a sinking fund obligation or otherwise, (b) is redeemable at the option of the holder thereof (other than solely for Qualified Capital Stock), in whole or in part, (c) provides for the scheduled payment of dividends in cash or (d) is or becomes convertible into or exchangeable for Indebtedness or any other Capital Stock that would constitute Disqualified Capital Stock, in each case, prior to the Latest Maturity Date),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(to the extent such Guaranty Obligation is with respect to any of the foregoing)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the definition of “Indebtedness”.</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in the United States of America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the FASB Accounting Standards Codification™, which are applicable to the circumstances as of the date of determination, subject to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4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or local government of the United States, any foreign country, any multinational authority, or any state, commonwealth, province, protectorate or political subdivision thereof, and any entity, body or authority exercising executive, legislative, judicial, taxing, regulatory or administrative functions of or pertaining to government, including the PBGC and other quasi-governmental entities established to perform such functions, and in each case any department or agency thereof.</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xml:space="preserve">” means (a) each Person that is a Subsidiary of the Borrower on the Closing Date and (b) each other Person that becomes a party to the Guaranty and Security Agreement or otherwise provides a guaranty for the payment and performance of the Obligations after the Closing Date pursuant to an agreement reasonably acceptable to the Collateral Agent pursuant to </w:t>
      </w:r>
      <w:r>
        <w:rPr>
          <w:rFonts w:ascii="Arial" w:cs="Arial" w:eastAsia="Arial" w:hAnsi="Arial"/>
          <w:sz w:val="22"/>
          <w:szCs w:val="22"/>
          <w:u w:val="single" w:color="auto"/>
          <w:color w:val="auto"/>
        </w:rPr>
        <w:t>Section 8.10</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 and Security Agreement</w:t>
      </w:r>
      <w:r>
        <w:rPr>
          <w:rFonts w:ascii="Arial" w:cs="Arial" w:eastAsia="Arial" w:hAnsi="Arial"/>
          <w:sz w:val="22"/>
          <w:szCs w:val="22"/>
          <w:color w:val="auto"/>
        </w:rPr>
        <w:t xml:space="preserve">” means a Guaranty and Security Agreement among each Loan Party and the Collateral Agent for the benefit of the Secured Parties, in the form of </w:t>
      </w:r>
      <w:r>
        <w:rPr>
          <w:rFonts w:ascii="Arial" w:cs="Arial" w:eastAsia="Arial" w:hAnsi="Arial"/>
          <w:sz w:val="22"/>
          <w:szCs w:val="22"/>
          <w:u w:val="single" w:color="auto"/>
          <w:color w:val="auto"/>
        </w:rPr>
        <w:t>Exhibit C-1</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Obligations</w:t>
      </w:r>
      <w:r>
        <w:rPr>
          <w:rFonts w:ascii="Arial" w:cs="Arial" w:eastAsia="Arial" w:hAnsi="Arial"/>
          <w:sz w:val="19"/>
          <w:szCs w:val="19"/>
          <w:color w:val="auto"/>
        </w:rPr>
        <w:t>” means, as to any Person, any Contingent Liability of such Person or other obligation of such Person guaranteeing or intended to guarantee any Indebtedness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“Guaranty Obligations” shall not include endorsements of instruments for deposit or collection in the Ordinary Course of Business or customary and reasonable indemnity obligations in effect on the Closing Date, entered into in connection with any acquisition or disposition of assets permitted under this Loan Agreement (other than with respect to Indebtedness). The amount of any Guaranty Obligation shall be determined in accordance with GAAP.</w:t>
      </w:r>
    </w:p>
    <w:p>
      <w:pPr>
        <w:spacing w:after="0" w:line="16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 any petroleum or petroleum products, radioactive materials, friable asbestos, urea formaldehyde foam insulation, transformers or other equipment that contain dielectric fluid containing regulated levels of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chemical, waste, material or substance which is regulated under any Environmental Law.</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Hayfin Initial Lenders</w:t>
      </w:r>
      <w:r>
        <w:rPr>
          <w:rFonts w:ascii="Arial" w:cs="Arial" w:eastAsia="Arial" w:hAnsi="Arial"/>
          <w:sz w:val="22"/>
          <w:szCs w:val="22"/>
          <w:color w:val="auto"/>
        </w:rPr>
        <w:t>” means Hayfin DLF III Luxco 1 S.àr.l, Hayfin Sapphire IV Luxco SCA, Hayfin PT Luxco 2 S.àr.l, and Infinity Holdco Private Debt II S.àr.l.</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Hayfin Lender</w:t>
      </w:r>
      <w:r>
        <w:rPr>
          <w:rFonts w:ascii="Arial" w:cs="Arial" w:eastAsia="Arial" w:hAnsi="Arial"/>
          <w:sz w:val="22"/>
          <w:szCs w:val="22"/>
          <w:color w:val="auto"/>
        </w:rPr>
        <w:t>” means, on any date of determination, if such Person is a Lender on such date of determination, any Hayfin Party.</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Hayfin Party</w:t>
      </w:r>
      <w:r>
        <w:rPr>
          <w:rFonts w:ascii="Arial" w:cs="Arial" w:eastAsia="Arial" w:hAnsi="Arial"/>
          <w:sz w:val="22"/>
          <w:szCs w:val="22"/>
          <w:color w:val="auto"/>
        </w:rPr>
        <w:t>” means (a) any Hayfin Initial Lender, (b) any Affiliate of any Hayfin Initial Lender and (c) any other funds managed and/or advised by Hayfin Capital Management LLP and any of such funds Affiliates.</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Health Care Laws</w:t>
      </w:r>
      <w:r>
        <w:rPr>
          <w:rFonts w:ascii="Arial" w:cs="Arial" w:eastAsia="Arial" w:hAnsi="Arial"/>
          <w:sz w:val="21"/>
          <w:szCs w:val="21"/>
          <w:color w:val="auto"/>
        </w:rPr>
        <w:t>” means all laws of the United States with respect to regulatory matters primarily relating to patient healthcare, including, without limitation, such laws pertaining to: (i) any federal health care program (as such term is defined in 42 U.S.C. § 1320a-7b(f)), including those pertaining to providers of goods or services that are paid for by any federal health care program, including the federal Anti-Kickback Statute (42 U.S.C. § 1320a-7b(b)), the Stark Law (42 U.S.C. § 1395nn), the civil False Claims Act (31 U.S.C. § 3729 et seq.), the administrative False Claims Law (42 U.S.C. § 1320a-7b(a)), exclusion from participation in federal health care programs (42 U.S.C. § 1320a-7), civil monetary penalties with respect to federal health care programs (42 U.S.C. § 1320a-7a), Medicare (Title XVIII of the Social Security Act), Medicaid (Title XIX of the Social Security Act), and the Public Health Service Act (“PHSA”) (42 U.S.C. §§ 201 et seq.); (ii) the general federal anti-fraud statute related to healthcare benefit programs (18 U.S.C. §1347); (iii) the privacy and security of patient-identifying health care information, including, without limitation, the Health Insurance Portability and Accountability Act of 1996; (iv) the research, testing, production, manufacturing,</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transfer, distribution and sale of drugs, biologics, and medical devices, or other products subject to the jurisdiction of the U.S.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Food and Drug Administration (“FDA”) including, without limitation, the United States Food, Drug and Cosmetic Act (21 U.S.C.</w:t>
      </w:r>
    </w:p>
    <w:p>
      <w:pPr>
        <w:jc w:val="both"/>
        <w:ind w:firstLine="8"/>
        <w:spacing w:after="0" w:line="212" w:lineRule="auto"/>
        <w:tabs>
          <w:tab w:leader="none" w:pos="282" w:val="left"/>
        </w:tabs>
        <w:numPr>
          <w:ilvl w:val="0"/>
          <w:numId w:val="49"/>
        </w:numPr>
        <w:rPr>
          <w:rFonts w:ascii="Arial" w:cs="Arial" w:eastAsia="Arial" w:hAnsi="Arial"/>
          <w:sz w:val="22"/>
          <w:szCs w:val="22"/>
          <w:color w:val="auto"/>
        </w:rPr>
      </w:pPr>
      <w:r>
        <w:rPr>
          <w:rFonts w:ascii="Arial" w:cs="Arial" w:eastAsia="Arial" w:hAnsi="Arial"/>
          <w:sz w:val="22"/>
          <w:szCs w:val="22"/>
          <w:color w:val="auto"/>
        </w:rPr>
        <w:t>301 et seq.); (v) the hiring of employees or the acquisition of services or supplies from individuals or entities that have been excluded from government health care programs; and (vi) Permits required to be held by individuals and entities involved in the manufacture and delivery of health care items and services; and with respect to the foregoing, all regulations promulgated thereunder, and equivalent applicable laws of other applicable Governmental Authorities, and each of clauses (i) through (vi) as may be amended from time to time.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shall have the meaning assigned to such term in the definition of “Secured Parties.”</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Hedging Agreement</w:t>
      </w:r>
      <w:r>
        <w:rPr>
          <w:rFonts w:ascii="Arial" w:cs="Arial" w:eastAsia="Arial" w:hAnsi="Arial"/>
          <w:sz w:val="19"/>
          <w:szCs w:val="19"/>
          <w:color w:val="auto"/>
        </w:rPr>
        <w:t>” means any rate protection agreement, foreign currency exchange agreement, commodity price protection agreement or other interest or currency exchange rate or commodity price hedging agreement.</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Obligations</w:t>
      </w:r>
      <w:r>
        <w:rPr>
          <w:rFonts w:ascii="Arial" w:cs="Arial" w:eastAsia="Arial" w:hAnsi="Arial"/>
          <w:sz w:val="21"/>
          <w:szCs w:val="21"/>
          <w:color w:val="auto"/>
        </w:rPr>
        <w:t>” means, with respect to any Person, the obligations of such Person under Hedging</w:t>
      </w:r>
    </w:p>
    <w:p>
      <w:pPr>
        <w:spacing w:after="0"/>
        <w:rPr>
          <w:sz w:val="20"/>
          <w:szCs w:val="20"/>
          <w:color w:val="auto"/>
        </w:rPr>
      </w:pPr>
      <w:r>
        <w:rPr>
          <w:rFonts w:ascii="Arial" w:cs="Arial" w:eastAsia="Arial" w:hAnsi="Arial"/>
          <w:sz w:val="22"/>
          <w:szCs w:val="22"/>
          <w:color w:val="auto"/>
        </w:rPr>
        <w:t>Agreements.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“Illegality Notice</w:t>
      </w:r>
      <w:r>
        <w:rPr>
          <w:rFonts w:ascii="Arial" w:cs="Arial" w:eastAsia="Arial" w:hAnsi="Arial"/>
          <w:sz w:val="22"/>
          <w:szCs w:val="22"/>
          <w:u w:val="single" w:color="auto"/>
          <w:color w:val="008000"/>
        </w:rPr>
        <w:t>” has the meaning given to such term in Section</w:t>
      </w:r>
      <w:r>
        <w:rPr>
          <w:rFonts w:ascii="Arial" w:cs="Arial" w:eastAsia="Arial" w:hAnsi="Arial"/>
          <w:sz w:val="22"/>
          <w:szCs w:val="22"/>
          <w:u w:val="single" w:color="auto"/>
          <w:color w:val="0000FF"/>
        </w:rPr>
        <w:t xml:space="preserve"> 2.12.</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Inaccurate Information</w:t>
      </w:r>
      <w:r>
        <w:rPr>
          <w:rFonts w:ascii="Arial" w:cs="Arial" w:eastAsia="Arial" w:hAnsi="Arial"/>
          <w:sz w:val="22"/>
          <w:szCs w:val="22"/>
          <w:color w:val="auto"/>
        </w:rPr>
        <w:t>” means any financial reporting or financial statements or projections or pro forma financial information (and any related disclosures) maintained or provided on or prior to the date hereof by or relating to Borrower which recognized revenue incorrectly as described in Borrower’s press release dated June 7, 2018 and Borrower’s Form 8-K filing dated June 7, 2018, including any such reporting as it may have impacted Borrower’s balance sheet, consolidated statements of income and cash flows for such periods.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Cap</w:t>
      </w:r>
      <w:r>
        <w:rPr>
          <w:rFonts w:ascii="Arial" w:cs="Arial" w:eastAsia="Arial" w:hAnsi="Arial"/>
          <w:sz w:val="22"/>
          <w:szCs w:val="22"/>
          <w:color w:val="auto"/>
        </w:rPr>
        <w:t>” means $50,000,000.</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Effective Date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Request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Joinder Agreement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Lender</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the following:</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7" w:lineRule="exact"/>
        <w:rPr>
          <w:sz w:val="20"/>
          <w:szCs w:val="20"/>
          <w:color w:val="auto"/>
        </w:rPr>
      </w:pPr>
    </w:p>
    <w:p>
      <w:pPr>
        <w:ind w:firstLine="1304"/>
        <w:spacing w:after="0" w:line="298" w:lineRule="auto"/>
        <w:tabs>
          <w:tab w:leader="none" w:pos="18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all indebtedness of such Person for borrowed money and all indebtedness of such Person evidenced by bonds, debentures, notes, loan agreements or other similar instruments which interest charges are customarily paid or accrued;</w:t>
      </w:r>
    </w:p>
    <w:p>
      <w:pPr>
        <w:spacing w:after="0" w:line="105" w:lineRule="exact"/>
        <w:rPr>
          <w:rFonts w:ascii="Arial" w:cs="Arial" w:eastAsia="Arial" w:hAnsi="Arial"/>
          <w:sz w:val="19"/>
          <w:szCs w:val="19"/>
          <w:color w:val="auto"/>
        </w:rPr>
      </w:pPr>
    </w:p>
    <w:p>
      <w:pPr>
        <w:jc w:val="both"/>
        <w:ind w:firstLine="1304"/>
        <w:spacing w:after="0" w:line="234" w:lineRule="auto"/>
        <w:tabs>
          <w:tab w:leader="none" w:pos="1948"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157" w:lineRule="exact"/>
        <w:rPr>
          <w:rFonts w:ascii="Arial" w:cs="Arial" w:eastAsia="Arial" w:hAnsi="Arial"/>
          <w:sz w:val="21"/>
          <w:szCs w:val="21"/>
          <w:color w:val="auto"/>
        </w:rPr>
      </w:pPr>
    </w:p>
    <w:p>
      <w:pPr>
        <w:ind w:left="1760" w:hanging="456"/>
        <w:spacing w:after="0"/>
        <w:tabs>
          <w:tab w:leader="none" w:pos="1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net Hedging Obligations of such Person;</w:t>
      </w:r>
    </w:p>
    <w:p>
      <w:pPr>
        <w:spacing w:after="0" w:line="179" w:lineRule="exact"/>
        <w:rPr>
          <w:rFonts w:ascii="Arial" w:cs="Arial" w:eastAsia="Arial" w:hAnsi="Arial"/>
          <w:sz w:val="22"/>
          <w:szCs w:val="22"/>
          <w:color w:val="auto"/>
        </w:rPr>
      </w:pPr>
    </w:p>
    <w:p>
      <w:pPr>
        <w:jc w:val="both"/>
        <w:ind w:firstLine="1304"/>
        <w:spacing w:after="0" w:line="229" w:lineRule="auto"/>
        <w:tabs>
          <w:tab w:leader="none" w:pos="1769" w:val="left"/>
        </w:tabs>
        <w:numPr>
          <w:ilvl w:val="0"/>
          <w:numId w:val="50"/>
        </w:numPr>
        <w:rPr>
          <w:rFonts w:ascii="Arial" w:cs="Arial" w:eastAsia="Arial" w:hAnsi="Arial"/>
          <w:sz w:val="21"/>
          <w:szCs w:val="21"/>
          <w:color w:val="auto"/>
        </w:rPr>
      </w:pPr>
      <w:r>
        <w:rPr>
          <w:rFonts w:ascii="Arial" w:cs="Arial" w:eastAsia="Arial" w:hAnsi="Arial"/>
          <w:sz w:val="21"/>
          <w:szCs w:val="21"/>
          <w:color w:val="auto"/>
        </w:rPr>
        <w:t>all obligations of such Person from installment purchases of property, Persons, or services or representing the deferred purchase price for property or services (other than trade accounts payable in the Ordinary Course of Business) and other similar deferred purchase price obligations (including earn-outs or other contingent consideration for acquisitions or other Investments), in each case to the extent constituting liabilities under GAAP;</w:t>
      </w:r>
    </w:p>
    <w:p>
      <w:pPr>
        <w:spacing w:after="0" w:line="158" w:lineRule="exact"/>
        <w:rPr>
          <w:rFonts w:ascii="Arial" w:cs="Arial" w:eastAsia="Arial" w:hAnsi="Arial"/>
          <w:sz w:val="21"/>
          <w:szCs w:val="21"/>
          <w:color w:val="auto"/>
        </w:rPr>
      </w:pPr>
    </w:p>
    <w:p>
      <w:pPr>
        <w:jc w:val="both"/>
        <w:ind w:firstLine="1304"/>
        <w:spacing w:after="0" w:line="257" w:lineRule="auto"/>
        <w:tabs>
          <w:tab w:leader="none" w:pos="19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obligations secured by (or for which the holder of such obligation has an existing right, contingent or otherwise, to be secured by) a Lien on property owned or being purchased by such Person (including obligations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44" w:lineRule="exact"/>
        <w:rPr>
          <w:rFonts w:ascii="Arial" w:cs="Arial" w:eastAsia="Arial" w:hAnsi="Arial"/>
          <w:sz w:val="19"/>
          <w:szCs w:val="19"/>
          <w:color w:val="auto"/>
        </w:rPr>
      </w:pPr>
    </w:p>
    <w:p>
      <w:pPr>
        <w:ind w:left="1740" w:hanging="436"/>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Attributable Indebtedness;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obligations of such Person in respect of Disqualified Capital Stock;</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Guaranty Obligations of such Person in respect of any of the foregoing; and</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trade payables more than ninety (90) days past due.</w:t>
      </w:r>
    </w:p>
    <w:p>
      <w:pPr>
        <w:spacing w:after="0" w:line="17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 xml:space="preserve">Indebtedness of any Person shall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constitute Funded Debt. The amount of any net Hedging Obligations on any date shall be deemed to be the Swap Termination Value thereof as of such date. The amount of Indebtedness of any Person for purposes of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above shall be deemed to be equal to the lesser of (x) the aggregate unpaid amount of such Indebtedness and (y) the fair market value of the property encumbered thereby as determined by such Person in good faith.</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12.05</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Ineligible Product</w:t>
      </w:r>
      <w:r>
        <w:rPr>
          <w:rFonts w:ascii="Arial" w:cs="Arial" w:eastAsia="Arial" w:hAnsi="Arial"/>
          <w:sz w:val="21"/>
          <w:szCs w:val="21"/>
          <w:color w:val="auto"/>
        </w:rPr>
        <w:t>” means any Product that (a) has become the subject of (i) an Order of Retention, Recall, Destruction, or Cessation of Manufacturing (excluding any such order to the extent relating to the recall of any Product); or (ii) a License Suspension or Revocation Letter which remains in full effect; or (b) otherwise is prohibited from distribution in interstate commerce or export pursuant to the Food, Drug and Cosmetic Act or the PHSA.</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Loans</w:t>
      </w:r>
      <w:r>
        <w:rPr>
          <w:rFonts w:ascii="Arial" w:cs="Arial" w:eastAsia="Arial" w:hAnsi="Arial"/>
          <w:sz w:val="22"/>
          <w:szCs w:val="22"/>
          <w:color w:val="auto"/>
        </w:rPr>
        <w:t xml:space="preserve">” means the Initial Term Loans, each DDTL (if any) and any Incremental Term Loans incurred as an increase to the then in existence “Initial Loans” in accordance with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Loans Maturity Date</w:t>
      </w:r>
      <w:r>
        <w:rPr>
          <w:rFonts w:ascii="Arial" w:cs="Arial" w:eastAsia="Arial" w:hAnsi="Arial"/>
          <w:sz w:val="22"/>
          <w:szCs w:val="22"/>
          <w:color w:val="auto"/>
        </w:rPr>
        <w:t>” means June 30, 2025.</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 Lender</w:t>
      </w:r>
      <w:r>
        <w:rPr>
          <w:rFonts w:ascii="Arial" w:cs="Arial" w:eastAsia="Arial" w:hAnsi="Arial"/>
          <w:sz w:val="19"/>
          <w:szCs w:val="19"/>
          <w:color w:val="auto"/>
        </w:rPr>
        <w:t>” means any Lender with an Initial Term Loan Commitment or an outstanding Initial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Term Loan.</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 Commitment</w:t>
      </w:r>
      <w:r>
        <w:rPr>
          <w:rFonts w:ascii="Arial" w:cs="Arial" w:eastAsia="Arial" w:hAnsi="Arial"/>
          <w:sz w:val="22"/>
          <w:szCs w:val="22"/>
          <w:color w:val="auto"/>
        </w:rPr>
        <w:t xml:space="preserve">” means, in the case of each Lender as of the date hereof, the amount set forth opposite such Lender’s name on </w:t>
      </w:r>
      <w:r>
        <w:rPr>
          <w:rFonts w:ascii="Arial" w:cs="Arial" w:eastAsia="Arial" w:hAnsi="Arial"/>
          <w:sz w:val="22"/>
          <w:szCs w:val="22"/>
          <w:u w:val="single" w:color="auto"/>
          <w:color w:val="auto"/>
        </w:rPr>
        <w:t>Schedule 1.01</w:t>
      </w:r>
      <w:r>
        <w:rPr>
          <w:rFonts w:ascii="Arial" w:cs="Arial" w:eastAsia="Arial" w:hAnsi="Arial"/>
          <w:sz w:val="22"/>
          <w:szCs w:val="22"/>
          <w:color w:val="auto"/>
        </w:rPr>
        <w:t xml:space="preserve"> under the header “Initial Term Loan Commitment”, as the same may be changed from time to time pursuant to the terms hereof.</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Proceeding</w:t>
      </w:r>
      <w:r>
        <w:rPr>
          <w:rFonts w:ascii="Arial" w:cs="Arial" w:eastAsia="Arial" w:hAnsi="Arial"/>
          <w:sz w:val="19"/>
          <w:szCs w:val="19"/>
          <w:color w:val="auto"/>
        </w:rPr>
        <w:t>” means, with respect to any Person (including, any Lender), such Person or such Person’s direct or indirect parent company (a) becomes the subject of a bankruptcy or insolvency proceeding (including any proceeding under Title 11 of the United States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ceases operations of its present business, (d) with respect to a Lender, such Lender is unable to perform hereunder due to the application of Applicable Law, or (e) in the good faith determination of the Administrative Agent, has taken any action in furtherance of, or indicating its consent to, approval of, or acquiescence in, any such proceeding or appointment of a type described in clauses (a) or (b), provided that an Insolvency Proceeding shall not result solely by virtue of any ownership interest, or the acquisition of any ownership interest, in such Person or such Person’s direct or indirect parent company by a Governmental Authority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Notes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9.01(j)</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 means the last Business Day of each calendar quarter (or portion thereof), commencing on September 30, 2019;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Interest Payment Date occurs on a day that is not a Business Day, then such Interest Payment Date shall be deemed to occur on the next succeeding Business Day.</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with respect to any Loan, initially the period commencing on the Business Day such Loan is disbursed </w:t>
      </w:r>
      <w:r>
        <w:rPr>
          <w:rFonts w:ascii="Arial" w:cs="Arial" w:eastAsia="Arial" w:hAnsi="Arial"/>
          <w:sz w:val="22"/>
          <w:szCs w:val="22"/>
          <w:u w:val="single" w:color="auto"/>
          <w:color w:val="0000FF"/>
        </w:rPr>
        <w:t>(or converted to a Prime Rate Loan in accordance with Sections 2.11 and 2.12)</w:t>
      </w:r>
      <w:r>
        <w:rPr>
          <w:rFonts w:ascii="Arial" w:cs="Arial" w:eastAsia="Arial" w:hAnsi="Arial"/>
          <w:sz w:val="22"/>
          <w:szCs w:val="22"/>
          <w:color w:val="auto"/>
        </w:rPr>
        <w:t xml:space="preserve"> and ending on the date three (3) calendar months after such disbursement and thereafter each period of three (3) consecutive calendar months ending on the last date of such three calendar month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61" w:lineRule="exact"/>
        <w:rPr>
          <w:sz w:val="20"/>
          <w:szCs w:val="20"/>
          <w:color w:val="auto"/>
        </w:rPr>
      </w:pPr>
    </w:p>
    <w:p>
      <w:pPr>
        <w:jc w:val="both"/>
        <w:ind w:firstLine="1304"/>
        <w:spacing w:after="0" w:line="268" w:lineRule="auto"/>
        <w:tabs>
          <w:tab w:leader="none" w:pos="1763"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any Interest Period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7" w:lineRule="exact"/>
        <w:rPr>
          <w:sz w:val="20"/>
          <w:szCs w:val="20"/>
          <w:color w:val="auto"/>
        </w:rPr>
      </w:pPr>
    </w:p>
    <w:p>
      <w:pPr>
        <w:jc w:val="both"/>
        <w:ind w:firstLine="1304"/>
        <w:spacing w:after="0" w:line="223" w:lineRule="auto"/>
        <w:tabs>
          <w:tab w:leader="none" w:pos="18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799"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 Interest Period for any Loan or any portion thereof shall extend beyond the last scheduled payment date therefor and if such Interest Period would otherwise extend beyond the Maturity Date applicable to such Loan, such Interest Period shall automatically be deemed to end (and be the Interest Period that ends) on the Maturity Date applicable to such Loan.</w:t>
      </w:r>
    </w:p>
    <w:p>
      <w:pPr>
        <w:spacing w:after="0" w:line="13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any and all “goods” (as defined in the UCC) which shall at any time constitute “inventory” (as defined in the UCC) of any Loan Party, wherever located (including without limitation, goods in transit and goods in the possession of third parties), or which from time to time are held for sale, lease or consumption in any Loan Party’s business, furnished under any contract of service or held as raw materials, work in process, finished inventory or supplies (including without limitation, packaging and/or shipping materials).</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relative to any Person, (a) any loan, advance or extension of credit made by such Person to any other Person, including the purchase by such first Person of any bonds, notes, debentures or other debt securities of any such other Person; (b) the incurrence of Contingent Liabilities in favor of any other Person; and (c) the acquisition of, or capital contribution in respect of, any Capital Stock held by such Person in any other Person. The amount of any Investment at any time shall be the original principal or capital amount thereof less all returns of principal or equity or capital thereon received (in cash or in the same form as the Investment) on or before such time and shall, if made by the transfer or exchange of property other than cash, be deemed to have been made in an original principal or capital amount equal to the fair market value of such property at the time of such Investment.</w:t>
      </w:r>
    </w:p>
    <w:p>
      <w:pPr>
        <w:spacing w:after="0" w:line="16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means “Intellectual Property</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r>
        <w:rPr>
          <w:rFonts w:ascii="Arial" w:cs="Arial" w:eastAsia="Arial" w:hAnsi="Arial"/>
          <w:sz w:val="22"/>
          <w:szCs w:val="22"/>
          <w:color w:val="auto"/>
        </w:rPr>
        <w:t xml:space="preserve"> as defined in the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-69215</wp:posOffset>
            </wp:positionV>
            <wp:extent cx="274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IP</w:t>
      </w:r>
      <w:r>
        <w:rPr>
          <w:rFonts w:ascii="Arial" w:cs="Arial" w:eastAsia="Arial" w:hAnsi="Arial"/>
          <w:sz w:val="22"/>
          <w:szCs w:val="22"/>
          <w:color w:val="auto"/>
        </w:rPr>
        <w:t xml:space="preserve">” means all IP Rights described on </w:t>
      </w:r>
      <w:r>
        <w:rPr>
          <w:rFonts w:ascii="Arial" w:cs="Arial" w:eastAsia="Arial" w:hAnsi="Arial"/>
          <w:sz w:val="22"/>
          <w:szCs w:val="22"/>
          <w:u w:val="single" w:color="auto"/>
          <w:color w:val="auto"/>
        </w:rPr>
        <w:t>Schedule 1.02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-69215</wp:posOffset>
            </wp:positionV>
            <wp:extent cx="274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Agreement</w:t>
      </w:r>
      <w:r>
        <w:rPr>
          <w:rFonts w:ascii="Arial" w:cs="Arial" w:eastAsia="Arial" w:hAnsi="Arial"/>
          <w:sz w:val="21"/>
          <w:szCs w:val="21"/>
          <w:color w:val="auto"/>
        </w:rPr>
        <w:t>” means, with respect to (i) 1775 West Oak Commons Ct. NE Marietta, GA 30062 and each other location owned by a third party and used by a Loan Party as a manufacturing facility or where original books and records, primary servers, or any other systems necessary to operate the business in the Ordinary Course of Business are located and (ii) each other location owned by a third party at which a Loan Party stores Collateral with an aggregate value of greater than $5,000,000, in each case, a landlord waiver, collateral access agreement or other acknowledgement agreement of the applicable landlord or lessor in possession of, having a Lien upon, or having rights or interests in Collateral located therein as may be reasonably requested by the Collateral Agent, in each case in form and substance reasonably satisfactory to the Collateral Agent and the Borrower.</w:t>
      </w:r>
    </w:p>
    <w:p>
      <w:pPr>
        <w:spacing w:after="0" w:line="16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Maturity Date</w:t>
      </w:r>
      <w:r>
        <w:rPr>
          <w:rFonts w:ascii="Arial" w:cs="Arial" w:eastAsia="Arial" w:hAnsi="Arial"/>
          <w:sz w:val="22"/>
          <w:szCs w:val="22"/>
          <w:color w:val="auto"/>
        </w:rPr>
        <w:t>” means, as of any date of determination, the latest maturity or expiration date applicable to any Loan or commitment hereunder as of such date.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law (including common law), statute, regulation, ordinance, rule, order, decree, judgment, consent decree, writ, injunction, settlement agreement or binding</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governmental requirement enacted, promulgated or imposed or entered into or agreed by any Governmental Authority or determination of an arbitrator.</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means each Person identified as a “Lender” on Schedule 1.01 and any Incremental Term Loan Lenders, their assignees pursuant to </w:t>
      </w:r>
      <w:r>
        <w:rPr>
          <w:rFonts w:ascii="Arial" w:cs="Arial" w:eastAsia="Arial" w:hAnsi="Arial"/>
          <w:sz w:val="21"/>
          <w:szCs w:val="21"/>
          <w:u w:val="single" w:color="auto"/>
          <w:color w:val="auto"/>
        </w:rPr>
        <w:t>Section 12.06</w:t>
      </w:r>
      <w:r>
        <w:rPr>
          <w:rFonts w:ascii="Arial" w:cs="Arial" w:eastAsia="Arial" w:hAnsi="Arial"/>
          <w:sz w:val="21"/>
          <w:szCs w:val="21"/>
          <w:color w:val="auto"/>
        </w:rPr>
        <w:t>, and each other Person that has made or holds Loans, in each case other than any such Person that has ceased to be a party hereto pursuant to an Assignment and Acceptance.</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LIBOR Rate</w:t>
      </w:r>
      <w:r>
        <w:rPr>
          <w:rFonts w:ascii="Arial" w:cs="Arial" w:eastAsia="Arial" w:hAnsi="Arial"/>
          <w:sz w:val="21"/>
          <w:szCs w:val="21"/>
          <w:color w:val="FF0000"/>
          <w:strike w:val="1"/>
        </w:rPr>
        <w:t xml:space="preserve">” means, for any Interest Period, a rate per annum (rounded upwards, if necessary, to the nearest 1/100 of 1.00%) equal to the greater of (i) Three Month London Inter-Bank Offered Rate for U.S. Dollar Deposits as set and published by ICE Benchmark Administration Limited (or its successor) and as obtained by the Administrative Agent through the applicable Bloomberg, L.P. screen page (or, if unavailable, another service or publication selected by the Administrative Agent), at approximately 11:00 a.m. two (2) </w:t>
      </w:r>
      <w:r>
        <w:rPr>
          <w:rFonts w:ascii="Arial" w:cs="Arial" w:eastAsia="Arial" w:hAnsi="Arial"/>
          <w:sz w:val="21"/>
          <w:szCs w:val="21"/>
          <w:color w:val="008000"/>
          <w:strike w:val="1"/>
        </w:rPr>
        <w:t>Business Days prior to the first day of such Interest Period</w:t>
      </w:r>
      <w:r>
        <w:rPr>
          <w:rFonts w:ascii="Arial" w:cs="Arial" w:eastAsia="Arial" w:hAnsi="Arial"/>
          <w:sz w:val="21"/>
          <w:szCs w:val="21"/>
          <w:color w:val="FF0000"/>
          <w:strike w:val="1"/>
        </w:rPr>
        <w:t xml:space="preserve"> and (ii) one and one-half percent (1.50%) per annum;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that if the rates referenced in the preceding clauses (i) and (ii) are not available</w:t>
      </w:r>
      <w:r>
        <w:rPr>
          <w:rFonts w:ascii="Arial" w:cs="Arial" w:eastAsia="Arial" w:hAnsi="Arial"/>
          <w:sz w:val="21"/>
          <w:szCs w:val="21"/>
          <w:color w:val="008000"/>
          <w:strike w:val="1"/>
        </w:rPr>
        <w:t>, the rate per annum</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equal to </w:t>
      </w:r>
      <w:r>
        <w:rPr>
          <w:rFonts w:ascii="Arial" w:cs="Arial" w:eastAsia="Arial" w:hAnsi="Arial"/>
          <w:sz w:val="21"/>
          <w:szCs w:val="21"/>
          <w:color w:val="FF0000"/>
          <w:strike w:val="1"/>
        </w:rPr>
        <w:t>the quotation rate offered to first class banks in the London interbank market for deposits (for delivery on the first day of</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the relevant period) in Dollars of amounts in same day funds comparable to the principal amount of the applicable Loans as determined by the Administrative Agent.</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statutory or other lien, security interest, mortgage, pledge, hypothecation, assignment for collateral purposes, encumbrance, option, purchase right, call right, easement, right-of-way, license, sub-license, restriction (including zoning restrictions), defect, exception or material irregularity in title or similar charge or encumbrance, including any agreement to give any of the foregoing, any conditional sale or other title retention agreement or any lease in the nature thereof.</w:t>
      </w:r>
    </w:p>
    <w:p>
      <w:pPr>
        <w:spacing w:after="0" w:line="14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 Acquisition</w:t>
      </w:r>
      <w:r>
        <w:rPr>
          <w:rFonts w:ascii="Arial" w:cs="Arial" w:eastAsia="Arial" w:hAnsi="Arial"/>
          <w:sz w:val="19"/>
          <w:szCs w:val="19"/>
          <w:color w:val="auto"/>
        </w:rPr>
        <w:t>” means any Permitted Acquisition by Borrower or one or more of its Subsidiaries permitted pursuant to this Loan Agreement whose consummation is not conditioned on the availability of, or on obtaining, third party financing; provided that in the event the consummation of any such Permitted Acquisition shall not have occurred on or prior to the date that is four months following the signing of the applicable Limited Condition Acquisition Agreement, such acquisition shall no longer constitute a Limited Condition Acquisition for any purpose hereunder.</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 Agreement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means, as of any date of determination, the amount of Qualified Cash of the Consolidated Companies.</w:t>
      </w:r>
    </w:p>
    <w:p>
      <w:pPr>
        <w:spacing w:after="0" w:line="214"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Compliance Certificate</w:t>
      </w:r>
      <w:r>
        <w:rPr>
          <w:rFonts w:ascii="Arial" w:cs="Arial" w:eastAsia="Arial" w:hAnsi="Arial"/>
          <w:sz w:val="22"/>
          <w:szCs w:val="22"/>
          <w:color w:val="auto"/>
        </w:rPr>
        <w:t xml:space="preserve">” means a certificate duly completed and executed by an Authorized Officer of the Borrower substantially in the form of </w:t>
      </w:r>
      <w:r>
        <w:rPr>
          <w:rFonts w:ascii="Arial" w:cs="Arial" w:eastAsia="Arial" w:hAnsi="Arial"/>
          <w:sz w:val="22"/>
          <w:szCs w:val="22"/>
          <w:u w:val="single" w:color="auto"/>
          <w:color w:val="auto"/>
        </w:rPr>
        <w:t>Exhibit D-2</w:t>
      </w:r>
      <w:r>
        <w:rPr>
          <w:rFonts w:ascii="Arial" w:cs="Arial" w:eastAsia="Arial" w:hAnsi="Arial"/>
          <w:sz w:val="22"/>
          <w:szCs w:val="22"/>
          <w:color w:val="auto"/>
        </w:rPr>
        <w:t>, together with such changes thereto or departures therefrom as the Administrative Agent may reasonably request (in connection with any operational or administrative function of the Administrative Agent or to reflect any amendment or modification of this Loan Agreement or any other Loan Document) or approve from time to time.</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Agreement</w:t>
      </w:r>
      <w:r>
        <w:rPr>
          <w:rFonts w:ascii="Arial" w:cs="Arial" w:eastAsia="Arial" w:hAnsi="Arial"/>
          <w:sz w:val="22"/>
          <w:szCs w:val="22"/>
          <w:color w:val="auto"/>
        </w:rPr>
        <w:t>” means this Loan Agreement, as amended, amended and restated, supplemented or otherwise modified, renewed or replaced from time to time.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Loan Agreement, the Notes, the Fee Letter, the Security Documents, the Perfection Certificates, any intercreditor or subordination agreements in favor of any Agent with respect to this Loan Agreement, and any other document, instrument,</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certificate or agreement executed by any Loan Party, or by the Borrower on behalf of any Loan Party, and delivered to any Agent or Lender in connection with any of the foregoing or the Obligations.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the Borrower, each of the other Guarantors, and each other Person that becomes a Loan Party pursuant to the execution of joinder documents.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Initial Term Loans, each DDTL (if any) and any Incremental Term Loan (if any).</w:t>
      </w:r>
    </w:p>
    <w:p>
      <w:pPr>
        <w:spacing w:after="0" w:line="17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u w:val="single" w:color="auto"/>
          <w:color w:val="auto"/>
        </w:rPr>
        <w:t>Make-Whole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means shall mean, as of any time of determination with respect to any actual or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repayment, or prepayment or acceleration of the outstanding principal amount of the Loans, an amount, determined by the Administrative Agent, equal to the greater of (a) 5.00% of the outstanding principal amount of the Loans being repaid or prepaid or accelerated at such time of determination and (b) the excess of (i) the present value on the repayment, prepayment or acceleration date of the aggregate of (x) 102.00% of the principal amount to be repaid, prepaid or accelerated as if that amount would otherwise be repaid, prepaid or accelerated on the date that is twelve (12) months following the Closing Date and (y) the amount equal to the amount of all interest which would otherwise have accrued for the period from the date of such repayment, or prepayment or acceleration (or the date on which such repayment or prepayment was required to be made) to the date that is twelve (12) months following the Closing Date, computed using a discount rate equal to the Treasury Rate as at the date which is two Business Days prior to the date of repayment or prepayment plus 50 basis points, over (ii) the principal amount to be repaid or prepaid or accelerated.</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as such term is defined in Regulations T, U or X of the Board.</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 means a material adverse effect or material adverse change on (a) (i) the financial condition, results of operations, assets, liabilities or properties of the Borrower, the other Loan Parties, and their respective Subsidiaries, taken as a whole, or (ii) validity or enforceability of this Loan Agreement, any of the other Loan Documents, any material provision hereof or thereof, or any material right or remedy of the Secured Parties hereunder or thereunder, or (b) the ability of the Borrower, any other Loan Party, or any of their respective Subsidiaries, taken as a whole, to perform any of their material obligations contained in this Loan Agreement or any of the other Loan Documents.</w:t>
      </w:r>
    </w:p>
    <w:p>
      <w:pPr>
        <w:spacing w:after="0" w:line="15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Contracts</w:t>
      </w:r>
      <w:r>
        <w:rPr>
          <w:rFonts w:ascii="Arial" w:cs="Arial" w:eastAsia="Arial" w:hAnsi="Arial"/>
          <w:sz w:val="22"/>
          <w:szCs w:val="22"/>
          <w:color w:val="auto"/>
        </w:rPr>
        <w:t>” means and includes (i) any Contractual Obligation of any Loan Party or any Subsidiary of a Loan Party, the failure to comply with which, or the termination (without contemporaneous replacement) of which, could reasonably be expected to have a Material Adverse Effect and/or (ii) any Contractual Obligation of any Loan Party or any Subsidiary of a Loan Party involving aggregate annual consideration payable to such Loan Party or Subsidiary in excess of $20,000,000.</w:t>
      </w:r>
    </w:p>
    <w:p>
      <w:pPr>
        <w:spacing w:after="0" w:line="15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any Indebtedness of any Loan Party or Subsidiary of any Loan Party (other than the Obligations) having a principal or stated amount, individually or in the aggregate, in excess of $5,000,000.</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(i) with respect to the Initial Loans, the Initial Loans Maturity Date, and (ii) with respect to any Additional Incremental Term Loan, the applicable Additional Incremental Term Loan Maturity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“MiMedx Supply” has the meaning given to such term in Section 8.10.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Minimum Consolidated Total Net Sales Amount</w:t>
      </w:r>
      <w:r>
        <w:rPr>
          <w:rFonts w:ascii="Arial" w:cs="Arial" w:eastAsia="Arial" w:hAnsi="Arial"/>
          <w:sz w:val="21"/>
          <w:szCs w:val="21"/>
          <w:color w:val="auto"/>
        </w:rPr>
        <w:t xml:space="preserve">” has the meaning given to such term in </w:t>
      </w:r>
      <w:r>
        <w:rPr>
          <w:rFonts w:ascii="Arial" w:cs="Arial" w:eastAsia="Arial" w:hAnsi="Arial"/>
          <w:sz w:val="21"/>
          <w:szCs w:val="21"/>
          <w:u w:val="single" w:color="auto"/>
          <w:color w:val="auto"/>
        </w:rPr>
        <w:t>Section 9.13(b)</w:t>
      </w:r>
      <w:r>
        <w:rPr>
          <w:rFonts w:ascii="Arial" w:cs="Arial" w:eastAsia="Arial" w:hAnsi="Arial"/>
          <w:sz w:val="21"/>
          <w:szCs w:val="21"/>
          <w:color w:val="auto"/>
        </w:rPr>
        <w:t>.</w:t>
      </w:r>
    </w:p>
    <w:p>
      <w:pPr>
        <w:spacing w:after="0" w:line="19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Model</w:t>
      </w:r>
      <w:r>
        <w:rPr>
          <w:rFonts w:ascii="Arial" w:cs="Arial" w:eastAsia="Arial" w:hAnsi="Arial"/>
          <w:sz w:val="22"/>
          <w:szCs w:val="22"/>
          <w:color w:val="auto"/>
        </w:rPr>
        <w:t>” means that certain forecast model delivered to the Administrative Agent as the Excel file titled “Falcon Model 28 JUN 20” via the Borrower’s virtual data room, folder 20.26</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or any successor by merger or consolidation to its business.</w:t>
      </w:r>
    </w:p>
    <w:p>
      <w:pPr>
        <w:spacing w:after="0" w:line="21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means a mortgage or a deed of trust, deed to secure debt, trust deed or other security document entered into by any applicable Loan Party and the Collateral Agent for the benefit of the Secured Parties in respect of any Real Property owned by such Loan Party, in form and substance reasonably satisfactory to the Collateral Agent.</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means each parcel of Real Property and the improvements thereto (if any) with respect to which a Mortgage is granted pursuant to </w:t>
      </w:r>
      <w:r>
        <w:rPr>
          <w:rFonts w:ascii="Arial" w:cs="Arial" w:eastAsia="Arial" w:hAnsi="Arial"/>
          <w:sz w:val="22"/>
          <w:szCs w:val="22"/>
          <w:u w:val="single" w:color="auto"/>
          <w:color w:val="auto"/>
        </w:rPr>
        <w:t>Section 8.13(a)</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multiemployer plan, as defined in Section 4001(a)(3) of ERISA, which is contributed to by (or to which there is an obligation to contribute of) any Loan Party or any ERISA Affiliate, and each such plan for the five-year period immediately following the latest date on which any Loan Party or any ERISA Affiliate contributed to or had an obligation to contribute to such plan.</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Casualty Proceeds</w:t>
      </w:r>
      <w:r>
        <w:rPr>
          <w:rFonts w:ascii="Arial" w:cs="Arial" w:eastAsia="Arial" w:hAnsi="Arial"/>
          <w:sz w:val="19"/>
          <w:szCs w:val="19"/>
          <w:color w:val="auto"/>
        </w:rPr>
        <w:t xml:space="preserve">” means, with respect to any Casualty Event, the gross cash proceeds of any insurance proceeds or condemnation awards received by any Loan Party or any of its Subsidiaries in connection with such Casualty Event, net of all reasonable and customary collection expenses thereof (including, without limitation, any legal or other professional fees) (except with respect to any expenses paid to a Loan Party or an Affiliate thereof), but excluding any proceeds or awards required to be paid to a creditor (other than the Lenders) which holds a first priority Lien permitted by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on the property which is the subject of such Casualty Event, and less any Taxes payable by such Person on account of such insurance proceeds or condemnation award, actually paid, assessed or estimated by such Person (in good faith) to be payable within the next twelve (12) months in cash in connection with such Casualty Event, in each case to the extent, but only to the extent, that the amounts are properly attributable to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the expiration of such twelve-month period, the amount of such estimated or assessed Taxes, if any, exceeded the Taxes actually paid in cash in respect of proceeds from such Casualty Event, the aggregate amount of such excess shall constitute additional Net Casualty Proceeds under </w:t>
      </w:r>
      <w:r>
        <w:rPr>
          <w:rFonts w:ascii="Arial" w:cs="Arial" w:eastAsia="Arial" w:hAnsi="Arial"/>
          <w:sz w:val="19"/>
          <w:szCs w:val="19"/>
          <w:u w:val="single" w:color="auto"/>
          <w:color w:val="auto"/>
        </w:rPr>
        <w:t>Section 4.02(a)(iii)</w:t>
      </w:r>
      <w:r>
        <w:rPr>
          <w:rFonts w:ascii="Arial" w:cs="Arial" w:eastAsia="Arial" w:hAnsi="Arial"/>
          <w:sz w:val="19"/>
          <w:szCs w:val="19"/>
          <w:color w:val="auto"/>
        </w:rPr>
        <w:t xml:space="preserve"> and be applied to the prepayment of the Obligations pursuant to </w:t>
      </w:r>
      <w:r>
        <w:rPr>
          <w:rFonts w:ascii="Arial" w:cs="Arial" w:eastAsia="Arial" w:hAnsi="Arial"/>
          <w:sz w:val="19"/>
          <w:szCs w:val="19"/>
          <w:u w:val="single" w:color="auto"/>
          <w:color w:val="auto"/>
        </w:rPr>
        <w:t>Section 4.02(b)</w:t>
      </w:r>
      <w:r>
        <w:rPr>
          <w:rFonts w:ascii="Arial" w:cs="Arial" w:eastAsia="Arial" w:hAnsi="Arial"/>
          <w:sz w:val="19"/>
          <w:szCs w:val="19"/>
          <w:color w:val="auto"/>
        </w:rPr>
        <w:t>.</w:t>
      </w:r>
    </w:p>
    <w:p>
      <w:pPr>
        <w:spacing w:after="0" w:line="16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Debt Proceeds</w:t>
      </w:r>
      <w:r>
        <w:rPr>
          <w:rFonts w:ascii="Arial" w:cs="Arial" w:eastAsia="Arial" w:hAnsi="Arial"/>
          <w:sz w:val="19"/>
          <w:szCs w:val="19"/>
          <w:color w:val="auto"/>
        </w:rPr>
        <w:t xml:space="preserve">” means, with respect to the sale or issuance by any Loan Party or any of its Subsidiaries of any Indebtedness, the excess of: (a) the gross cash proceeds received by the issuer of such Indebtedness from such sale or issuance,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all reasonable and customary underwriting commissions and legal, investment banking, underwriting, brokerage, accounting and other professional fees, sales commissions and disbursements and all other reasonable fees, expenses and charges, in each case actually incurred in connection with such sale or issuance which have not been paid and are not payable to any Loan Party or an Affiliate thereof in connection therewith.</w:t>
      </w:r>
    </w:p>
    <w:p>
      <w:pPr>
        <w:spacing w:after="0" w:line="15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Disposition Proceeds</w:t>
      </w:r>
      <w:r>
        <w:rPr>
          <w:rFonts w:ascii="Arial" w:cs="Arial" w:eastAsia="Arial" w:hAnsi="Arial"/>
          <w:sz w:val="19"/>
          <w:szCs w:val="19"/>
          <w:color w:val="auto"/>
        </w:rPr>
        <w:t xml:space="preserve">” means, with respect to any Disposition by any Loan Party or any of its Subsidiaries, the excess of: (a) the gross cash proceeds received by such Person from such Disposition,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sum of: (i) all reasonable and customary legal, investment banking, underwriting, brokerage and accounting and other professional fees, sales</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commissions and disbursements and all other reasonable fees, expenses and charges, in each case actually incurred in connection with such Disposition which have not been paid and are not payable to any Loan Party or Affiliate thereof in connection therewith, and (ii) all Taxes payable by such Person on account of proceeds from such Disposition, actually paid, assessed or estimated by such Person (in good faith) to be payable in cash within the next twelve (12) months in connection with such proceeds, in each case to the extent, but only to the extent, that the amounts are properly attributable to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the expiration of the twelve-month period referred to in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above, the amount of estimated or assessed Taxes, if any, pursuant to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above exceeded the Taxes actually paid in cash in respect of proceeds from such Disposition, the aggregate amount of such excess shall constitute Net Disposition Proceeds under </w:t>
      </w:r>
      <w:r>
        <w:rPr>
          <w:rFonts w:ascii="Arial" w:cs="Arial" w:eastAsia="Arial" w:hAnsi="Arial"/>
          <w:sz w:val="19"/>
          <w:szCs w:val="19"/>
          <w:u w:val="single" w:color="auto"/>
          <w:color w:val="auto"/>
        </w:rPr>
        <w:t>Section 4.02(a)(ii)</w:t>
      </w:r>
      <w:r>
        <w:rPr>
          <w:rFonts w:ascii="Arial" w:cs="Arial" w:eastAsia="Arial" w:hAnsi="Arial"/>
          <w:sz w:val="19"/>
          <w:szCs w:val="19"/>
          <w:color w:val="auto"/>
        </w:rPr>
        <w:t xml:space="preserve"> and be applied to the prepayment of the Obligations pursuant to </w:t>
      </w:r>
      <w:r>
        <w:rPr>
          <w:rFonts w:ascii="Arial" w:cs="Arial" w:eastAsia="Arial" w:hAnsi="Arial"/>
          <w:sz w:val="19"/>
          <w:szCs w:val="19"/>
          <w:u w:val="single" w:color="auto"/>
          <w:color w:val="auto"/>
        </w:rPr>
        <w:t>Section 4.02(b)</w:t>
      </w:r>
      <w:r>
        <w:rPr>
          <w:rFonts w:ascii="Arial" w:cs="Arial" w:eastAsia="Arial" w:hAnsi="Arial"/>
          <w:sz w:val="19"/>
          <w:szCs w:val="19"/>
          <w:color w:val="auto"/>
        </w:rPr>
        <w: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12.07(b)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of Exclusive Control</w:t>
      </w:r>
      <w:r>
        <w:rPr>
          <w:rFonts w:ascii="Arial" w:cs="Arial" w:eastAsia="Arial" w:hAnsi="Arial"/>
          <w:sz w:val="19"/>
          <w:szCs w:val="19"/>
          <w:color w:val="auto"/>
        </w:rPr>
        <w:t>” means notice from the Collateral Agent issued after the occurrence and during the existence of an Event of Default to the depositary bank, securities intermediary, commodity intermediary or other financial institution party to an Account Control Agreement that it will (a) cease to comply with instructions directing the disposition of funds in, cease to comply with entitlement orders with respect to financial assets in, and cease to apply any value distributed on account of the commodity contracts in, the account issued by the applicable Loan Party, and (b) comply only with instructions of the Collateral Agent directing the disposition of funds in, or entitlement orders with respect to financial assets in, or the application of value on account of the commodity contracts in, the account without the consent of any Loan Party.</w:t>
      </w:r>
    </w:p>
    <w:p>
      <w:pPr>
        <w:spacing w:after="0" w:line="15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 with respect to the Borrower, all obligations (monetary or otherwise, whenever arising, and whether absolute or contingent, liquidated or unliquidated, due or to become due, or matured or unmatured) of the Borrower arising under this Loan Agreement, the Notes, the Fee Letter or any other Loan Document, including the principal of, and interest (including interest accruing after the commencement or during the pendency of any proceeding, action or case under the Bankruptcy Code or otherwise of the type described in </w:t>
      </w:r>
      <w:r>
        <w:rPr>
          <w:rFonts w:ascii="Arial" w:cs="Arial" w:eastAsia="Arial" w:hAnsi="Arial"/>
          <w:sz w:val="19"/>
          <w:szCs w:val="19"/>
          <w:u w:val="single" w:color="auto"/>
          <w:color w:val="auto"/>
        </w:rPr>
        <w:t>Section 10.01(k)</w:t>
      </w:r>
      <w:r>
        <w:rPr>
          <w:rFonts w:ascii="Arial" w:cs="Arial" w:eastAsia="Arial" w:hAnsi="Arial"/>
          <w:sz w:val="19"/>
          <w:szCs w:val="19"/>
          <w:color w:val="auto"/>
        </w:rPr>
        <w:t>, whether or not allowed in such proceeding, action or case) on, and the Prepayment Premium with respect to, the Loans, and all fees, expenses, costs, indemnities and other sums payable at any time under any Loan Document and (b) with respect to each Loan Party other than the Borrower, all obligations (monetary or otherwise, whenever arising, and whether absolute or contingent, liquidated or unliquidated, due or to become due, or matured or unmatured) of such Loan Party arising under this Loan Agreement or any other Loan Document.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 Sanctions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7.30</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xml:space="preserve"> ” means, in respect of any transaction involving any Person, the ordinary course of such Person’s business, as conducted by any such Person in accordance with past practice, if applicable, and undertaken by such Person in good faith and not for purposes of evading any covenant or restriction in any Loan Document.</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 Documents</w:t>
      </w:r>
      <w:r>
        <w:rPr>
          <w:rFonts w:ascii="Arial" w:cs="Arial" w:eastAsia="Arial" w:hAnsi="Arial"/>
          <w:sz w:val="22"/>
          <w:szCs w:val="22"/>
          <w:color w:val="auto"/>
        </w:rPr>
        <w:t>” means, (a) with respect to any corporation, its certificate or articles of incorporation and its bylaws (or equivalent or comparable constitutive</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7"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documents with respect to any non-U.S. jurisdiction), (b) with respect to any limited liability company, its certificate or articles of formation or organization and its operating agreement, (c) with respect to any partnership, joint venture, trust or other form of business entity, its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with respect to any entity, any applicable stockholders agreement, shareholders agreement, voting agreement or other similar agreement.</w:t>
      </w:r>
    </w:p>
    <w:p>
      <w:pPr>
        <w:spacing w:after="0" w:line="164"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xml:space="preserve"> ”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12.07(b)</w:t>
      </w:r>
      <w:r>
        <w:rPr>
          <w:rFonts w:ascii="Arial" w:cs="Arial" w:eastAsia="Arial" w:hAnsi="Arial"/>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12.06(c)(i)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12.06(c)(iii)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Patent Security Agreements</w:t>
      </w:r>
      <w:r>
        <w:rPr>
          <w:rFonts w:ascii="Arial" w:cs="Arial" w:eastAsia="Arial" w:hAnsi="Arial"/>
          <w:sz w:val="22"/>
          <w:szCs w:val="22"/>
          <w:color w:val="auto"/>
        </w:rPr>
        <w:t>” means any patent security agreement entered into on or after the Closing Date (as required by this Loan Agreement or any other Loan Document), in each case as amended, supplemented or otherwise modified, renewed or replaced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12.21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established pursuant to Section 4002 of ERISA, or any successor thereto.</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xml:space="preserve">” means a Perfection Certificate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or otherwise in form and substance reasonably satisfactory to the Collateral Agent, delivered by each Loan Party to the Administrative Agent pursuant to </w:t>
      </w:r>
      <w:r>
        <w:rPr>
          <w:rFonts w:ascii="Arial" w:cs="Arial" w:eastAsia="Arial" w:hAnsi="Arial"/>
          <w:sz w:val="22"/>
          <w:szCs w:val="22"/>
          <w:u w:val="single" w:color="auto"/>
          <w:color w:val="auto"/>
        </w:rPr>
        <w:t>Section 5.06(b)</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Requirements</w:t>
      </w:r>
      <w:r>
        <w:rPr>
          <w:rFonts w:ascii="Arial" w:cs="Arial" w:eastAsia="Arial" w:hAnsi="Arial"/>
          <w:sz w:val="19"/>
          <w:szCs w:val="19"/>
          <w:color w:val="auto"/>
        </w:rPr>
        <w:t>” means the filing of appropriate UCC financing statements with the office of the Secretary of State of the state of organization of each Loan Party and the filing of appropriate assignments or notices with the U.S. Patent and Trademark Office and the U.S. Copyright Office,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4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with respect to any Person, any permit, approval, authorization, license, registration, certificate, concession, grant, franchise, variance or permission from, and any other Contractual Obligations with, any Governmental Authority, in each case whether or</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 having the force of law and applicable to or binding upon such Person or any of its property or to which such Person or any of its property is subject.</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w:t>
      </w:r>
      <w:r>
        <w:rPr>
          <w:rFonts w:ascii="Arial" w:cs="Arial" w:eastAsia="Arial" w:hAnsi="Arial"/>
          <w:sz w:val="21"/>
          <w:szCs w:val="21"/>
          <w:color w:val="auto"/>
        </w:rPr>
        <w:t>” means any acquisition by purchase or otherwise of all or substantially all of the business, assets or all of the Capital Stock (other than directors’ qualifying shares) of any U.S. or Canadian Person or a business unit of a U.S. or Canadian Person, with Acquisition Consideration not in excess of $75,000,000 in the aggregate for all Permitted Acquisitions consummated following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the Borrower and its Subsidiaries are in compliance with </w:t>
      </w:r>
      <w:r>
        <w:rPr>
          <w:rFonts w:ascii="Arial" w:cs="Arial" w:eastAsia="Arial" w:hAnsi="Arial"/>
          <w:sz w:val="21"/>
          <w:szCs w:val="21"/>
          <w:u w:val="single" w:color="auto"/>
          <w:color w:val="auto"/>
        </w:rPr>
        <w:t>Section 9.13</w:t>
      </w:r>
      <w:r>
        <w:rPr>
          <w:rFonts w:ascii="Arial" w:cs="Arial" w:eastAsia="Arial" w:hAnsi="Arial"/>
          <w:sz w:val="21"/>
          <w:szCs w:val="21"/>
          <w:color w:val="auto"/>
        </w:rPr>
        <w:t xml:space="preserve"> on a pro forma basis after giving effect to such acquisition, the foregoing cap will not apply to the extent such applicable Acquisition Consideration is paid with the contribution of proceeds of the purchase of, or in exchange for, Capital Stock of the Borrower (other than Disqualified Capital Stock) or capital contribution to the Borrower, in each case by the equityholders of the Borrower, and such contribution occurs substantially concurrently with such applicable Permitted Acquisition and such contribution is clearly identified, pursuant to a certificate executed and delivered by an Authorized Officer of the Borrower, to the Administrative Agent as a contribution to be used in connection with such applicable Permitted Acquisition), so long as:</w:t>
      </w:r>
    </w:p>
    <w:p>
      <w:pPr>
        <w:spacing w:after="0" w:line="168" w:lineRule="exact"/>
        <w:rPr>
          <w:sz w:val="20"/>
          <w:szCs w:val="20"/>
          <w:color w:val="auto"/>
        </w:rPr>
      </w:pPr>
    </w:p>
    <w:p>
      <w:pPr>
        <w:ind w:firstLine="1304"/>
        <w:spacing w:after="0" w:line="232" w:lineRule="auto"/>
        <w:tabs>
          <w:tab w:leader="none" w:pos="1822"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1.12</w:t>
      </w:r>
      <w:r>
        <w:rPr>
          <w:rFonts w:ascii="Arial" w:cs="Arial" w:eastAsia="Arial" w:hAnsi="Arial"/>
          <w:sz w:val="22"/>
          <w:szCs w:val="22"/>
          <w:color w:val="auto"/>
        </w:rPr>
        <w:t>, no Event of Default has occurred and is continuing at the time such acquisition is made and no Event of Default would result from the completion of such acquisition;</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812"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either (x) subject to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on a pro forma basis after giving effect to such acquisition, the Total Net Leverage Ratio as of the most recently ended Test Period shall not be greater than the Total Net Leverage Ratio as of the last day of such Test Period or (y) subject to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on a pro forma basis after giving effect to such acquisition (but without giving effect to any adjustment pursuant to clause (xiv) of the definition of Consolidated Adjusted EBITDA as a result of such acquisition), the Total Net Leverage Ratio as of the most recently ended Test Period shall not be greater than 3.50:1.00;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the aggregate Acquisition Consideration is more than $2,500,000, the Borrower shall deliver to the Administrative Agent a certificate from an Authorized Officer demonstrating in reasonable detail that compliance with this clause (b) is satisfied and (B) the aggregate Acquisition Consideration in respect of all Permitted Acquisitions incurred in reliance on clause (b)(y) shall not exceed $25,000,000;</w:t>
      </w:r>
    </w:p>
    <w:p>
      <w:pPr>
        <w:spacing w:after="0" w:line="158" w:lineRule="exact"/>
        <w:rPr>
          <w:rFonts w:ascii="Arial" w:cs="Arial" w:eastAsia="Arial" w:hAnsi="Arial"/>
          <w:sz w:val="21"/>
          <w:szCs w:val="21"/>
          <w:color w:val="auto"/>
        </w:rPr>
      </w:pPr>
    </w:p>
    <w:p>
      <w:pPr>
        <w:jc w:val="both"/>
        <w:ind w:firstLine="1304"/>
        <w:spacing w:after="0" w:line="216" w:lineRule="auto"/>
        <w:tabs>
          <w:tab w:leader="none" w:pos="1804"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Loan Parties shall take all actions required pursuant to </w:t>
      </w:r>
      <w:r>
        <w:rPr>
          <w:rFonts w:ascii="Arial" w:cs="Arial" w:eastAsia="Arial" w:hAnsi="Arial"/>
          <w:sz w:val="22"/>
          <w:szCs w:val="22"/>
          <w:u w:val="single" w:color="auto"/>
          <w:color w:val="auto"/>
        </w:rPr>
        <w:t>Sections 8.10, 8.11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8.15</w:t>
      </w:r>
      <w:r>
        <w:rPr>
          <w:rFonts w:ascii="Arial" w:cs="Arial" w:eastAsia="Arial" w:hAnsi="Arial"/>
          <w:sz w:val="22"/>
          <w:szCs w:val="22"/>
          <w:color w:val="auto"/>
        </w:rPr>
        <w:t xml:space="preserve"> with respect to any Person or assets subject to such acquisition in the time periods set forth in such sections;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Person does not become a Loan Party or such assets do not become subject to the Lien granted to the Collateral Agent, the Acquisition Consideration paid in connection with such acquisition and all other such acquisitions following the date hereof described in this proviso shall not exceed $10,000,000 in the aggregate;</w:t>
      </w:r>
    </w:p>
    <w:p>
      <w:pPr>
        <w:spacing w:after="0" w:line="157" w:lineRule="exact"/>
        <w:rPr>
          <w:rFonts w:ascii="Arial" w:cs="Arial" w:eastAsia="Arial" w:hAnsi="Arial"/>
          <w:sz w:val="22"/>
          <w:szCs w:val="22"/>
          <w:color w:val="auto"/>
        </w:rPr>
      </w:pPr>
    </w:p>
    <w:p>
      <w:pPr>
        <w:ind w:left="1780" w:hanging="476"/>
        <w:spacing w:after="0"/>
        <w:tabs>
          <w:tab w:leader="none" w:pos="17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Person or Persons being acquired shall be in the same or a related line of business as the Borrower;</w:t>
      </w:r>
    </w:p>
    <w:p>
      <w:pPr>
        <w:spacing w:after="0" w:line="213" w:lineRule="exact"/>
        <w:rPr>
          <w:rFonts w:ascii="Arial" w:cs="Arial" w:eastAsia="Arial" w:hAnsi="Arial"/>
          <w:sz w:val="19"/>
          <w:szCs w:val="19"/>
          <w:color w:val="auto"/>
        </w:rPr>
      </w:pPr>
    </w:p>
    <w:p>
      <w:pPr>
        <w:ind w:left="1760" w:hanging="456"/>
        <w:spacing w:after="0"/>
        <w:tabs>
          <w:tab w:leader="none" w:pos="1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such acquisition shall not be hostile;</w:t>
      </w:r>
    </w:p>
    <w:p>
      <w:pPr>
        <w:spacing w:after="0" w:line="179" w:lineRule="exact"/>
        <w:rPr>
          <w:rFonts w:ascii="Arial" w:cs="Arial" w:eastAsia="Arial" w:hAnsi="Arial"/>
          <w:sz w:val="22"/>
          <w:szCs w:val="22"/>
          <w:color w:val="auto"/>
        </w:rPr>
      </w:pPr>
    </w:p>
    <w:p>
      <w:pPr>
        <w:ind w:firstLine="1304"/>
        <w:spacing w:after="0" w:line="232" w:lineRule="auto"/>
        <w:tabs>
          <w:tab w:leader="none" w:pos="1792"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immediately after giving effect to the acquisition, the Borrower and its Subsidiaries shall be in compliance with </w:t>
      </w:r>
      <w:r>
        <w:rPr>
          <w:rFonts w:ascii="Arial" w:cs="Arial" w:eastAsia="Arial" w:hAnsi="Arial"/>
          <w:sz w:val="22"/>
          <w:szCs w:val="22"/>
          <w:u w:val="single" w:color="auto"/>
          <w:color w:val="auto"/>
        </w:rPr>
        <w:t>Section 9.13(c)</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928"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 the case of a target entity (or set of assets) being acquired whose Consolidated Adjusted EBITDA (calculated on a pro forma basis in a manner consistent with the definition of Consolidated EBITDA), represents at least five percent (5.0%) of total Consolidated Adjusted EBITDA (calculated on a pro forma basis prior to giving effect to such</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acquisition), in each case for the trailing twelve month period most recently ended for which financial statements have been delivered to Administrative Agent pursuant to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(whichever was most recently delivered to Administrative Agent) the Administrative Agent shall have received at least five (5) Business Days prior to the closing of such acquisition or such shorter period as Administrative Agent may reasonably accept of, to the extent readily available, (i) a description of the proposed acquisition and material and customary legal and business diligence reports, (ii) to the extent available, summary historical annual audited and quarterly unaudited financial statements (including a balance sheet, income statement and cash flows statement) of the target for the previous twelve (12) month period, and (iii) pro forma forecasted balance sheets, income statements, and cash flow statements of the Borrower and its Subsidiaries, all prepared on a basis consistent with the Borrower’s historical financial statements, subject to adjustments to reflect projected consolidated operations following the acquisition, together with appropriate supporting details and a statement of underlying assumptions for the one year period following the date of the proposed acquisition, on a month by month basis;</w:t>
      </w:r>
    </w:p>
    <w:p>
      <w:pPr>
        <w:spacing w:after="0" w:line="159" w:lineRule="exact"/>
        <w:rPr>
          <w:sz w:val="20"/>
          <w:szCs w:val="20"/>
          <w:color w:val="auto"/>
        </w:rPr>
      </w:pPr>
    </w:p>
    <w:p>
      <w:pPr>
        <w:jc w:val="both"/>
        <w:ind w:firstLine="1304"/>
        <w:spacing w:after="0" w:line="223" w:lineRule="auto"/>
        <w:tabs>
          <w:tab w:leader="none" w:pos="1851"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case of any acquisition with Acquisition Consideration in excess of $5,000,000, the Administrative Agent shall have received a quality of earnings report from a firm of nationally recognized standing or otherwise reasonably acceptable to Administrative Agent;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735"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Administrative Agent shall have received drafts of the acquisition documents (followed promptly by final versions at least one (1) Business Day prior to (or such shorter period as agreed to by Administrative Agent) the consummation of such acquisition) at least five (5) Business Days prior to the closing of such acquisition or such shorter period as Administrative Agent may reasonably accept (with updates and executed copies thereof provided to Administrative Agent as soon as available).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limited partnership, joint venture, firm, association, trust, unincorporated organization, or other enterprise (whether or not legally formed) or any Governmental Authority.</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PIPE SPA</w:t>
      </w:r>
      <w:r>
        <w:rPr>
          <w:rFonts w:ascii="Arial" w:cs="Arial" w:eastAsia="Arial" w:hAnsi="Arial"/>
          <w:sz w:val="22"/>
          <w:szCs w:val="22"/>
          <w:color w:val="auto"/>
        </w:rPr>
        <w:t>” means that certain Securities Purchase Agreement, dated as of June 30, 2020, by and among the Borrower and the Investors (as such term is defined therein), as in effect on the date hereof.</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PIPE Transactions</w:t>
      </w:r>
      <w:r>
        <w:rPr>
          <w:rFonts w:ascii="Arial" w:cs="Arial" w:eastAsia="Arial" w:hAnsi="Arial"/>
          <w:sz w:val="21"/>
          <w:szCs w:val="21"/>
          <w:color w:val="auto"/>
        </w:rPr>
        <w:t>” means the transactions contemplated by the PIPE SPA, pursuant to which, among other things, the Investors are purchasing from the Borrower an aggregate amount of 100,000 shares of the Borrower’s Series B Preferred Stock (as defined in the PIPE SPA) for an aggregate purchase price of $100,000,000.</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any Multiemployer Plan or any “employee benefit plan,” as defined in Section 3 of ERISA subject to Title IV of ERISA, Section 412 of the Code or Sections 302 or 303 of ERISA, sponsored, maintained or contributed to by any Loan Party or any ERISA Affiliate (or to which any Loan Party or any ERISA Affiliate has or could have an obligation to contribute or to make payments), and each such plan for the five-year period immediately following the latest date on which any Loan Party or any ERISA Affiliate maintained, contributed to or had an obligation to contribute to (or is deemed under Sections 4069 or 4212(c) of ERISA to have maintained or contributed to or to have had an obligation to contribute to, or otherwise to have liability with respect to) such plan.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Reorganization</w:t>
      </w:r>
      <w:r>
        <w:rPr>
          <w:rFonts w:ascii="Arial" w:cs="Arial" w:eastAsia="Arial" w:hAnsi="Arial"/>
          <w:sz w:val="22"/>
          <w:szCs w:val="22"/>
          <w:color w:val="auto"/>
        </w:rPr>
        <w:t>” has the meaning given to such term in Section 12.06(e).</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Stock</w:t>
      </w:r>
      <w:r>
        <w:rPr>
          <w:rFonts w:ascii="Arial" w:cs="Arial" w:eastAsia="Arial" w:hAnsi="Arial"/>
          <w:sz w:val="22"/>
          <w:szCs w:val="22"/>
          <w:color w:val="auto"/>
        </w:rPr>
        <w:t>” has the meaning given to such term in the Guaranty and Security Agreement.</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Percentage</w:t>
      </w:r>
      <w:r>
        <w:rPr>
          <w:rFonts w:ascii="Arial" w:cs="Arial" w:eastAsia="Arial" w:hAnsi="Arial"/>
          <w:sz w:val="19"/>
          <w:szCs w:val="19"/>
          <w:color w:val="auto"/>
        </w:rPr>
        <w:t xml:space="preserve">” shall mean (i) for any fiscal year for which the Total Net Leverage Ratio as of the last day of such fiscal year (as set forth in the applicable Compliance Certificate delivered pursuant to </w:t>
      </w:r>
      <w:r>
        <w:rPr>
          <w:rFonts w:ascii="Arial" w:cs="Arial" w:eastAsia="Arial" w:hAnsi="Arial"/>
          <w:sz w:val="19"/>
          <w:szCs w:val="19"/>
          <w:u w:val="single" w:color="auto"/>
          <w:color w:val="auto"/>
        </w:rPr>
        <w:t>Section 8.01(d)</w:t>
      </w:r>
      <w:r>
        <w:rPr>
          <w:rFonts w:ascii="Arial" w:cs="Arial" w:eastAsia="Arial" w:hAnsi="Arial"/>
          <w:sz w:val="19"/>
          <w:szCs w:val="19"/>
          <w:color w:val="auto"/>
        </w:rPr>
        <w:t xml:space="preserve">) is greater than 1.00:1.00, 50%, (ii) for any fiscal year for which the Total Net Leverage Ratio as of the last day of such fiscal year (as set forth in the applicable Compliance Certificate delivered pursuant to </w:t>
      </w:r>
      <w:r>
        <w:rPr>
          <w:rFonts w:ascii="Arial" w:cs="Arial" w:eastAsia="Arial" w:hAnsi="Arial"/>
          <w:sz w:val="19"/>
          <w:szCs w:val="19"/>
          <w:u w:val="single" w:color="auto"/>
          <w:color w:val="auto"/>
        </w:rPr>
        <w:t>Section 8.01(d)</w:t>
      </w:r>
      <w:r>
        <w:rPr>
          <w:rFonts w:ascii="Arial" w:cs="Arial" w:eastAsia="Arial" w:hAnsi="Arial"/>
          <w:sz w:val="19"/>
          <w:szCs w:val="19"/>
          <w:color w:val="auto"/>
        </w:rPr>
        <w:t xml:space="preserve">) is equal to or less than 1.00:1.00, but greater than or equal to 0.50:1.00, 25% and (iii) for any fiscal year for which the Total Net Leverage Ratio as of the last day of such fiscal year (as set forth in the applicable Compliance Certificate delivered pursuant to </w:t>
      </w:r>
      <w:r>
        <w:rPr>
          <w:rFonts w:ascii="Arial" w:cs="Arial" w:eastAsia="Arial" w:hAnsi="Arial"/>
          <w:sz w:val="19"/>
          <w:szCs w:val="19"/>
          <w:u w:val="single" w:color="auto"/>
          <w:color w:val="auto"/>
        </w:rPr>
        <w:t>Section 8.01(d)</w:t>
      </w:r>
      <w:r>
        <w:rPr>
          <w:rFonts w:ascii="Arial" w:cs="Arial" w:eastAsia="Arial" w:hAnsi="Arial"/>
          <w:sz w:val="19"/>
          <w:szCs w:val="19"/>
          <w:color w:val="auto"/>
        </w:rPr>
        <w:t>) is less than 0.50:1.00, 0%.</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Premium</w:t>
      </w:r>
      <w:r>
        <w:rPr>
          <w:rFonts w:ascii="Arial" w:cs="Arial" w:eastAsia="Arial" w:hAnsi="Arial"/>
          <w:sz w:val="22"/>
          <w:szCs w:val="22"/>
          <w:color w:val="auto"/>
        </w:rPr>
        <w:t>” means, as of the date of the occurrence of a Prepayment Premium Trigger Event, with respect to any Initial Loan:</w:t>
      </w:r>
    </w:p>
    <w:p>
      <w:pPr>
        <w:spacing w:after="0" w:line="159" w:lineRule="exact"/>
        <w:rPr>
          <w:sz w:val="20"/>
          <w:szCs w:val="20"/>
          <w:color w:val="auto"/>
        </w:rPr>
      </w:pPr>
    </w:p>
    <w:p>
      <w:pPr>
        <w:ind w:left="660" w:firstLine="1292"/>
        <w:spacing w:after="0" w:line="232" w:lineRule="auto"/>
        <w:tabs>
          <w:tab w:leader="none" w:pos="2489" w:val="left"/>
        </w:tabs>
        <w:numPr>
          <w:ilvl w:val="0"/>
          <w:numId w:val="55"/>
        </w:numPr>
        <w:rPr>
          <w:rFonts w:ascii="Arial" w:cs="Arial" w:eastAsia="Arial" w:hAnsi="Arial"/>
          <w:sz w:val="22"/>
          <w:szCs w:val="22"/>
          <w:color w:val="auto"/>
        </w:rPr>
      </w:pPr>
      <w:r>
        <w:rPr>
          <w:rFonts w:ascii="Arial" w:cs="Arial" w:eastAsia="Arial" w:hAnsi="Arial"/>
          <w:sz w:val="22"/>
          <w:szCs w:val="22"/>
          <w:color w:val="auto"/>
        </w:rPr>
        <w:t>during the period from and after the Closing Date through and including the date that is the first anniversary of the Closing Date, an amount equal to the Make-Whole Amount;</w:t>
      </w:r>
    </w:p>
    <w:p>
      <w:pPr>
        <w:spacing w:after="0" w:line="158" w:lineRule="exact"/>
        <w:rPr>
          <w:rFonts w:ascii="Arial" w:cs="Arial" w:eastAsia="Arial" w:hAnsi="Arial"/>
          <w:sz w:val="22"/>
          <w:szCs w:val="22"/>
          <w:color w:val="auto"/>
        </w:rPr>
      </w:pPr>
    </w:p>
    <w:p>
      <w:pPr>
        <w:jc w:val="both"/>
        <w:ind w:left="660" w:firstLine="1292"/>
        <w:spacing w:after="0" w:line="218" w:lineRule="auto"/>
        <w:tabs>
          <w:tab w:leader="none" w:pos="24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during the period following the first anniversary of the Closing Date through and including the date that is the second anniversary of the Closing Date, an amount equal to two percent (2.0%) of the principal amount of the Initial Loans prepaid (or in the case of an Prepayment Premium Trigger Event occurring under clauses (b) or (c) of the definition thereof, deemed to be prepaid) on such date;</w:t>
      </w:r>
    </w:p>
    <w:p>
      <w:pPr>
        <w:spacing w:after="0" w:line="160" w:lineRule="exact"/>
        <w:rPr>
          <w:rFonts w:ascii="Arial" w:cs="Arial" w:eastAsia="Arial" w:hAnsi="Arial"/>
          <w:sz w:val="22"/>
          <w:szCs w:val="22"/>
          <w:color w:val="auto"/>
        </w:rPr>
      </w:pPr>
    </w:p>
    <w:p>
      <w:pPr>
        <w:jc w:val="both"/>
        <w:ind w:left="660" w:firstLine="1292"/>
        <w:spacing w:after="0" w:line="218" w:lineRule="auto"/>
        <w:tabs>
          <w:tab w:leader="none" w:pos="2566" w:val="left"/>
        </w:tabs>
        <w:numPr>
          <w:ilvl w:val="0"/>
          <w:numId w:val="55"/>
        </w:numPr>
        <w:rPr>
          <w:rFonts w:ascii="Arial" w:cs="Arial" w:eastAsia="Arial" w:hAnsi="Arial"/>
          <w:sz w:val="22"/>
          <w:szCs w:val="22"/>
          <w:color w:val="auto"/>
        </w:rPr>
      </w:pPr>
      <w:r>
        <w:rPr>
          <w:rFonts w:ascii="Arial" w:cs="Arial" w:eastAsia="Arial" w:hAnsi="Arial"/>
          <w:sz w:val="22"/>
          <w:szCs w:val="22"/>
          <w:color w:val="auto"/>
        </w:rPr>
        <w:t>during the period following the second anniversary of the Closing Date through and including the date that is the third anniversary of the Closing Date, an amount equal to one percent (2.0%) of the principal amount of the Initial Loans prepaid (or in the case of an Prepayment Premium Trigger Event occurring under clauses (b) or (c) of the definition thereof, deemed to be prepaid) on such date;</w:t>
      </w:r>
    </w:p>
    <w:p>
      <w:pPr>
        <w:spacing w:after="0" w:line="160" w:lineRule="exact"/>
        <w:rPr>
          <w:rFonts w:ascii="Arial" w:cs="Arial" w:eastAsia="Arial" w:hAnsi="Arial"/>
          <w:sz w:val="22"/>
          <w:szCs w:val="22"/>
          <w:color w:val="auto"/>
        </w:rPr>
      </w:pPr>
    </w:p>
    <w:p>
      <w:pPr>
        <w:jc w:val="both"/>
        <w:ind w:left="660" w:firstLine="1292"/>
        <w:spacing w:after="0" w:line="218" w:lineRule="auto"/>
        <w:tabs>
          <w:tab w:leader="none" w:pos="2506" w:val="left"/>
        </w:tabs>
        <w:numPr>
          <w:ilvl w:val="0"/>
          <w:numId w:val="55"/>
        </w:numPr>
        <w:rPr>
          <w:rFonts w:ascii="Arial" w:cs="Arial" w:eastAsia="Arial" w:hAnsi="Arial"/>
          <w:sz w:val="22"/>
          <w:szCs w:val="22"/>
          <w:color w:val="auto"/>
        </w:rPr>
      </w:pPr>
      <w:r>
        <w:rPr>
          <w:rFonts w:ascii="Arial" w:cs="Arial" w:eastAsia="Arial" w:hAnsi="Arial"/>
          <w:sz w:val="22"/>
          <w:szCs w:val="22"/>
          <w:color w:val="auto"/>
        </w:rPr>
        <w:t>during the period following the third anniversary of the Closing Date through and including the date that is the fourth anniversary of the Closing Date, an amount equal to one percent (1.0%) of the principal amount of the Initial Loans prepaid (or in the case of an Prepayment Premium Trigger Event occurring under clauses (b) or (c) of the definition thereof, deemed to be prepaid) on such date; and</w:t>
      </w:r>
    </w:p>
    <w:p>
      <w:pPr>
        <w:spacing w:after="0" w:line="160" w:lineRule="exact"/>
        <w:rPr>
          <w:rFonts w:ascii="Arial" w:cs="Arial" w:eastAsia="Arial" w:hAnsi="Arial"/>
          <w:sz w:val="22"/>
          <w:szCs w:val="22"/>
          <w:color w:val="auto"/>
        </w:rPr>
      </w:pPr>
    </w:p>
    <w:p>
      <w:pPr>
        <w:ind w:left="2420" w:hanging="468"/>
        <w:spacing w:after="0"/>
        <w:tabs>
          <w:tab w:leader="none" w:pos="2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after the fourth anniversary of the Closing Date, zero (0.0%).</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Premium Trigger Event</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24" w:lineRule="auto"/>
        <w:tabs>
          <w:tab w:leader="none" w:pos="1761"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prepayment by any Loan Party of all, or any part, of the principal balance of any Initial Loan voluntarily, including pursuant to Section 4.01, or mandatorily (other than any such prepayment pursuant to any of Section 4.02(a)(iii), Section 4.02(a)(ix) or, unless the relevant Disposition is with respect to all or substantially all of the assets of the Loan Parties and their Subsidiaries taken as a whole, Section 4.02(a)(ii)), whether in whole or in part, and whether before or after (i) the occurrence of an Event of Default, or (ii) the commencement of any Insolvency Proceeding involving any Loan Party or Subsidiary thereof, and notwithstanding any acceleration (for any reason) of the Obligations;</w:t>
      </w:r>
    </w:p>
    <w:p>
      <w:pPr>
        <w:spacing w:after="0" w:line="159" w:lineRule="exact"/>
        <w:rPr>
          <w:rFonts w:ascii="Arial" w:cs="Arial" w:eastAsia="Arial" w:hAnsi="Arial"/>
          <w:sz w:val="21"/>
          <w:szCs w:val="21"/>
          <w:color w:val="auto"/>
        </w:rPr>
      </w:pPr>
    </w:p>
    <w:p>
      <w:pPr>
        <w:ind w:firstLine="1304"/>
        <w:spacing w:after="0" w:line="232" w:lineRule="auto"/>
        <w:tabs>
          <w:tab w:leader="none" w:pos="199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acceleration of the Obligations for any reason pursuant to Section 10.02, or as a result of the commencement of any proceeding under the Bankruptcy Code; or</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7" w:lineRule="exact"/>
        <w:rPr>
          <w:sz w:val="20"/>
          <w:szCs w:val="20"/>
          <w:color w:val="auto"/>
        </w:rPr>
      </w:pPr>
    </w:p>
    <w:p>
      <w:pPr>
        <w:jc w:val="both"/>
        <w:ind w:firstLine="1304"/>
        <w:spacing w:after="0" w:line="257" w:lineRule="auto"/>
        <w:tabs>
          <w:tab w:leader="none" w:pos="185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satisfaction, release, payment, restructuring, reorganization, replacement, reinstatement, defeasance or compromise of any of the Obligations in any proceeding under the Bankruptcy Code, foreclosure (whether by power of judicial proceeding or otherwise) or deed in lieu of foreclosure, or the making of a distribution of any kind in any proceeding under the Bankruptcy Code to the Administrative Agent or the Lenders in full or partial satisfaction of the Obligations.</w:t>
      </w:r>
    </w:p>
    <w:p>
      <w:pPr>
        <w:spacing w:after="0" w:line="14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For purposes of the definition of the term Prepayment Premium, if a Prepayment Premium Trigger Event occurs under clause (b) or (c), solely for the purposes of determining the amount of Prepayment Premium that is due, the entire outstanding principal amount of the Initial Loans shall be deemed to have been prepaid on the date on which such Prepayment Premium Trigger Event occurs.</w:t>
      </w:r>
    </w:p>
    <w:p>
      <w:pPr>
        <w:spacing w:after="0" w:line="161"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means a rate per annum equal to the highest of (a) the rate last quoted by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another national publication selected by the Administrative Agent) as the “Prime Rate” in the United States or, if </w:t>
      </w:r>
      <w:r>
        <w:rPr>
          <w:rFonts w:ascii="Arial" w:cs="Arial" w:eastAsia="Arial" w:hAnsi="Arial"/>
          <w:sz w:val="21"/>
          <w:szCs w:val="21"/>
          <w:i w:val="1"/>
          <w:iCs w:val="1"/>
          <w:color w:val="auto"/>
        </w:rPr>
        <w:t>The Wall Street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Journal </w:t>
      </w:r>
      <w:r>
        <w:rPr>
          <w:rFonts w:ascii="Arial" w:cs="Arial" w:eastAsia="Arial" w:hAnsi="Arial"/>
          <w:sz w:val="21"/>
          <w:szCs w:val="21"/>
          <w:color w:val="auto"/>
        </w:rPr>
        <w:t>ceases to quote such rate, the highest per annum interest rate published by the Federal Reserve Board in Federal Reserve</w:t>
      </w:r>
      <w:r>
        <w:rPr>
          <w:rFonts w:ascii="Arial" w:cs="Arial" w:eastAsia="Arial" w:hAnsi="Arial"/>
          <w:sz w:val="21"/>
          <w:szCs w:val="21"/>
          <w:i w:val="1"/>
          <w:iCs w:val="1"/>
          <w:color w:val="auto"/>
        </w:rPr>
        <w:t xml:space="preserve"> </w:t>
      </w:r>
      <w:r>
        <w:rPr>
          <w:rFonts w:ascii="Arial" w:cs="Arial" w:eastAsia="Arial" w:hAnsi="Arial"/>
          <w:sz w:val="21"/>
          <w:szCs w:val="21"/>
          <w:color w:val="auto"/>
        </w:rPr>
        <w:t>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(b) the sum of one-half of one percent (0.50%) per annum and the Federal Funds Rate, and (c) two and one-half percent (2.50%) per annum</w:t>
      </w:r>
      <w:r>
        <w:rPr>
          <w:rFonts w:ascii="Arial" w:cs="Arial" w:eastAsia="Arial" w:hAnsi="Arial"/>
          <w:sz w:val="21"/>
          <w:szCs w:val="21"/>
          <w:i w:val="1"/>
          <w:iCs w:val="1"/>
          <w:color w:val="auto"/>
        </w:rPr>
        <w: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“Prime Rate Loan” means a Loan that bears interest at a rate based on Prime Rate.</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Projections</w:t>
      </w:r>
      <w:r>
        <w:rPr>
          <w:rFonts w:ascii="Arial" w:cs="Arial" w:eastAsia="Arial" w:hAnsi="Arial"/>
          <w:sz w:val="19"/>
          <w:szCs w:val="19"/>
          <w:color w:val="auto"/>
        </w:rPr>
        <w:t>” means all financial estimates, forecasts, models, projections, other forward-looking information, and underlying assumptions relating to any of the foregoing, concerning the Loan Parties and their respective Subsidiaries, that have been or are hereafter made available to the Administrative Agent or a Lender by or on behalf of a Loan Party.</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w:t>
      </w:r>
      <w:r>
        <w:rPr>
          <w:rFonts w:ascii="Arial" w:cs="Arial" w:eastAsia="Arial" w:hAnsi="Arial"/>
          <w:sz w:val="22"/>
          <w:szCs w:val="22"/>
          <w:color w:val="auto"/>
        </w:rPr>
        <w:t>” shall mean any current or future product developed, manufactured, licensed, marketed, sold or otherwise commercialized by the Borrower or any of its Subsidiaries, including any such product in development or which may be developed.</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Capital Stock</w:t>
      </w:r>
      <w:r>
        <w:rPr>
          <w:rFonts w:ascii="Arial" w:cs="Arial" w:eastAsia="Arial" w:hAnsi="Arial"/>
          <w:sz w:val="22"/>
          <w:szCs w:val="22"/>
          <w:color w:val="auto"/>
        </w:rPr>
        <w:t>” means any Capital Stock that is not Disqualified Capital Stock.</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Cash</w:t>
      </w:r>
      <w:r>
        <w:rPr>
          <w:rFonts w:ascii="Arial" w:cs="Arial" w:eastAsia="Arial" w:hAnsi="Arial"/>
          <w:sz w:val="19"/>
          <w:szCs w:val="19"/>
          <w:color w:val="auto"/>
        </w:rPr>
        <w:t xml:space="preserve">” means, as of any date of determination, the unrestricted cash (excluding any cash subject to reinvestment) and Cash Equivalents of the Loan Parties which is subject to an Account Control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delivery of the Account Control Agreements set forth in </w:t>
      </w:r>
      <w:r>
        <w:rPr>
          <w:rFonts w:ascii="Arial" w:cs="Arial" w:eastAsia="Arial" w:hAnsi="Arial"/>
          <w:sz w:val="19"/>
          <w:szCs w:val="19"/>
          <w:u w:val="single" w:color="auto"/>
          <w:color w:val="auto"/>
        </w:rPr>
        <w:t>Section 8.22(a)</w:t>
      </w:r>
      <w:r>
        <w:rPr>
          <w:rFonts w:ascii="Arial" w:cs="Arial" w:eastAsia="Arial" w:hAnsi="Arial"/>
          <w:sz w:val="19"/>
          <w:szCs w:val="19"/>
          <w:color w:val="auto"/>
        </w:rPr>
        <w:t xml:space="preserve"> during the specified time period, solely for purposes of determining Qualified Cash during such time period, the requirement in this definition for unrestricted cash and Cash Equivalents of the Loan Parties to be subject to an Account Control Agreement shall not apply.</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means, in respect of any Swap Obligations, each Loan Party that has total assets exceeding $500,000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contract participant” at such time by entering into a keepwell under Section 1a(18)(A)(v)(II) of the Commodity Exchange Act.</w:t>
      </w:r>
    </w:p>
    <w:p>
      <w:pPr>
        <w:spacing w:after="0" w:line="21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means, with respect to any Person, all right, title and interest of such Person (including, without limitation, any leasehold estate) in and to a parcel of real property owned, leased or operated by such Person together with, in each case, all improvements and appurtenant fixtures, equipment, personal property, easements and other property and rights incidental to the ownership, lease or operation thereof.</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means (a) the Administrative Agent, (b) the Collateral Agent, and (c) any Lender, as applicable.</w:t>
      </w:r>
    </w:p>
    <w:p>
      <w:pPr>
        <w:spacing w:after="0" w:line="19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w:t>
      </w:r>
      <w:r>
        <w:rPr>
          <w:rFonts w:ascii="Arial" w:cs="Arial" w:eastAsia="Arial" w:hAnsi="Arial"/>
          <w:sz w:val="22"/>
          <w:szCs w:val="22"/>
          <w:color w:val="auto"/>
        </w:rPr>
        <w:t>” means the repayment in full of all principal, accrued and unpaid interest, fees premiums, if any, and other amounts outstanding under the Existing Credit Agreement (other than contingent obligations not then due and payable and that by their terms survive the termination thereof), the termination of all commitments to extend credit under the Existing Credit Agreement and the termination or release, as applicable, of any guarantees and security interests to secure the obligations thereunder.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12.06(b)(iv)</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as from time to time in effect, and any successor to all or a portion thereof establishing margin requirements.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as from time to time in effect, and any successor to all or a portion thereof establishing margin requirements.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Board as from time to time in effect, and any successor to all or a portion thereof establishing margin requirements.</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directors, officers, employees, agents, trustees,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spilling, leaking, seepage, pumping, pouring, emitting, emptying, discharging, injecting, escaping, leaching, dumping, depositing, disposing, emanating or migrating of Hazardous Materials in the environment, and in any event includes any “release” as such term is defined in CERCLA.</w:t>
      </w:r>
    </w:p>
    <w:p>
      <w:pPr>
        <w:spacing w:after="0" w:line="163" w:lineRule="exact"/>
        <w:rPr>
          <w:sz w:val="20"/>
          <w:szCs w:val="20"/>
          <w:color w:val="auto"/>
        </w:rPr>
      </w:pPr>
    </w:p>
    <w:p>
      <w:pPr>
        <w:jc w:val="both"/>
        <w:ind w:firstLine="1296"/>
        <w:spacing w:after="0" w:line="350" w:lineRule="auto"/>
        <w:rPr>
          <w:sz w:val="20"/>
          <w:szCs w:val="20"/>
          <w:color w:val="auto"/>
        </w:rPr>
      </w:pPr>
      <w:r>
        <w:rPr>
          <w:rFonts w:ascii="Arial" w:cs="Arial" w:eastAsia="Arial" w:hAnsi="Arial"/>
          <w:sz w:val="16"/>
          <w:szCs w:val="16"/>
          <w:u w:val="single" w:color="auto"/>
          <w:color w:val="0000FF"/>
        </w:rPr>
        <w:t>“Relevant Governmental Body” means the Federal Reserve Board or the Federal Reserve Bank of New York, or a committee officially endorsed or convened by the Federal Reserve Board or the Federal Reserve Bank of New York, or any successor thereto.</w:t>
      </w:r>
    </w:p>
    <w:p>
      <w:pPr>
        <w:spacing w:after="0" w:line="6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ECF Amount</w:t>
      </w:r>
      <w:r>
        <w:rPr>
          <w:rFonts w:ascii="Arial" w:cs="Arial" w:eastAsia="Arial" w:hAnsi="Arial"/>
          <w:sz w:val="22"/>
          <w:szCs w:val="22"/>
          <w:color w:val="auto"/>
        </w:rPr>
        <w:t xml:space="preserve">” means, on any Reference Date, an amount determined on a cumulative basis equal to the portion of Excess Cash Flow for each Fiscal Year ending on or after December 31, 2021 and prior to the Reference Date that was not required to be applied to prepay the Loans pursuant to </w:t>
      </w:r>
      <w:r>
        <w:rPr>
          <w:rFonts w:ascii="Arial" w:cs="Arial" w:eastAsia="Arial" w:hAnsi="Arial"/>
          <w:sz w:val="22"/>
          <w:szCs w:val="22"/>
          <w:u w:val="single" w:color="auto"/>
          <w:color w:val="auto"/>
        </w:rPr>
        <w:t>Section 4.02(a)(ix)</w:t>
      </w:r>
      <w:r>
        <w:rPr>
          <w:rFonts w:ascii="Arial" w:cs="Arial" w:eastAsia="Arial" w:hAnsi="Arial"/>
          <w:sz w:val="22"/>
          <w:szCs w:val="22"/>
          <w:color w:val="auto"/>
        </w:rPr>
        <w:t xml:space="preserve"> (prior to giving effect to clause (y) of such Section).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 event described in Section 4043(c) of ERISA with respect to a Plan, other than an event for which the requirement to notify the PBGC of such event has been waived.</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 means, at any time, (a) the Lenders having Loans or unused Commitments representing more than fifty per cent (50%) of the sum of all Loans and unused Commitments outstanding at such time and (b) if the Hayfin Lenders, in the aggregate, hold more than twenty-five per cent (25%) of the sum of all Loans and unused Commitments outstanding at such time, each Hayfin Lender.</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with respect to any Person, (a) the declaration or payment of any dividend on, or the making of any payment or distribution on account of, or setting apart assets for a sinking or other analogous fund for the purchase, redemption, defeasance, retirement or other acquisition of, any class of Capital Stock of such Person or any warrants or options to purchase any such Capital Stock, whether now or hereafter outstanding, or the making of any other distribution in respect thereof, either directly or indirectly, whether in cash or property, (b) any payment of a management fee or other fee of a similar nature by such Person to any holder of its Capital Stock or any other Affiliate thereof and (c) the payment or prepayment of principal of, or premium or interest on, any Indebtedness contractually subordinate to the Obligations unless such payment is permitted under the terms of the subordination agreement applicable thereto.</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Ratings Services or any successor by merger or consolidation to its business.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7.30</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7.30</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7.30</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and any Governmental Authority succeeding to some or all of the functions thereof.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w:t>
      </w:r>
      <w:r>
        <w:rPr>
          <w:rFonts w:ascii="Arial" w:cs="Arial" w:eastAsia="Arial" w:hAnsi="Arial"/>
          <w:sz w:val="22"/>
          <w:szCs w:val="22"/>
          <w:color w:val="auto"/>
        </w:rPr>
        <w:t>” shall mean any Cash Management Agreement that is entered into by and between any Loan Party and any Cash Management Bank.</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Hedging Agreement</w:t>
      </w:r>
      <w:r>
        <w:rPr>
          <w:rFonts w:ascii="Arial" w:cs="Arial" w:eastAsia="Arial" w:hAnsi="Arial"/>
          <w:sz w:val="22"/>
          <w:szCs w:val="22"/>
          <w:color w:val="auto"/>
        </w:rPr>
        <w:t>” shall mean any Hedging Agreement (a) that is entered into by and between any Loan Party and any Hedge Bank and (b) in the case of a Hedging Agreement not entered into with or provided or arranged by any Lender or Agent or an Affiliate of any Lender or Agent, is expressly identified as being a “Secured Hedging Agreement” hereunder in a joint notice from such Loan Party and such Person delivered to the Administrative Agent reasonably promptly after the execution of such Hedging Agreement.</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xml:space="preserve">” shall mean (a) the Obligations and (b) all obligations of the Borrower and the other Loan Parties under each Secured Cash Management Agreement and Secured Hedging Agreement entered into with any counterparty that is a Secured Party, unless at the time such Secured Cash Management Agreement or Secured Hedging Agreement was entered into such Secured Cash Management Agreement or Secured Hedging Agreement was designated as not a Secured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(x) the Secured Obligations shall exclude any Excluded Swap Obligations, and (y) the Secured Obligations under clause (b) of this definition shall not exceed $10,000,000.</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collectively, (a) the Lenders, (b) the Agents, (c) each Cash Management Bank, (d) each counterparty to a Hedging Agreement that is (x) a Lender, an</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7"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Agent or an Arranger (or an Affiliate of a Lender or an Agent) and each other Person if, at the date of entering into such Hedging Agreement, such Person was a Lender or an Agent (or an Affiliate of a Lender or an Agent) or (y) each Person who has entered into a Hedging Agreement with a Credit Party if such Hedging Agreement was provided or arranged by the Arranger or an Affiliate of the Arranger, and any assignee of such Person or (z) each other Person with whom the Credit Party has entered into a Hedging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Person is not a Lender or an Agent, by accepting the benefits of this Loan Agreement, such Person shall be deemed to have (i) appointed the Collateral Agent as its agent under the applicable Loan Documents and</w:t>
      </w:r>
    </w:p>
    <w:p>
      <w:pPr>
        <w:spacing w:after="0" w:line="3" w:lineRule="exact"/>
        <w:rPr>
          <w:sz w:val="20"/>
          <w:szCs w:val="20"/>
          <w:color w:val="auto"/>
        </w:rPr>
      </w:pPr>
    </w:p>
    <w:p>
      <w:pPr>
        <w:jc w:val="both"/>
        <w:ind w:firstLine="8"/>
        <w:spacing w:after="0" w:line="214" w:lineRule="auto"/>
        <w:tabs>
          <w:tab w:leader="none" w:pos="319"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be deemed to be (and agrees to be) bound by the provisions of </w:t>
      </w:r>
      <w:r>
        <w:rPr>
          <w:rFonts w:ascii="Arial" w:cs="Arial" w:eastAsia="Arial" w:hAnsi="Arial"/>
          <w:sz w:val="22"/>
          <w:szCs w:val="22"/>
          <w:u w:val="single" w:color="auto"/>
          <w:color w:val="auto"/>
        </w:rPr>
        <w:t>Sections 11.03</w:t>
      </w:r>
      <w:r>
        <w:rPr>
          <w:rFonts w:ascii="Arial" w:cs="Arial" w:eastAsia="Arial" w:hAnsi="Arial"/>
          <w:sz w:val="22"/>
          <w:szCs w:val="22"/>
          <w:color w:val="auto"/>
        </w:rPr>
        <w:t xml:space="preserve">, </w:t>
      </w:r>
      <w:r>
        <w:rPr>
          <w:rFonts w:ascii="Arial" w:cs="Arial" w:eastAsia="Arial" w:hAnsi="Arial"/>
          <w:sz w:val="22"/>
          <w:szCs w:val="22"/>
          <w:u w:val="single" w:color="auto"/>
          <w:color w:val="auto"/>
        </w:rPr>
        <w:t>12.03</w:t>
      </w:r>
      <w:r>
        <w:rPr>
          <w:rFonts w:ascii="Arial" w:cs="Arial" w:eastAsia="Arial" w:hAnsi="Arial"/>
          <w:sz w:val="22"/>
          <w:szCs w:val="22"/>
          <w:color w:val="auto"/>
        </w:rPr>
        <w:t xml:space="preserve">, </w:t>
      </w:r>
      <w:r>
        <w:rPr>
          <w:rFonts w:ascii="Arial" w:cs="Arial" w:eastAsia="Arial" w:hAnsi="Arial"/>
          <w:sz w:val="22"/>
          <w:szCs w:val="22"/>
          <w:u w:val="single" w:color="auto"/>
          <w:color w:val="auto"/>
        </w:rPr>
        <w:t>12.05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12.14</w:t>
      </w:r>
      <w:r>
        <w:rPr>
          <w:rFonts w:ascii="Arial" w:cs="Arial" w:eastAsia="Arial" w:hAnsi="Arial"/>
          <w:sz w:val="22"/>
          <w:szCs w:val="22"/>
          <w:color w:val="auto"/>
        </w:rPr>
        <w:t xml:space="preserve"> as if it were a Lender (a “</w:t>
      </w:r>
      <w:r>
        <w:rPr>
          <w:rFonts w:ascii="Arial" w:cs="Arial" w:eastAsia="Arial" w:hAnsi="Arial"/>
          <w:sz w:val="22"/>
          <w:szCs w:val="22"/>
          <w:u w:val="single" w:color="auto"/>
          <w:color w:val="auto"/>
        </w:rPr>
        <w:t>Hedge Bank</w:t>
      </w:r>
      <w:r>
        <w:rPr>
          <w:rFonts w:ascii="Arial" w:cs="Arial" w:eastAsia="Arial" w:hAnsi="Arial"/>
          <w:sz w:val="22"/>
          <w:szCs w:val="22"/>
          <w:color w:val="auto"/>
        </w:rPr>
        <w:t>”) (e) the beneficiaries of each indemnification obligation undertaken by any Loan Party under the Loan Documents, (f) any successors, endorsees, transferees and assigns of each of the foregoing, and (g) any other holder of any Secured Obligation (as defined in the Guaranty and Security Agreement).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 and the rules and regulations promulgated</w:t>
      </w:r>
    </w:p>
    <w:p>
      <w:pPr>
        <w:spacing w:after="0"/>
        <w:rPr>
          <w:sz w:val="20"/>
          <w:szCs w:val="20"/>
          <w:color w:val="auto"/>
        </w:rPr>
      </w:pPr>
      <w:r>
        <w:rPr>
          <w:rFonts w:ascii="Arial" w:cs="Arial" w:eastAsia="Arial" w:hAnsi="Arial"/>
          <w:sz w:val="22"/>
          <w:szCs w:val="22"/>
          <w:color w:val="auto"/>
        </w:rPr>
        <w:t>thereunder.</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xml:space="preserve"> ” means, collectively, the Guaranty and Security Agreement, each Mortgage, each Landlord Agreement, each Account Control Agreement, the Patent Security Agreements, the Trademark Security Agreements, the Copyright Security Agreements, and each other instrument or document executed and delivered pursuant to </w:t>
      </w:r>
      <w:r>
        <w:rPr>
          <w:rFonts w:ascii="Arial" w:cs="Arial" w:eastAsia="Arial" w:hAnsi="Arial"/>
          <w:sz w:val="19"/>
          <w:szCs w:val="19"/>
          <w:u w:val="single" w:color="auto"/>
          <w:color w:val="auto"/>
        </w:rPr>
        <w:t>Sections 8.10</w:t>
      </w:r>
      <w:r>
        <w:rPr>
          <w:rFonts w:ascii="Arial" w:cs="Arial" w:eastAsia="Arial" w:hAnsi="Arial"/>
          <w:sz w:val="19"/>
          <w:szCs w:val="19"/>
          <w:color w:val="auto"/>
        </w:rPr>
        <w:t xml:space="preserve">, </w:t>
      </w:r>
      <w:r>
        <w:rPr>
          <w:rFonts w:ascii="Arial" w:cs="Arial" w:eastAsia="Arial" w:hAnsi="Arial"/>
          <w:sz w:val="19"/>
          <w:szCs w:val="19"/>
          <w:u w:val="single" w:color="auto"/>
          <w:color w:val="auto"/>
        </w:rPr>
        <w:t>8.11</w:t>
      </w:r>
      <w:r>
        <w:rPr>
          <w:rFonts w:ascii="Arial" w:cs="Arial" w:eastAsia="Arial" w:hAnsi="Arial"/>
          <w:sz w:val="19"/>
          <w:szCs w:val="19"/>
          <w:color w:val="auto"/>
        </w:rPr>
        <w:t xml:space="preserve">, </w:t>
      </w:r>
      <w:r>
        <w:rPr>
          <w:rFonts w:ascii="Arial" w:cs="Arial" w:eastAsia="Arial" w:hAnsi="Arial"/>
          <w:sz w:val="19"/>
          <w:szCs w:val="19"/>
          <w:u w:val="single" w:color="auto"/>
          <w:color w:val="auto"/>
        </w:rPr>
        <w:t>8.13</w:t>
      </w:r>
      <w:r>
        <w:rPr>
          <w:rFonts w:ascii="Arial" w:cs="Arial" w:eastAsia="Arial" w:hAnsi="Arial"/>
          <w:sz w:val="19"/>
          <w:szCs w:val="19"/>
          <w:color w:val="auto"/>
        </w:rPr>
        <w:t xml:space="preserve">, </w:t>
      </w:r>
      <w:r>
        <w:rPr>
          <w:rFonts w:ascii="Arial" w:cs="Arial" w:eastAsia="Arial" w:hAnsi="Arial"/>
          <w:sz w:val="19"/>
          <w:szCs w:val="19"/>
          <w:u w:val="single" w:color="auto"/>
          <w:color w:val="auto"/>
        </w:rPr>
        <w:t>8.14</w:t>
      </w:r>
      <w:r>
        <w:rPr>
          <w:rFonts w:ascii="Arial" w:cs="Arial" w:eastAsia="Arial" w:hAnsi="Arial"/>
          <w:sz w:val="19"/>
          <w:szCs w:val="19"/>
          <w:color w:val="auto"/>
        </w:rPr>
        <w:t xml:space="preserve">, </w:t>
      </w:r>
      <w:r>
        <w:rPr>
          <w:rFonts w:ascii="Arial" w:cs="Arial" w:eastAsia="Arial" w:hAnsi="Arial"/>
          <w:sz w:val="19"/>
          <w:szCs w:val="19"/>
          <w:u w:val="single" w:color="auto"/>
          <w:color w:val="auto"/>
        </w:rPr>
        <w:t>8.15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8.20</w:t>
      </w:r>
      <w:r>
        <w:rPr>
          <w:rFonts w:ascii="Arial" w:cs="Arial" w:eastAsia="Arial" w:hAnsi="Arial"/>
          <w:sz w:val="19"/>
          <w:szCs w:val="19"/>
          <w:color w:val="auto"/>
        </w:rPr>
        <w:t xml:space="preserve"> or pursuant to any of the Security Documents to guarantee or secure any of the Obligations.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“SOFR” means a rate equal to the secured overnight financing rate as administered by the SOFR Administrator.</w:t>
      </w:r>
    </w:p>
    <w:p>
      <w:pPr>
        <w:spacing w:after="0" w:line="21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“SOFR Administrator” means the Federal Reserve Bank of New York (or a successor administrator of the secured overnight financing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“SOFR Borrowing” means, as to any Borrowing, the SOFR Loans comprising such Borrowing.</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“SOFR Loan” means a Loan that bears interest at a rate based on Adjusted Term SOFR.</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xml:space="preserve">” means a solvency certificate duly executed by an Authorized Officer of the Borrower and delivered to the Administrative Agent,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or otherwise in form and substance satisfactory to the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with respect to the Borrower and Guarantors, at any date, that:</w:t>
      </w:r>
    </w:p>
    <w:p>
      <w:pPr>
        <w:spacing w:after="0" w:line="179" w:lineRule="exact"/>
        <w:rPr>
          <w:sz w:val="20"/>
          <w:szCs w:val="20"/>
          <w:color w:val="auto"/>
        </w:rPr>
      </w:pPr>
    </w:p>
    <w:p>
      <w:pPr>
        <w:jc w:val="both"/>
        <w:ind w:firstLine="1304"/>
        <w:spacing w:after="0" w:line="223" w:lineRule="auto"/>
        <w:tabs>
          <w:tab w:leader="none" w:pos="1787"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fair value of the assets (on a going concern basis) of the Borrower and the Guarantors on a consolidated basis taken as a whole, exceeds its and their respective debts and liabilities on a consolidated basis taken as a whole, subordinated, contingent or otherwise;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82"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present fair saleable value of the property (on a going concern basis) of the Borrower and the Guarantors on a consolidated basis taken as a whole, is greater than the amount that will be required to pay the probable liability, on a consolidated basis, of their respective debts and other liabilities, subordinated, contingent or otherwise, as such debts and other liabilities become absolute and matured in the Ordinary Course of Business;</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7" w:lineRule="exact"/>
        <w:rPr>
          <w:sz w:val="20"/>
          <w:szCs w:val="20"/>
          <w:color w:val="auto"/>
        </w:rPr>
      </w:pPr>
    </w:p>
    <w:p>
      <w:pPr>
        <w:jc w:val="both"/>
        <w:ind w:firstLine="1304"/>
        <w:spacing w:after="0" w:line="223" w:lineRule="auto"/>
        <w:tabs>
          <w:tab w:leader="none" w:pos="1855" w:val="left"/>
        </w:tabs>
        <w:numPr>
          <w:ilvl w:val="0"/>
          <w:numId w:val="60"/>
        </w:numPr>
        <w:rPr>
          <w:rFonts w:ascii="Arial" w:cs="Arial" w:eastAsia="Arial" w:hAnsi="Arial"/>
          <w:sz w:val="22"/>
          <w:szCs w:val="22"/>
          <w:color w:val="auto"/>
        </w:rPr>
      </w:pPr>
      <w:r>
        <w:rPr>
          <w:rFonts w:ascii="Arial" w:cs="Arial" w:eastAsia="Arial" w:hAnsi="Arial"/>
          <w:sz w:val="22"/>
          <w:szCs w:val="22"/>
          <w:color w:val="auto"/>
        </w:rPr>
        <w:t>each of the Borrower and the Guarantors on a consolidated basis taken as a whole, are able to pay their respective debts and liabilities, subordinated, contingent or otherwise, as such liabilities become absolute and matured in the Ordinary Course of Business; and</w:t>
      </w:r>
    </w:p>
    <w:p>
      <w:pPr>
        <w:spacing w:after="0" w:line="158" w:lineRule="exact"/>
        <w:rPr>
          <w:rFonts w:ascii="Arial" w:cs="Arial" w:eastAsia="Arial" w:hAnsi="Arial"/>
          <w:sz w:val="22"/>
          <w:szCs w:val="22"/>
          <w:color w:val="auto"/>
        </w:rPr>
      </w:pPr>
    </w:p>
    <w:p>
      <w:pPr>
        <w:ind w:firstLine="1304"/>
        <w:spacing w:after="0" w:line="298" w:lineRule="auto"/>
        <w:tabs>
          <w:tab w:leader="none" w:pos="1813" w:val="left"/>
        </w:tabs>
        <w:numPr>
          <w:ilvl w:val="0"/>
          <w:numId w:val="60"/>
        </w:numPr>
        <w:rPr>
          <w:rFonts w:ascii="Arial" w:cs="Arial" w:eastAsia="Arial" w:hAnsi="Arial"/>
          <w:sz w:val="19"/>
          <w:szCs w:val="19"/>
          <w:color w:val="auto"/>
        </w:rPr>
      </w:pPr>
      <w:r>
        <w:rPr>
          <w:rFonts w:ascii="Arial" w:cs="Arial" w:eastAsia="Arial" w:hAnsi="Arial"/>
          <w:sz w:val="19"/>
          <w:szCs w:val="19"/>
          <w:color w:val="auto"/>
        </w:rPr>
        <w:t>each of the Borrower and the Guarantors on a consolidated basis taken as a whole, are not engaged in, and are not about to engage in, business contemplated as of the date hereof for which they have unreasonably small capital.</w:t>
      </w:r>
    </w:p>
    <w:p>
      <w:pPr>
        <w:spacing w:after="0" w:line="10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 of any Person means and includes (a) any corporation more than fifty percent (50%) of whose Voting Stock having by the terms thereof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partnership, limited liability company, association, joint venture or other entity in which such Person directly or indirectly through one or more Subsidiaries has more than fifty percent (50%) of Capital Stock (measured by vote or value) at the time. Unless otherwise expressly provided, all references herein to a “Subsidiary” mean a direct or indirect Subsidiary of the Borrower.</w:t>
      </w:r>
    </w:p>
    <w:p>
      <w:pPr>
        <w:spacing w:after="0" w:line="15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shall mean, with respect to any Guarantor,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Termination Value</w:t>
      </w:r>
      <w:r>
        <w:rPr>
          <w:rFonts w:ascii="Arial" w:cs="Arial" w:eastAsia="Arial" w:hAnsi="Arial"/>
          <w:sz w:val="22"/>
          <w:szCs w:val="22"/>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 the amount(s) determined as the mark-to-market value(s) for such Hedging Agreements, as determined based upon one or more mid-market or other readily available quotations typically used for such mark-to-market valuation purpose and provided by any recognized independent dealer in such Hedging Agreements.</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u w:val="single" w:color="auto"/>
          <w:color w:val="0000FF"/>
        </w:rPr>
        <w:t xml:space="preserve">“Term SOFR” means, for any calculation with respect to a SOFR Loan, the Term SOFR Reference Rate for a tenor of three (3) months on the day (such day, the “Periodic Term SOFR Determination Day”) that is two (2) U.S. Government Securities </w:t>
      </w:r>
      <w:r>
        <w:rPr>
          <w:rFonts w:ascii="Arial" w:cs="Arial" w:eastAsia="Arial" w:hAnsi="Arial"/>
          <w:sz w:val="19"/>
          <w:szCs w:val="19"/>
          <w:u w:val="single" w:color="auto"/>
          <w:color w:val="008000"/>
        </w:rPr>
        <w:t>Business Days prior to the first day of such Interest Period</w:t>
      </w:r>
      <w:r>
        <w:rPr>
          <w:rFonts w:ascii="Arial" w:cs="Arial" w:eastAsia="Arial" w:hAnsi="Arial"/>
          <w:sz w:val="19"/>
          <w:szCs w:val="19"/>
          <w:u w:val="single" w:color="auto"/>
          <w:color w:val="0000FF"/>
        </w:rPr>
        <w:t>,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shall ever be less than the Floor, then Term SOFR shall be deemed to be the Floor.</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“Term SOFR Adjustment” means a percentage equal to 0.15% per annum.</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“Term SOFR Reference Rate” means the forward-looking term rate based on SOFR.</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means, for any determination under this Loan Agreement, the four consecutive fiscal quarters of the Consolidated Companies most recently ended as of the date of such determination and for which financial statements have been delivered on or prior to the date of such determination (or were required to be delivered) pursuant to </w:t>
      </w:r>
      <w:r>
        <w:rPr>
          <w:rFonts w:ascii="Arial" w:cs="Arial" w:eastAsia="Arial" w:hAnsi="Arial"/>
          <w:sz w:val="19"/>
          <w:szCs w:val="19"/>
          <w:u w:val="single" w:color="auto"/>
          <w:color w:val="auto"/>
        </w:rPr>
        <w:t>Section 8.01(b)</w:t>
      </w:r>
      <w:r>
        <w:rPr>
          <w:rFonts w:ascii="Arial" w:cs="Arial" w:eastAsia="Arial" w:hAnsi="Arial"/>
          <w:sz w:val="19"/>
          <w:szCs w:val="19"/>
          <w:color w:val="auto"/>
        </w:rPr>
        <w:t>; provided, that, for purposes of (x) the definition of “Consolidated Total Net Sales” (and the component definitions thereof), (y) the definition of “Total Net Leverage Ratio” (and the component definitions thereof) solely with respect to the use thereof in Section 9.13(a) and (z) Section 8.01(b), the term “Test Period” shall mean, as of the applicable date of determination, the four consecutive fiscal quarters of the Consolidated Companies ending on such date (i.e. the Test Period for the Minimum Consolidated Total Net Sales Amount set forth in Section 9.13(b) for the June 30, 2022 Calculation Date shall be the four fiscal quarters of the Consolidated Companies ending on September 30, 2021, December 31, 2021, March 31, 2022 and June 30, 2022).</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Credit Exposure</w:t>
      </w:r>
      <w:r>
        <w:rPr>
          <w:rFonts w:ascii="Arial" w:cs="Arial" w:eastAsia="Arial" w:hAnsi="Arial"/>
          <w:sz w:val="22"/>
          <w:szCs w:val="22"/>
          <w:color w:val="auto"/>
        </w:rPr>
        <w:t>” means, as of any date of determination, (a) with respect to each Lender, the outstanding principal amount of such Lender’s Loans, and (b) with respect to all Lenders, the aggregate outstanding principal amount of all Loans.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DDTL Commitment</w:t>
      </w:r>
      <w:r>
        <w:rPr>
          <w:rFonts w:ascii="Arial" w:cs="Arial" w:eastAsia="Arial" w:hAnsi="Arial"/>
          <w:sz w:val="22"/>
          <w:szCs w:val="22"/>
          <w:color w:val="auto"/>
        </w:rPr>
        <w:t>” means the sum of all DDTL Lenders’ DDTL Commitments, which as of the date hereof is $25,000,000.</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Term Loan Commitment</w:t>
      </w:r>
      <w:r>
        <w:rPr>
          <w:rFonts w:ascii="Arial" w:cs="Arial" w:eastAsia="Arial" w:hAnsi="Arial"/>
          <w:sz w:val="22"/>
          <w:szCs w:val="22"/>
          <w:color w:val="auto"/>
        </w:rPr>
        <w:t>” means the sum of all Initial Term Loan Lenders’ Initial Term Loan Commitments, which as of the date hereof is $50,000,000.</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means, as of any date of determination, the ratio of (i) Funded Debt, net of unrestricted cash and Cash Equivalents of the Borrower and its Subsidiaries in an aggregate amount not to exceed $10,000,000 (which cash and Cash Equivalents, as of such date, are deposited in an account subject to an Account Control Agreement), outstanding on the last day of the Test Period most recently ended to (ii) Consolidated Adjusted EBITDA for the Test Period then most recently ended.</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Date</w:t>
      </w:r>
      <w:r>
        <w:rPr>
          <w:rFonts w:ascii="Arial" w:cs="Arial" w:eastAsia="Arial" w:hAnsi="Arial"/>
          <w:sz w:val="22"/>
          <w:szCs w:val="22"/>
          <w:color w:val="auto"/>
        </w:rPr>
        <w:t>” means, as to a particular assignment or participation of an interest hereunder to a Person, the date on which the applicable Lender enters into a binding agreement to sell and assign or participate all or a portion of its rights and obligations under this Loan Agreement to such Person.</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shall mean all trade secrets or other confidential and proprietary information, including confidential and proprietary customer lists, forms and types of financial, business, scientific, technical, economic, or engineering information or know-how, including confidential and proprietary patterns, plans, compilations, program devices, formulas, designs, prototypes, methods, techniques, processes, materials, compositions, technologies, inventions, procedures, programs or codes, whether tangible or intangible.</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Agreements</w:t>
      </w:r>
      <w:r>
        <w:rPr>
          <w:rFonts w:ascii="Arial" w:cs="Arial" w:eastAsia="Arial" w:hAnsi="Arial"/>
          <w:sz w:val="22"/>
          <w:szCs w:val="22"/>
          <w:color w:val="auto"/>
        </w:rPr>
        <w:t xml:space="preserve"> ” means any trademark security agreement entered into on or after the Closing Date (as required by this Loan Agreement or any other Loan Document).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with the Enemy Act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7.29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(i) the execution and delivery by each Loan Party of the Loan Documents to which it is a party and performance of its obligations thereunder, (ii) the Refinancing, (iii) the PIPE Transactions, and (iv) the disbursement of the Initial Term Loans hereunder on the Closing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and “</w:t>
      </w:r>
      <w:r>
        <w:rPr>
          <w:rFonts w:ascii="Arial" w:cs="Arial" w:eastAsia="Arial" w:hAnsi="Arial"/>
          <w:sz w:val="22"/>
          <w:szCs w:val="22"/>
          <w:u w:val="single" w:color="auto"/>
          <w:color w:val="auto"/>
        </w:rPr>
        <w:t>United States</w:t>
      </w:r>
      <w:r>
        <w:rPr>
          <w:rFonts w:ascii="Arial" w:cs="Arial" w:eastAsia="Arial" w:hAnsi="Arial"/>
          <w:sz w:val="22"/>
          <w:szCs w:val="22"/>
          <w:color w:val="auto"/>
        </w:rPr>
        <w:t>” mean the United States of America.</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4.04(f)</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“Unadjusted Benchmark Replacement” means the applicable Benchmark Replacement excluding the related Benchmark Replacement Adjustment.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from time to time in effect in the State of New York.</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Unasserted Contingent Obligations</w:t>
      </w:r>
      <w:r>
        <w:rPr>
          <w:rFonts w:ascii="Arial" w:cs="Arial" w:eastAsia="Arial" w:hAnsi="Arial"/>
          <w:sz w:val="19"/>
          <w:szCs w:val="19"/>
          <w:color w:val="auto"/>
        </w:rPr>
        <w:t>” has the meaning given to such term in the Guaranty and Security Agreement.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DDTL Commitment Fee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Unfunded Current Liability</w:t>
      </w:r>
      <w:r>
        <w:rPr>
          <w:rFonts w:ascii="Arial" w:cs="Arial" w:eastAsia="Arial" w:hAnsi="Arial"/>
          <w:sz w:val="19"/>
          <w:szCs w:val="19"/>
          <w:color w:val="auto"/>
        </w:rPr>
        <w:t>” of any Plan means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7"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means, with respect to any Person, shares of such Person’s Capital Stock having the right to vote for the election of directors (or Persons acting in a comparable capacity) of such Person under ordinary circumstances.</w:t>
      </w:r>
    </w:p>
    <w:p>
      <w:pPr>
        <w:spacing w:after="0" w:line="10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means, when applied to any Indebtedness at any date, the number of years obtained by dividing: (a) the sum of the products obtained by multiplying (i) the amount of each then remaining installment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provided that for purposes of determining the Weighted Average Life to Maturity of any Indebtedness that is being modified, refinanced, refunded, renewed, replaced or extended, the effects of any prepayments made on such Indebtedness prior to the date of the applicable extension shall be disregarded.</w:t>
      </w:r>
    </w:p>
    <w:p>
      <w:pPr>
        <w:spacing w:after="0" w:line="15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Title IV of ERISA.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Loan Party and the Administrative Agent.</w:t>
      </w:r>
    </w:p>
    <w:p>
      <w:pPr>
        <w:spacing w:after="0" w:line="17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Yield Differential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2.08(c)(ii)</w:t>
      </w:r>
      <w:r>
        <w:rPr>
          <w:rFonts w:ascii="Arial" w:cs="Arial" w:eastAsia="Arial" w:hAnsi="Arial"/>
          <w:sz w:val="22"/>
          <w:szCs w:val="22"/>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color w:val="auto"/>
        </w:rPr>
        <w:t>Other Interpretive Provisions</w:t>
      </w:r>
    </w:p>
    <w:p>
      <w:pPr>
        <w:spacing w:after="0" w:line="179" w:lineRule="exact"/>
        <w:rPr>
          <w:sz w:val="20"/>
          <w:szCs w:val="20"/>
          <w:color w:val="auto"/>
        </w:rPr>
      </w:pPr>
    </w:p>
    <w:p>
      <w:pPr>
        <w:ind w:firstLine="656"/>
        <w:spacing w:after="0" w:line="232" w:lineRule="auto"/>
        <w:tabs>
          <w:tab w:leader="none" w:pos="7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With reference to this Loan Agreement and each other Loan Document, unless otherwise specified herein or in such other Loan Document:</w:t>
      </w:r>
    </w:p>
    <w:p>
      <w:pPr>
        <w:spacing w:after="0" w:line="158" w:lineRule="exact"/>
        <w:rPr>
          <w:rFonts w:ascii="Arial" w:cs="Arial" w:eastAsia="Arial" w:hAnsi="Arial"/>
          <w:sz w:val="22"/>
          <w:szCs w:val="22"/>
          <w:color w:val="auto"/>
        </w:rPr>
      </w:pPr>
    </w:p>
    <w:p>
      <w:pPr>
        <w:ind w:left="2440" w:hanging="488"/>
        <w:spacing w:after="0"/>
        <w:tabs>
          <w:tab w:leader="none" w:pos="24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161" w:lineRule="exact"/>
        <w:rPr>
          <w:rFonts w:ascii="Arial" w:cs="Arial" w:eastAsia="Arial" w:hAnsi="Arial"/>
          <w:sz w:val="19"/>
          <w:szCs w:val="19"/>
          <w:color w:val="auto"/>
        </w:rPr>
      </w:pPr>
    </w:p>
    <w:p>
      <w:pPr>
        <w:ind w:firstLine="1952"/>
        <w:spacing w:after="0" w:line="247" w:lineRule="auto"/>
        <w:tabs>
          <w:tab w:leader="none" w:pos="2477"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words “herein”, “hereto”, “hereof” and “hereunder” and words of similar import when used in any Loan Document shall refer to such Loan Document as a whole and not to any particular provision thereof.</w:t>
      </w:r>
    </w:p>
    <w:p>
      <w:pPr>
        <w:spacing w:after="0" w:line="150" w:lineRule="exact"/>
        <w:rPr>
          <w:rFonts w:ascii="Arial" w:cs="Arial" w:eastAsia="Arial" w:hAnsi="Arial"/>
          <w:sz w:val="21"/>
          <w:szCs w:val="21"/>
          <w:color w:val="auto"/>
        </w:rPr>
      </w:pPr>
    </w:p>
    <w:p>
      <w:pPr>
        <w:ind w:left="2480" w:hanging="528"/>
        <w:spacing w:after="0"/>
        <w:tabs>
          <w:tab w:leader="none" w:pos="24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Article, Section, clause, Exhibit and Schedule references are to the Loan Document in which such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reference appears.</w:t>
      </w:r>
    </w:p>
    <w:p>
      <w:pPr>
        <w:spacing w:after="0" w:line="161" w:lineRule="exact"/>
        <w:rPr>
          <w:rFonts w:ascii="Arial" w:cs="Arial" w:eastAsia="Arial" w:hAnsi="Arial"/>
          <w:sz w:val="19"/>
          <w:szCs w:val="19"/>
          <w:color w:val="auto"/>
        </w:rPr>
      </w:pPr>
    </w:p>
    <w:p>
      <w:pPr>
        <w:ind w:firstLine="1952"/>
        <w:spacing w:after="0" w:line="247" w:lineRule="auto"/>
        <w:tabs>
          <w:tab w:leader="none" w:pos="2439"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terms “include”, “includes” and “including” are by way of example and not limitation, and shall be deemed to be followed by the words “without limitation” whether or not they are in fact followed by such words.</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7" w:lineRule="exact"/>
        <w:rPr>
          <w:sz w:val="20"/>
          <w:szCs w:val="20"/>
          <w:color w:val="auto"/>
        </w:rPr>
      </w:pPr>
    </w:p>
    <w:p>
      <w:pPr>
        <w:ind w:left="-656" w:firstLine="1952"/>
        <w:spacing w:after="0" w:line="247" w:lineRule="auto"/>
        <w:tabs>
          <w:tab w:leader="none" w:pos="176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term “documents” includes any and all instruments, documents, agreements, certificates, notices, reports, financial statements and other writings, however evidenced, whether in physical or electronic form.</w:t>
      </w:r>
    </w:p>
    <w:p>
      <w:pPr>
        <w:spacing w:after="0" w:line="150" w:lineRule="exact"/>
        <w:rPr>
          <w:rFonts w:ascii="Arial" w:cs="Arial" w:eastAsia="Arial" w:hAnsi="Arial"/>
          <w:sz w:val="21"/>
          <w:szCs w:val="21"/>
          <w:color w:val="auto"/>
        </w:rPr>
      </w:pPr>
    </w:p>
    <w:p>
      <w:pPr>
        <w:jc w:val="both"/>
        <w:ind w:left="-656" w:firstLine="1952"/>
        <w:spacing w:after="0" w:line="223" w:lineRule="auto"/>
        <w:tabs>
          <w:tab w:leader="none" w:pos="175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8" w:lineRule="exact"/>
        <w:rPr>
          <w:rFonts w:ascii="Arial" w:cs="Arial" w:eastAsia="Arial" w:hAnsi="Arial"/>
          <w:sz w:val="22"/>
          <w:szCs w:val="22"/>
          <w:color w:val="auto"/>
        </w:rPr>
      </w:pPr>
    </w:p>
    <w:p>
      <w:pPr>
        <w:jc w:val="both"/>
        <w:ind w:left="-656" w:firstLine="1952"/>
        <w:spacing w:after="0" w:line="223" w:lineRule="auto"/>
        <w:tabs>
          <w:tab w:leader="none" w:pos="193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Table of Contents and Article, Section and clause headings herein and in the other Loan Documents are included for convenience of reference only and shall not affect the interpretation of this Loan Agreement or any other Loan Document.</w:t>
      </w:r>
    </w:p>
    <w:p>
      <w:pPr>
        <w:spacing w:after="0" w:line="158" w:lineRule="exact"/>
        <w:rPr>
          <w:rFonts w:ascii="Arial" w:cs="Arial" w:eastAsia="Arial" w:hAnsi="Arial"/>
          <w:sz w:val="22"/>
          <w:szCs w:val="22"/>
          <w:color w:val="auto"/>
        </w:rPr>
      </w:pPr>
    </w:p>
    <w:p>
      <w:pPr>
        <w:ind w:left="-656" w:firstLine="1952"/>
        <w:spacing w:after="0" w:line="232" w:lineRule="auto"/>
        <w:tabs>
          <w:tab w:leader="none" w:pos="1907"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Loan Agreement, the Administrative Agent and the Hayfin Parties shall not be considered Affiliates of the Loan Parties.</w:t>
      </w:r>
    </w:p>
    <w:p>
      <w:pPr>
        <w:spacing w:after="0" w:line="159"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Accounting Terms and Principles</w:t>
      </w:r>
    </w:p>
    <w:p>
      <w:pPr>
        <w:spacing w:after="0" w:line="179" w:lineRule="exact"/>
        <w:rPr>
          <w:sz w:val="20"/>
          <w:szCs w:val="20"/>
          <w:color w:val="auto"/>
        </w:rPr>
      </w:pPr>
    </w:p>
    <w:p>
      <w:pPr>
        <w:jc w:val="both"/>
        <w:ind w:left="-656" w:firstLine="656"/>
        <w:spacing w:after="0"/>
        <w:tabs>
          <w:tab w:leader="none" w:pos="105"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All accounting terms not specifically or completely defined herein shall be construed, and all financial data (including financial ratios and other financial calculations) required to be submitted pursuant to this Loan Agreement (including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w:t>
      </w:r>
      <w:r>
        <w:rPr>
          <w:rFonts w:ascii="Arial" w:cs="Arial" w:eastAsia="Arial" w:hAnsi="Arial"/>
          <w:sz w:val="19"/>
          <w:szCs w:val="19"/>
          <w:color w:val="auto"/>
        </w:rPr>
        <w:t xml:space="preserve">) shall be prepared by an Authorized Officer, in conformity with GAAP, consistently applied, (in each case, except as otherwise specifically prescribed herein). No change in the accounting principles used in the preparation of any financial statement hereafter adopted by the Borrower or any of its Subsidiaries shall be given effect for purposes of measuring compliance with any provision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or otherwise in this Loan Agreement in each case, unless the Borrower, the Administrative Agent and Required Lenders agree in writing to modify such provisions to reflect such changes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Notwithstanding any other provision contained herein, all terms of an accounting or financial nature used herein shall be construed, and all computations of amounts and ratios referred to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made, without giving effect to any election under Accounting Standards Codification 825-10 (or any other Financial Accounting Standard having a similar result or effect) to value any Indebtedness or other liabilities of any Loan Party or any Subsidiary of any Loan Party at “fair value”. A breach of a financial covenant contained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deemed to have occurred as of the last day of any specified measurement period, regardless of when the financial statements reflecting such breach are delivered or required to be delivered to any Agent or any Lender. In addition, any lease treated as an operating lease on the date it is entered into shall continue to be treated as an operating lease during the term of this Loan Agreement notwithstanding a change in the treatment thereof to a Capitalized Lease in accordance with any change in GAAP. Notwithstanding anything to the contrary contained herein, all obligations of any Person that are or would have been treated as operating leases (including for avoidance of doubt, any network lease or any operating indefeasible right of use) for purposes of GAAP prior to the issuance by the Financial Accounting Standards Board on February 25, 2016 of an Accounting Standards Update (the “ASU</w:t>
      </w:r>
      <w:r>
        <w:rPr>
          <w:rFonts w:ascii="Arial" w:cs="Arial" w:eastAsia="Arial" w:hAnsi="Arial"/>
          <w:sz w:val="19"/>
          <w:szCs w:val="19"/>
          <w:u w:val="single" w:color="auto"/>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shall continue to be accounted for as operating leases for purposes of all financial definitions and calculations for purpose of this Loan Agreement (whether or not such operating lease obligations were in effect on such date) notwithstanding the fact that such obligations are required in accordance with the ASU (on a prospective or retroactive basis or otherwise) to be treated as Capital Lease Obligations in the financial statements to be delivered pursuant to </w:t>
      </w:r>
      <w:r>
        <w:rPr>
          <w:rFonts w:ascii="Arial" w:cs="Arial" w:eastAsia="Arial" w:hAnsi="Arial"/>
          <w:sz w:val="19"/>
          <w:szCs w:val="19"/>
          <w:u w:val="single" w:color="auto"/>
          <w:color w:val="auto"/>
        </w:rPr>
        <w:t>Section 8.01</w:t>
      </w:r>
      <w:r>
        <w:rPr>
          <w:rFonts w:ascii="Arial" w:cs="Arial" w:eastAsia="Arial" w:hAnsi="Arial"/>
          <w:sz w:val="19"/>
          <w:szCs w:val="19"/>
          <w:color w:val="auto"/>
        </w:rPr>
        <w:t>.</w:t>
      </w:r>
    </w:p>
    <w:p>
      <w:pPr>
        <w:spacing w:after="0" w:line="372" w:lineRule="exact"/>
        <w:rPr>
          <w:sz w:val="20"/>
          <w:szCs w:val="20"/>
          <w:color w:val="auto"/>
        </w:rPr>
      </w:pPr>
    </w:p>
    <w:p>
      <w:pPr>
        <w:ind w:left="4"/>
        <w:spacing w:after="0"/>
        <w:rPr>
          <w:sz w:val="20"/>
          <w:szCs w:val="20"/>
          <w:color w:val="auto"/>
        </w:rPr>
      </w:pPr>
      <w:r>
        <w:rPr>
          <w:rFonts w:ascii="Arial" w:cs="Arial" w:eastAsia="Arial" w:hAnsi="Arial"/>
          <w:sz w:val="22"/>
          <w:szCs w:val="22"/>
          <w:u w:val="single" w:color="auto"/>
          <w:color w:val="FF0000"/>
          <w:strike w:val="1"/>
        </w:rPr>
        <w:t>Rounding</w:t>
      </w:r>
    </w:p>
    <w:p>
      <w:pPr>
        <w:sectPr>
          <w:pgSz w:w="11900" w:h="16838" w:orient="portrait"/>
          <w:cols w:equalWidth="0" w:num="1">
            <w:col w:w="10584"/>
          </w:cols>
          <w:pgMar w:left="976" w:top="1440" w:right="339" w:bottom="1440" w:gutter="0" w:footer="0" w:header="0"/>
        </w:sectPr>
      </w:pPr>
    </w:p>
    <w:bookmarkStart w:id="101" w:name="page102"/>
    <w:bookmarkEnd w:id="101"/>
    <w:p>
      <w:pPr>
        <w:jc w:val="both"/>
        <w:ind w:firstLine="648"/>
        <w:spacing w:after="0" w:line="216" w:lineRule="auto"/>
        <w:rPr>
          <w:sz w:val="20"/>
          <w:szCs w:val="20"/>
          <w:color w:val="auto"/>
        </w:rPr>
      </w:pPr>
      <w:r>
        <w:rPr>
          <w:rFonts w:ascii="Arial" w:cs="Arial" w:eastAsia="Arial" w:hAnsi="Arial"/>
          <w:sz w:val="22"/>
          <w:szCs w:val="22"/>
          <w:u w:val="single" w:color="auto"/>
          <w:color w:val="0000FF"/>
        </w:rPr>
        <w:t>Section 1.04 Rounding</w:t>
      </w:r>
      <w:r>
        <w:rPr>
          <w:rFonts w:ascii="Arial" w:cs="Arial" w:eastAsia="Arial" w:hAnsi="Arial"/>
          <w:sz w:val="22"/>
          <w:szCs w:val="22"/>
          <w:color w:val="000000"/>
        </w:rPr>
        <w:t>. Any financial ratios required to be maintained or complied with by any Loan Party pursuant to</w:t>
      </w:r>
      <w:r>
        <w:rPr>
          <w:rFonts w:ascii="Arial" w:cs="Arial" w:eastAsia="Arial" w:hAnsi="Arial"/>
          <w:sz w:val="22"/>
          <w:szCs w:val="22"/>
          <w:color w:val="0000FF"/>
        </w:rPr>
        <w:t xml:space="preserve"> </w:t>
      </w:r>
      <w:r>
        <w:rPr>
          <w:rFonts w:ascii="Arial" w:cs="Arial" w:eastAsia="Arial" w:hAnsi="Arial"/>
          <w:sz w:val="22"/>
          <w:szCs w:val="22"/>
          <w:color w:val="000000"/>
        </w:rPr>
        <w:t>this Loan Agreement (or required to be satisfied in order for a specific action to be permitted under this Loan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References to Agreements, Laws, etc</w:t>
      </w:r>
    </w:p>
    <w:p>
      <w:pPr>
        <w:spacing w:after="0" w:line="179" w:lineRule="exact"/>
        <w:rPr>
          <w:sz w:val="20"/>
          <w:szCs w:val="20"/>
          <w:color w:val="auto"/>
        </w:rPr>
      </w:pPr>
    </w:p>
    <w:p>
      <w:pPr>
        <w:jc w:val="both"/>
        <w:ind w:firstLine="656"/>
        <w:spacing w:after="0" w:line="249" w:lineRule="auto"/>
        <w:tabs>
          <w:tab w:leader="none" w:pos="762" w:val="left"/>
        </w:tabs>
        <w:numPr>
          <w:ilvl w:val="0"/>
          <w:numId w:val="64"/>
        </w:numPr>
        <w:rPr>
          <w:rFonts w:ascii="Arial" w:cs="Arial" w:eastAsia="Arial" w:hAnsi="Arial"/>
          <w:sz w:val="19"/>
          <w:szCs w:val="19"/>
          <w:color w:val="auto"/>
        </w:rPr>
      </w:pPr>
      <w:r>
        <w:rPr>
          <w:rFonts w:ascii="Arial" w:cs="Arial" w:eastAsia="Arial" w:hAnsi="Arial"/>
          <w:sz w:val="19"/>
          <w:szCs w:val="19"/>
          <w:color w:val="auto"/>
        </w:rPr>
        <w:t>Unless otherwise expressly provided herein, (a) references to Organization Documents, agreements (including this Loan Agreement and each of the other Loan Documents) and other Contractual Obligations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Times of Day</w:t>
      </w:r>
    </w:p>
    <w:p>
      <w:pPr>
        <w:spacing w:after="0" w:line="179" w:lineRule="exact"/>
        <w:rPr>
          <w:sz w:val="20"/>
          <w:szCs w:val="20"/>
          <w:color w:val="auto"/>
        </w:rPr>
      </w:pPr>
    </w:p>
    <w:p>
      <w:pPr>
        <w:ind w:firstLine="656"/>
        <w:spacing w:after="0" w:line="232" w:lineRule="auto"/>
        <w:tabs>
          <w:tab w:leader="none" w:pos="766" w:val="left"/>
        </w:tabs>
        <w:numPr>
          <w:ilvl w:val="0"/>
          <w:numId w:val="65"/>
        </w:numPr>
        <w:rPr>
          <w:rFonts w:ascii="Arial" w:cs="Arial" w:eastAsia="Arial" w:hAnsi="Arial"/>
          <w:sz w:val="22"/>
          <w:szCs w:val="22"/>
          <w:color w:val="auto"/>
        </w:rPr>
      </w:pPr>
      <w:r>
        <w:rPr>
          <w:rFonts w:ascii="Arial" w:cs="Arial" w:eastAsia="Arial" w:hAnsi="Arial"/>
          <w:sz w:val="22"/>
          <w:szCs w:val="22"/>
          <w:color w:val="auto"/>
        </w:rPr>
        <w:t>Unless otherwise specified, all references herein to times of day shall be references to Eastern Time (daylight saving or standard, as then applicable).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u w:val="single" w:color="auto"/>
          <w:color w:val="auto"/>
        </w:rPr>
        <w:t>Timing of Payment of Performance</w:t>
      </w:r>
    </w:p>
    <w:p>
      <w:pPr>
        <w:spacing w:after="0" w:line="179" w:lineRule="exact"/>
        <w:rPr>
          <w:sz w:val="20"/>
          <w:szCs w:val="20"/>
          <w:color w:val="auto"/>
        </w:rPr>
      </w:pPr>
    </w:p>
    <w:p>
      <w:pPr>
        <w:jc w:val="both"/>
        <w:ind w:firstLine="656"/>
        <w:spacing w:after="0" w:line="223" w:lineRule="auto"/>
        <w:tabs>
          <w:tab w:leader="none" w:pos="7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Corporate Terminology</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0000FF"/>
        </w:rPr>
        <w:t>Section 1.08 Corporate Terminology</w:t>
      </w:r>
      <w:r>
        <w:rPr>
          <w:rFonts w:ascii="Arial" w:cs="Arial" w:eastAsia="Arial" w:hAnsi="Arial"/>
          <w:sz w:val="22"/>
          <w:szCs w:val="22"/>
          <w:color w:val="000000"/>
        </w:rPr>
        <w:t>. All references to officers, shareholders, stock, shares, directors, boards of</w:t>
      </w:r>
      <w:r>
        <w:rPr>
          <w:rFonts w:ascii="Arial" w:cs="Arial" w:eastAsia="Arial" w:hAnsi="Arial"/>
          <w:sz w:val="22"/>
          <w:szCs w:val="22"/>
          <w:color w:val="0000FF"/>
        </w:rPr>
        <w:t xml:space="preserve"> </w:t>
      </w:r>
      <w:r>
        <w:rPr>
          <w:rFonts w:ascii="Arial" w:cs="Arial" w:eastAsia="Arial" w:hAnsi="Arial"/>
          <w:sz w:val="22"/>
          <w:szCs w:val="22"/>
          <w:color w:val="000000"/>
        </w:rPr>
        <w:t>directors, corporate authority, articles of incorporation, bylaws or other matters relating to a corporation, herein or in any other Loan Document, with respect to a Person that is not a corporation, mean and are references to the comparable terms used with respect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-440690</wp:posOffset>
            </wp:positionV>
            <wp:extent cx="23006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300605" cy="8890"/>
                    </a:xfrm>
                    <a:prstGeom prst="rect">
                      <a:avLst/>
                    </a:prstGeom>
                    <a:noFill/>
                  </pic:spPr>
                </pic:pic>
              </a:graphicData>
            </a:graphic>
          </wp:anchor>
        </w:drawing>
      </w:r>
    </w:p>
    <w:p>
      <w:pPr>
        <w:spacing w:after="0" w:line="14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Independence of Provisions</w:t>
      </w:r>
    </w:p>
    <w:p>
      <w:pPr>
        <w:spacing w:after="0" w:line="179" w:lineRule="exact"/>
        <w:rPr>
          <w:sz w:val="20"/>
          <w:szCs w:val="20"/>
          <w:color w:val="auto"/>
        </w:rPr>
      </w:pPr>
    </w:p>
    <w:p>
      <w:pPr>
        <w:jc w:val="both"/>
        <w:ind w:firstLine="656"/>
        <w:spacing w:after="0" w:line="234" w:lineRule="auto"/>
        <w:tabs>
          <w:tab w:leader="none" w:pos="763"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This Loan Agreement and the other Loan Documents may use different limitations, tests, “baskets”, thresholds or other measurements to regulate the same or similar matters. All such limitations, tests, “baskets”, thresholds and other measurements are cumulative, and each must be performed or complied with independently of all others.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Divisions</w:t>
      </w:r>
    </w:p>
    <w:p>
      <w:pPr>
        <w:spacing w:after="0" w:line="17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u w:val="single" w:color="auto"/>
          <w:color w:val="0000FF"/>
        </w:rPr>
        <w:t>Section 1.10 Divisions</w:t>
      </w:r>
      <w:r>
        <w:rPr>
          <w:rFonts w:ascii="Arial" w:cs="Arial" w:eastAsia="Arial" w:hAnsi="Arial"/>
          <w:sz w:val="22"/>
          <w:szCs w:val="22"/>
          <w:color w:val="000000"/>
        </w:rPr>
        <w:t>. For all purposes under the Loan Documents, in connection with any division or plan of division</w:t>
      </w:r>
      <w:r>
        <w:rPr>
          <w:rFonts w:ascii="Arial" w:cs="Arial" w:eastAsia="Arial" w:hAnsi="Arial"/>
          <w:sz w:val="22"/>
          <w:szCs w:val="22"/>
          <w:color w:val="0000FF"/>
        </w:rPr>
        <w:t xml:space="preserve"> </w:t>
      </w:r>
      <w:r>
        <w:rPr>
          <w:rFonts w:ascii="Arial" w:cs="Arial" w:eastAsia="Arial" w:hAnsi="Arial"/>
          <w:sz w:val="22"/>
          <w:szCs w:val="22"/>
          <w:color w:val="000000"/>
        </w:rPr>
        <w:t>under Delaware law (or any comparable event under a different jurisdiction’s laws): any reference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and any division of a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-713105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-764540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32" w:lineRule="auto"/>
        <w:rPr>
          <w:sz w:val="20"/>
          <w:szCs w:val="20"/>
          <w:color w:val="auto"/>
        </w:rPr>
      </w:pPr>
      <w:r>
        <w:rPr>
          <w:rFonts w:ascii="Arial" w:cs="Arial" w:eastAsia="Arial" w:hAnsi="Arial"/>
          <w:sz w:val="22"/>
          <w:szCs w:val="22"/>
          <w:color w:val="auto"/>
        </w:rPr>
        <w:t>company shall constitute a separate Person hereunder (and each division of any limited liability company that is a Subsidiary, joint venture or any other like term shall also constitute such a Person or entity).</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u w:val="single" w:color="auto"/>
          <w:color w:val="0000FF"/>
        </w:rPr>
        <w:t>Section 1.11 Rates. The Administrative Agent does not warrant or accept responsibility for, and shall not have any liability with respect to (a) the continuation of, administration of, submission of, calculation of or any other matter related to Prime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Prime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Prime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Prime Rate, the Term SOFR Reference Rate, Term SOFR, Adjusted Term SOFR or any other Benchmark, in each case pursuant to the terms of this Loan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by any such information source or service.</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[Reserved]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Limited Condition Acquisition</w:t>
      </w:r>
    </w:p>
    <w:p>
      <w:pPr>
        <w:spacing w:after="0" w:line="179" w:lineRule="exact"/>
        <w:rPr>
          <w:sz w:val="20"/>
          <w:szCs w:val="20"/>
          <w:color w:val="auto"/>
        </w:rPr>
      </w:pPr>
    </w:p>
    <w:p>
      <w:pPr>
        <w:jc w:val="both"/>
        <w:ind w:firstLine="656"/>
        <w:spacing w:after="0" w:line="239" w:lineRule="auto"/>
        <w:tabs>
          <w:tab w:leader="none" w:pos="763"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In the case of determining compliance with (i) the Total Net Leverage Ratio (x) required pursuant to </w:t>
      </w:r>
      <w:r>
        <w:rPr>
          <w:rFonts w:ascii="Arial" w:cs="Arial" w:eastAsia="Arial" w:hAnsi="Arial"/>
          <w:sz w:val="19"/>
          <w:szCs w:val="19"/>
          <w:u w:val="single" w:color="auto"/>
          <w:color w:val="auto"/>
        </w:rPr>
        <w:t>Section 2.08(b)(iv)</w:t>
      </w:r>
      <w:r>
        <w:rPr>
          <w:rFonts w:ascii="Arial" w:cs="Arial" w:eastAsia="Arial" w:hAnsi="Arial"/>
          <w:sz w:val="19"/>
          <w:szCs w:val="19"/>
          <w:color w:val="auto"/>
        </w:rPr>
        <w:t xml:space="preserve"> in connection with a Borrowing of any Incremental Term Loan, (y) described in clause (b) of the definition of Permitted Acquisition or (z) required pursuant to Section 6.05 in connection with a Borrowing of any DDTL, (ii) the representations and warranties described in (x) </w:t>
      </w:r>
      <w:r>
        <w:rPr>
          <w:rFonts w:ascii="Arial" w:cs="Arial" w:eastAsia="Arial" w:hAnsi="Arial"/>
          <w:sz w:val="19"/>
          <w:szCs w:val="19"/>
          <w:u w:val="single" w:color="auto"/>
          <w:color w:val="auto"/>
        </w:rPr>
        <w:t>Section 2.08(b)(ii)</w:t>
      </w:r>
      <w:r>
        <w:rPr>
          <w:rFonts w:ascii="Arial" w:cs="Arial" w:eastAsia="Arial" w:hAnsi="Arial"/>
          <w:sz w:val="19"/>
          <w:szCs w:val="19"/>
          <w:color w:val="auto"/>
        </w:rPr>
        <w:t xml:space="preserve"> in connection with a Borrowing of any Incremental Term Loan or (y)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in connection with the Borrowing of any DDTL, (iii) the absence of any Default or Event of Default (other than a Default or Event of Default under </w:t>
      </w:r>
      <w:r>
        <w:rPr>
          <w:rFonts w:ascii="Arial" w:cs="Arial" w:eastAsia="Arial" w:hAnsi="Arial"/>
          <w:sz w:val="19"/>
          <w:szCs w:val="19"/>
          <w:u w:val="single" w:color="auto"/>
          <w:color w:val="auto"/>
        </w:rPr>
        <w:t>Sections 10.01(a)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described in (x) </w:t>
      </w:r>
      <w:r>
        <w:rPr>
          <w:rFonts w:ascii="Arial" w:cs="Arial" w:eastAsia="Arial" w:hAnsi="Arial"/>
          <w:sz w:val="19"/>
          <w:szCs w:val="19"/>
          <w:u w:val="single" w:color="auto"/>
          <w:color w:val="auto"/>
        </w:rPr>
        <w:t>Section 2.08(b)(i)</w:t>
      </w:r>
      <w:r>
        <w:rPr>
          <w:rFonts w:ascii="Arial" w:cs="Arial" w:eastAsia="Arial" w:hAnsi="Arial"/>
          <w:sz w:val="19"/>
          <w:szCs w:val="19"/>
          <w:color w:val="auto"/>
        </w:rPr>
        <w:t xml:space="preserve"> in connection with a Borrowing of Incremental Term Loan, (y)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in connection with a Borrowing of DDTL or (z) clause (a) of the definition of Permitted Acquisition and (iv) the absence of any Material Adverse Effect described in (x) </w:t>
      </w:r>
      <w:r>
        <w:rPr>
          <w:rFonts w:ascii="Arial" w:cs="Arial" w:eastAsia="Arial" w:hAnsi="Arial"/>
          <w:sz w:val="19"/>
          <w:szCs w:val="19"/>
          <w:u w:val="single" w:color="auto"/>
          <w:color w:val="auto"/>
        </w:rPr>
        <w:t>Section 2.08(b)(iii)</w:t>
      </w:r>
      <w:r>
        <w:rPr>
          <w:rFonts w:ascii="Arial" w:cs="Arial" w:eastAsia="Arial" w:hAnsi="Arial"/>
          <w:sz w:val="19"/>
          <w:szCs w:val="19"/>
          <w:color w:val="auto"/>
        </w:rPr>
        <w:t xml:space="preserve"> in connection with a Borrowing of Incremental Term Loan and (y)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in connection with a Borrowing of DDTL, in each case of clauses (i),</w:t>
      </w:r>
    </w:p>
    <w:p>
      <w:pPr>
        <w:spacing w:after="0" w:line="3" w:lineRule="exact"/>
        <w:rPr>
          <w:rFonts w:ascii="Arial" w:cs="Arial" w:eastAsia="Arial" w:hAnsi="Arial"/>
          <w:sz w:val="19"/>
          <w:szCs w:val="19"/>
          <w:color w:val="auto"/>
        </w:rPr>
      </w:pPr>
    </w:p>
    <w:p>
      <w:pPr>
        <w:jc w:val="both"/>
        <w:ind w:firstLine="8"/>
        <w:spacing w:after="0" w:line="211" w:lineRule="auto"/>
        <w:tabs>
          <w:tab w:leader="none" w:pos="325"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and (iii), in connection with a Limited Condition Acquisition, the determination of whether the relevant condition is satisfied may be made, at the written election (to the Administrative Agent) of the Borrower, shall be determined as of the date a definitive acquisition agreement for such Limited Condition Acquisition is entered into, and calculated as if such Limited Condition Acquisition (and any other pending Limited Condition Acquisition) and other pro forma events in connection therewith (and in connection with any other pending Limited Condition Acquisition), including the incurrence of Indebtedness, were consummated on such date.</w:t>
      </w:r>
    </w:p>
    <w:p>
      <w:pPr>
        <w:sectPr>
          <w:pgSz w:w="11900" w:h="16838" w:orient="portrait"/>
          <w:cols w:equalWidth="0" w:num="1">
            <w:col w:w="11240"/>
          </w:cols>
          <w:pgMar w:left="320" w:top="1401" w:right="339" w:bottom="1440" w:gutter="0" w:footer="0" w:header="0"/>
        </w:sectPr>
      </w:pPr>
    </w:p>
    <w:bookmarkStart w:id="103" w:name="page104"/>
    <w:bookmarkEnd w:id="103"/>
    <w:p>
      <w:pPr>
        <w:spacing w:after="0" w:line="17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ind w:left="3200"/>
        <w:spacing w:after="0"/>
        <w:rPr>
          <w:sz w:val="20"/>
          <w:szCs w:val="20"/>
          <w:color w:val="auto"/>
        </w:rPr>
      </w:pPr>
      <w:r>
        <w:rPr>
          <w:rFonts w:ascii="Arial" w:cs="Arial" w:eastAsia="Arial" w:hAnsi="Arial"/>
          <w:sz w:val="22"/>
          <w:szCs w:val="22"/>
          <w:b w:val="1"/>
          <w:bCs w:val="1"/>
          <w:u w:val="single" w:color="auto"/>
          <w:color w:val="auto"/>
        </w:rPr>
        <w:t>AMOUNT AND TERMS OF CREDIT FACILITIES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Commitments and Loans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24" w:lineRule="auto"/>
        <w:tabs>
          <w:tab w:leader="none" w:pos="2411"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Initial Term Loans</w:t>
      </w:r>
      <w:r>
        <w:rPr>
          <w:rFonts w:ascii="Arial" w:cs="Arial" w:eastAsia="Arial" w:hAnsi="Arial"/>
          <w:sz w:val="21"/>
          <w:szCs w:val="21"/>
          <w:color w:val="auto"/>
        </w:rPr>
        <w:t>. Subject to and upon the terms and conditions set forth herein and in reliance upon the representation and warranties of the Loan Parties contained herein, each Initial Term Loan Lender agrees, severally and not jointly, to make in Dollars a loan or loans (each, an “</w:t>
      </w:r>
      <w:r>
        <w:rPr>
          <w:rFonts w:ascii="Arial" w:cs="Arial" w:eastAsia="Arial" w:hAnsi="Arial"/>
          <w:sz w:val="21"/>
          <w:szCs w:val="21"/>
          <w:u w:val="single" w:color="auto"/>
          <w:color w:val="auto"/>
        </w:rPr>
        <w:t>Initial Term Loan</w:t>
      </w:r>
      <w:r>
        <w:rPr>
          <w:rFonts w:ascii="Arial" w:cs="Arial" w:eastAsia="Arial" w:hAnsi="Arial"/>
          <w:sz w:val="21"/>
          <w:szCs w:val="21"/>
          <w:color w:val="FF0000"/>
          <w:strike w:val="1"/>
        </w:rPr>
        <w:t>”</w:t>
      </w:r>
      <w:r>
        <w:rPr>
          <w:rFonts w:ascii="Arial" w:cs="Arial" w:eastAsia="Arial" w:hAnsi="Arial"/>
          <w:sz w:val="21"/>
          <w:szCs w:val="21"/>
          <w:u w:val="single" w:color="auto"/>
          <w:color w:val="0000FF"/>
        </w:rPr>
        <w:t>“</w:t>
      </w:r>
      <w:r>
        <w:rPr>
          <w:rFonts w:ascii="Arial" w:cs="Arial" w:eastAsia="Arial" w:hAnsi="Arial"/>
          <w:sz w:val="21"/>
          <w:szCs w:val="21"/>
          <w:color w:val="auto"/>
        </w:rPr>
        <w:t>) to the Borrower on the Closing Date in an amount equal to such Initial Term Loan Lender’s Initial Term Loan Commitment. All such Initial Term Loans in the aggregate shall not exceed the Total Initial Term Loan Commitment. Such Initial Term Loans may be repaid or prepaid in accordance with the terms and conditions hereof, but once repaid or prepaid may not be re-borrowed.</w:t>
      </w:r>
    </w:p>
    <w:p>
      <w:pPr>
        <w:spacing w:after="0" w:line="159" w:lineRule="exact"/>
        <w:rPr>
          <w:rFonts w:ascii="Arial" w:cs="Arial" w:eastAsia="Arial" w:hAnsi="Arial"/>
          <w:sz w:val="21"/>
          <w:szCs w:val="21"/>
          <w:color w:val="auto"/>
        </w:rPr>
      </w:pPr>
    </w:p>
    <w:p>
      <w:pPr>
        <w:jc w:val="both"/>
        <w:ind w:firstLine="1952"/>
        <w:spacing w:after="0" w:line="247" w:lineRule="auto"/>
        <w:tabs>
          <w:tab w:leader="none" w:pos="254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DDTLs</w:t>
      </w:r>
      <w:r>
        <w:rPr>
          <w:rFonts w:ascii="Arial" w:cs="Arial" w:eastAsia="Arial" w:hAnsi="Arial"/>
          <w:sz w:val="19"/>
          <w:szCs w:val="19"/>
          <w:color w:val="auto"/>
        </w:rPr>
        <w:t>. Subject to and upon the terms and conditions set forth herein and in reliance upon the representation and warranties of the Loan Parties contained herein, each DDTL Lender agrees, severally and not jointly, to make in Dollars a loan or loans (each, a “</w:t>
      </w:r>
      <w:r>
        <w:rPr>
          <w:rFonts w:ascii="Arial" w:cs="Arial" w:eastAsia="Arial" w:hAnsi="Arial"/>
          <w:sz w:val="19"/>
          <w:szCs w:val="19"/>
          <w:u w:val="single" w:color="auto"/>
          <w:color w:val="auto"/>
        </w:rPr>
        <w:t>DDTL</w:t>
      </w:r>
      <w:r>
        <w:rPr>
          <w:rFonts w:ascii="Arial" w:cs="Arial" w:eastAsia="Arial" w:hAnsi="Arial"/>
          <w:sz w:val="19"/>
          <w:szCs w:val="19"/>
          <w:color w:val="auto"/>
        </w:rPr>
        <w:t>”) from time to time after the Closing Date until the DDTL Commitment Expiration Date on not more than five (5) occasions, in an aggregate principal amount not to exceed its DDTL Commitment. All such DDTLs in the aggregate shall not exceed the Total DDTL Commitment. Such DDTLs may be repaid or prepaid in accordance with the terms and conditions hereof, but once repaid or prepaid may not be re-borrowed. The DDTLs and the Initial Term Loans shall be deemed to part of the same Class of Loans for all purposes under this Loan Agreement.</w:t>
      </w:r>
    </w:p>
    <w:p>
      <w:pPr>
        <w:spacing w:after="0" w:line="153" w:lineRule="exact"/>
        <w:rPr>
          <w:rFonts w:ascii="Arial" w:cs="Arial" w:eastAsia="Arial" w:hAnsi="Arial"/>
          <w:sz w:val="19"/>
          <w:szCs w:val="19"/>
          <w:color w:val="auto"/>
        </w:rPr>
      </w:pPr>
    </w:p>
    <w:p>
      <w:pPr>
        <w:jc w:val="both"/>
        <w:ind w:firstLine="1952"/>
        <w:spacing w:after="0" w:line="247" w:lineRule="auto"/>
        <w:tabs>
          <w:tab w:leader="none" w:pos="2489"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Each Lender may, at its option, make any Loan in its entirety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exercise of such option shall not affect the obligation of the Borrower to repay such Loan in accordance with the terms hereof and (ii) in exercising such option, such Lender shall use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any Lender request for costs for which compensation is provided under this Loan Agreement, the provisions of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w:t>
      </w:r>
    </w:p>
    <w:p>
      <w:pPr>
        <w:spacing w:after="0" w:line="153" w:lineRule="exact"/>
        <w:rPr>
          <w:rFonts w:ascii="Arial" w:cs="Arial" w:eastAsia="Arial" w:hAnsi="Arial"/>
          <w:sz w:val="19"/>
          <w:szCs w:val="19"/>
          <w:color w:val="auto"/>
        </w:rPr>
      </w:pPr>
    </w:p>
    <w:p>
      <w:pPr>
        <w:ind w:firstLine="1952"/>
        <w:spacing w:after="0" w:line="232" w:lineRule="auto"/>
        <w:tabs>
          <w:tab w:leader="none" w:pos="24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Loan shall be made as part of a Borrowing consisting of Loans of the same Class made by the applicable Lenders ratably in accordance with their respective Commitments of the applicable Class.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Disbursement of Funds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18" w:lineRule="auto"/>
        <w:tabs>
          <w:tab w:leader="none" w:pos="2555"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Borrowing shall be made upon the Borrower’s irrevocable written notice delivered to the Administrative Agent in the form of a Borrowing Notice, which notice must be received by the Administrative Agent prior to 9:00 a.m. (New York City time) on the day which is twelve (12) Business Days (or such shorter period, as the Administrative Agent may agree) prior to the requested Borrowing date.</w:t>
      </w:r>
    </w:p>
    <w:p>
      <w:pPr>
        <w:spacing w:after="0" w:line="160" w:lineRule="exact"/>
        <w:rPr>
          <w:rFonts w:ascii="Arial" w:cs="Arial" w:eastAsia="Arial" w:hAnsi="Arial"/>
          <w:sz w:val="22"/>
          <w:szCs w:val="22"/>
          <w:color w:val="auto"/>
        </w:rPr>
      </w:pPr>
    </w:p>
    <w:p>
      <w:pPr>
        <w:ind w:left="2420" w:hanging="468"/>
        <w:spacing w:after="0"/>
        <w:tabs>
          <w:tab w:leader="none" w:pos="2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Borrowing Notice shall specify:</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7" w:lineRule="exact"/>
        <w:rPr>
          <w:sz w:val="20"/>
          <w:szCs w:val="20"/>
          <w:color w:val="auto"/>
        </w:rPr>
      </w:pPr>
    </w:p>
    <w:p>
      <w:pPr>
        <w:ind w:left="3020" w:hanging="420"/>
        <w:spacing w:after="0"/>
        <w:tabs>
          <w:tab w:leader="none" w:pos="30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Class of such Borrowing;</w:t>
      </w:r>
    </w:p>
    <w:p>
      <w:pPr>
        <w:spacing w:after="0" w:line="179" w:lineRule="exact"/>
        <w:rPr>
          <w:rFonts w:ascii="Arial" w:cs="Arial" w:eastAsia="Arial" w:hAnsi="Arial"/>
          <w:sz w:val="22"/>
          <w:szCs w:val="22"/>
          <w:color w:val="auto"/>
        </w:rPr>
      </w:pPr>
    </w:p>
    <w:p>
      <w:pPr>
        <w:ind w:left="660" w:firstLine="1940"/>
        <w:spacing w:after="0" w:line="232" w:lineRule="auto"/>
        <w:tabs>
          <w:tab w:leader="none" w:pos="3201"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the amount of the Borrowing, which, in the case of a Borrowing of a DDTL, shall be in compliance with clause (h) of this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3140" w:hanging="540"/>
        <w:spacing w:after="0"/>
        <w:tabs>
          <w:tab w:leader="none" w:pos="314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requested Borrowing date, which shall be a Business Day;</w:t>
      </w:r>
    </w:p>
    <w:p>
      <w:pPr>
        <w:spacing w:after="0" w:line="179" w:lineRule="exact"/>
        <w:rPr>
          <w:rFonts w:ascii="Arial" w:cs="Arial" w:eastAsia="Arial" w:hAnsi="Arial"/>
          <w:sz w:val="22"/>
          <w:szCs w:val="22"/>
          <w:color w:val="auto"/>
        </w:rPr>
      </w:pPr>
    </w:p>
    <w:p>
      <w:pPr>
        <w:jc w:val="both"/>
        <w:ind w:left="660" w:firstLine="1940"/>
        <w:spacing w:after="0" w:line="223" w:lineRule="auto"/>
        <w:tabs>
          <w:tab w:leader="none" w:pos="3153"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number and location of the account (which, for any Borrowing that occurs on or after the DACA Compliance Date, shall be an account subject to an Account Control Agreement) to which funds are to be disbursed; and</w:t>
      </w:r>
    </w:p>
    <w:p>
      <w:pPr>
        <w:spacing w:after="0" w:line="158" w:lineRule="exact"/>
        <w:rPr>
          <w:rFonts w:ascii="Arial" w:cs="Arial" w:eastAsia="Arial" w:hAnsi="Arial"/>
          <w:sz w:val="22"/>
          <w:szCs w:val="22"/>
          <w:color w:val="auto"/>
        </w:rPr>
      </w:pPr>
    </w:p>
    <w:p>
      <w:pPr>
        <w:ind w:left="3060" w:hanging="460"/>
        <w:spacing w:after="0"/>
        <w:tabs>
          <w:tab w:leader="none" w:pos="30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Interest Period applicable to such Loans.</w:t>
      </w:r>
    </w:p>
    <w:p>
      <w:pPr>
        <w:spacing w:after="0" w:line="179" w:lineRule="exact"/>
        <w:rPr>
          <w:rFonts w:ascii="Arial" w:cs="Arial" w:eastAsia="Arial" w:hAnsi="Arial"/>
          <w:sz w:val="22"/>
          <w:szCs w:val="22"/>
          <w:color w:val="auto"/>
        </w:rPr>
      </w:pPr>
    </w:p>
    <w:p>
      <w:pPr>
        <w:jc w:val="both"/>
        <w:ind w:firstLine="1952"/>
        <w:spacing w:after="0" w:line="268" w:lineRule="auto"/>
        <w:tabs>
          <w:tab w:leader="none" w:pos="26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Upon receipt of such Borrowing Notice, the Administrative Agent shall promptly notify each applicable Lender of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Borrowing. Each applicable Lender will make available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applicable Loans to be made by it in the manner provided below by no later than 1:00 p.m. on the date of the Borrowing.</w:t>
      </w:r>
    </w:p>
    <w:p>
      <w:pPr>
        <w:spacing w:after="0" w:line="132" w:lineRule="exact"/>
        <w:rPr>
          <w:rFonts w:ascii="Arial" w:cs="Arial" w:eastAsia="Arial" w:hAnsi="Arial"/>
          <w:sz w:val="19"/>
          <w:szCs w:val="19"/>
          <w:color w:val="auto"/>
        </w:rPr>
      </w:pPr>
    </w:p>
    <w:p>
      <w:pPr>
        <w:jc w:val="both"/>
        <w:ind w:firstLine="1952"/>
        <w:spacing w:after="0" w:line="244" w:lineRule="auto"/>
        <w:tabs>
          <w:tab w:leader="none" w:pos="2494"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applicable Lender shall make available to the Administrative Agent in immediately available funds, in Dollars, all amounts such Lender is required to fund to the Borrower, and, following receipt of all requested funds in an account designated by the Administrative Agent, the Administrative Agent will make available to the Borrower in immediately available funds, in Dollars, the aggregate of the amounts so made available, by remitting such aggregate amount to the account (which, for any Borrowing that occurs on or after the DACA Compliance Date, must be subject to an Account Control Agreement) specified in the applicable Borrowing Notice. The failure of any Lender to make available the amounts it is required to fund hereunder or to make a payment required to be made by it under any Loan Document shall not relieve any other Lender of its obligations under any Loan Document, but no Lender shall be responsible for the failure of any other Lender to make any payment required to be made by such other Lender under any Loan Document.</w:t>
      </w:r>
    </w:p>
    <w:p>
      <w:pPr>
        <w:spacing w:after="0" w:line="160" w:lineRule="exact"/>
        <w:rPr>
          <w:rFonts w:ascii="Arial" w:cs="Arial" w:eastAsia="Arial" w:hAnsi="Arial"/>
          <w:sz w:val="19"/>
          <w:szCs w:val="19"/>
          <w:color w:val="auto"/>
        </w:rPr>
      </w:pPr>
    </w:p>
    <w:p>
      <w:pPr>
        <w:jc w:val="both"/>
        <w:ind w:firstLine="1952"/>
        <w:spacing w:after="0" w:line="218" w:lineRule="auto"/>
        <w:tabs>
          <w:tab w:leader="none" w:pos="2471"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60" w:lineRule="exact"/>
        <w:rPr>
          <w:rFonts w:ascii="Arial" w:cs="Arial" w:eastAsia="Arial" w:hAnsi="Arial"/>
          <w:sz w:val="22"/>
          <w:szCs w:val="22"/>
          <w:color w:val="auto"/>
        </w:rPr>
      </w:pPr>
    </w:p>
    <w:p>
      <w:pPr>
        <w:jc w:val="both"/>
        <w:ind w:firstLine="1952"/>
        <w:spacing w:after="0" w:line="223" w:lineRule="auto"/>
        <w:tabs>
          <w:tab w:leader="none" w:pos="24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Borrowings of more than one Class may be outstanding at the same time; </w:t>
      </w:r>
      <w:r>
        <w:rPr>
          <w:rFonts w:ascii="Arial" w:cs="Arial" w:eastAsia="Arial" w:hAnsi="Arial"/>
          <w:sz w:val="22"/>
          <w:szCs w:val="22"/>
          <w:u w:val="single" w:color="auto"/>
          <w:color w:val="auto"/>
        </w:rPr>
        <w:t>provided</w:t>
      </w:r>
      <w:r>
        <w:rPr>
          <w:rFonts w:ascii="Arial" w:cs="Arial" w:eastAsia="Arial" w:hAnsi="Arial"/>
          <w:sz w:val="22"/>
          <w:szCs w:val="22"/>
          <w:color w:val="auto"/>
        </w:rPr>
        <w:t>, that there shall not at any time be more than a total of four (4) different Interest Periods in effect at any time (or such greater number of different Interest Periods as the Administrative Agent may agree from time to time).</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456"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Notwithstanding any other provision of this Loan Agreement, the Borrower shall not, nor shall it be entitled to, request (x) any Borrowing if the initial Interest Period applicable thereto would end after the Maturity Date applicable to such Loans, (y) more than five (5) Borrowings of DDTLs during the life of this Loan Agreement and (z) a Borrowing of DDTLs on or after the DDTL Commitment Expiration Date.</w:t>
      </w:r>
    </w:p>
    <w:p>
      <w:pPr>
        <w:spacing w:after="0" w:line="160" w:lineRule="exact"/>
        <w:rPr>
          <w:rFonts w:ascii="Arial" w:cs="Arial" w:eastAsia="Arial" w:hAnsi="Arial"/>
          <w:sz w:val="22"/>
          <w:szCs w:val="22"/>
          <w:color w:val="auto"/>
        </w:rPr>
      </w:pPr>
    </w:p>
    <w:p>
      <w:pPr>
        <w:ind w:left="2460" w:hanging="508"/>
        <w:spacing w:after="0"/>
        <w:tabs>
          <w:tab w:leader="none" w:pos="24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Borrowing in respect of DDTL Commitments shall comprise an aggregate principal amount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 less than $5,000,000.</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Repayment of Loans</w:t>
      </w:r>
      <w:r>
        <w:rPr>
          <w:rFonts w:ascii="Arial" w:cs="Arial" w:eastAsia="Arial" w:hAnsi="Arial"/>
          <w:sz w:val="19"/>
          <w:szCs w:val="19"/>
          <w:u w:val="single" w:color="auto"/>
          <w:color w:val="0000FF"/>
        </w:rPr>
        <w:t>.</w:t>
      </w:r>
    </w:p>
    <w:p>
      <w:pPr>
        <w:sectPr>
          <w:pgSz w:w="11900" w:h="16838" w:orient="portrait"/>
          <w:cols w:equalWidth="0" w:num="1">
            <w:col w:w="11240"/>
          </w:cols>
          <w:pgMar w:left="320" w:top="1440"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2400" w:hanging="448"/>
        <w:spacing w:after="0"/>
        <w:tabs>
          <w:tab w:leader="none" w:pos="24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952"/>
        <w:spacing w:after="0" w:line="222" w:lineRule="auto"/>
        <w:tabs>
          <w:tab w:leader="none" w:pos="2446"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(i), for the benefit of the Initial Lenders, on the Initial Loans Maturity Date, the principal amount of the Initial Loans then outstanding, together with all accrued interest thereon, any applicable Prepayment Premium and all fees, expenses payable under the terms of the Loan Documents and other Obligations accrued in respect thereof, and (ii) for the benefit of the applicable Additional Incremental Term Loan Lenders, on the applicable Additional Incremental Term Loan Maturity Date, the principal amount of the applicable Additional Incremental Term Loans, together with all accrued interest thereon, and all fees, expenses payable under the terms of the Loan Documents and other Obligations accrued in respect thereof.</w:t>
      </w:r>
    </w:p>
    <w:p>
      <w:pPr>
        <w:spacing w:after="0" w:line="164" w:lineRule="exact"/>
        <w:rPr>
          <w:rFonts w:ascii="Arial" w:cs="Arial" w:eastAsia="Arial" w:hAnsi="Arial"/>
          <w:sz w:val="21"/>
          <w:szCs w:val="21"/>
          <w:color w:val="auto"/>
        </w:rPr>
      </w:pPr>
    </w:p>
    <w:p>
      <w:pPr>
        <w:jc w:val="both"/>
        <w:ind w:firstLine="1952"/>
        <w:spacing w:after="0" w:line="218" w:lineRule="auto"/>
        <w:tabs>
          <w:tab w:leader="none" w:pos="2454"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Loan Agreement.</w:t>
      </w:r>
    </w:p>
    <w:p>
      <w:pPr>
        <w:spacing w:after="0" w:line="160" w:lineRule="exact"/>
        <w:rPr>
          <w:rFonts w:ascii="Arial" w:cs="Arial" w:eastAsia="Arial" w:hAnsi="Arial"/>
          <w:sz w:val="22"/>
          <w:szCs w:val="22"/>
          <w:color w:val="auto"/>
        </w:rPr>
      </w:pPr>
    </w:p>
    <w:p>
      <w:pPr>
        <w:ind w:left="2420" w:hanging="468"/>
        <w:spacing w:after="0"/>
        <w:tabs>
          <w:tab w:leader="none" w:pos="24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400" w:hanging="448"/>
        <w:spacing w:after="0"/>
        <w:tabs>
          <w:tab w:leader="none" w:pos="24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952"/>
        <w:spacing w:after="0" w:line="221" w:lineRule="auto"/>
        <w:tabs>
          <w:tab w:leader="none" w:pos="2422"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Borrower hereby irrevocably authorizes each Lender to make (or cause to be made) appropriate notations on the grid attached to such Lender’s Note(s) (or on any continuation of such grid), which notations, if made, shall be delivered to or otherwise available to the Borrower and shall be prima facie evidence (absent manifest error) of, among other things, the date of, the outstanding principal amount of, and the interest rate and Interest Period applicable to, the Loans evidenced thereby. Such notations shall, to the extent not inconsistent with notations made by Administrative Agent in the Register, be conclusive and binding on each Loan Party absent manifest error;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any Lender to make any such notations shall not limit or otherwise affect any Obligations of any Loan Party. The Administrative Agent shall maintain the Register pursuant to </w:t>
      </w:r>
      <w:r>
        <w:rPr>
          <w:rFonts w:ascii="Arial" w:cs="Arial" w:eastAsia="Arial" w:hAnsi="Arial"/>
          <w:sz w:val="21"/>
          <w:szCs w:val="21"/>
          <w:u w:val="single" w:color="auto"/>
          <w:color w:val="auto"/>
        </w:rPr>
        <w:t>Section 12.06(b)(iv)</w:t>
      </w:r>
      <w:r>
        <w:rPr>
          <w:rFonts w:ascii="Arial" w:cs="Arial" w:eastAsia="Arial" w:hAnsi="Arial"/>
          <w:sz w:val="21"/>
          <w:szCs w:val="21"/>
          <w:color w:val="auto"/>
        </w:rPr>
        <w:t>.</w:t>
      </w:r>
    </w:p>
    <w:p>
      <w:pPr>
        <w:spacing w:after="0" w:line="165" w:lineRule="exact"/>
        <w:rPr>
          <w:rFonts w:ascii="Arial" w:cs="Arial" w:eastAsia="Arial" w:hAnsi="Arial"/>
          <w:sz w:val="21"/>
          <w:szCs w:val="21"/>
          <w:color w:val="auto"/>
        </w:rPr>
      </w:pPr>
    </w:p>
    <w:p>
      <w:pPr>
        <w:jc w:val="both"/>
        <w:ind w:firstLine="1952"/>
        <w:spacing w:after="0" w:line="222" w:lineRule="auto"/>
        <w:tabs>
          <w:tab w:leader="none" w:pos="2424"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entries made in the Register and accounts maintained pursuant to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(f)</w:t>
      </w:r>
      <w:r>
        <w:rPr>
          <w:rFonts w:ascii="Arial" w:cs="Arial" w:eastAsia="Arial" w:hAnsi="Arial"/>
          <w:sz w:val="21"/>
          <w:szCs w:val="21"/>
          <w:color w:val="auto"/>
        </w:rPr>
        <w:t xml:space="preserve"> shall, to the extent permitted by Applicable Law, be prima facie evidence (absent manifest error) of the existence and amounts of the obligations of the Borrower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any Lender or Administrative Agent to maintain such account or such Register, as applicable, or any error therein, shall not in any manner affect the obligation of the Borrower to repay (with applicable interest) the Loans made to the Borrower by such Lender in accordance with the terms of this Loan Agreement. For avoidance of doubt, in the event of any inconsistency between the Register and any Lender’s records under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(f)</w:t>
      </w:r>
      <w:r>
        <w:rPr>
          <w:rFonts w:ascii="Arial" w:cs="Arial" w:eastAsia="Arial" w:hAnsi="Arial"/>
          <w:sz w:val="21"/>
          <w:szCs w:val="21"/>
          <w:color w:val="auto"/>
        </w:rPr>
        <w:t>, the recordations in the Register shall govern.</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u w:val="single" w:color="auto"/>
          <w:color w:val="auto"/>
        </w:rPr>
        <w:t xml:space="preserve">Pro Rata </w:t>
      </w:r>
      <w:r>
        <w:rPr>
          <w:rFonts w:ascii="Arial" w:cs="Arial" w:eastAsia="Arial" w:hAnsi="Arial"/>
          <w:sz w:val="19"/>
          <w:szCs w:val="19"/>
          <w:u w:val="single" w:color="auto"/>
          <w:color w:val="auto"/>
        </w:rPr>
        <w:t>Borrowings</w:t>
      </w:r>
    </w:p>
    <w:p>
      <w:pPr>
        <w:spacing w:after="0" w:line="179" w:lineRule="exact"/>
        <w:rPr>
          <w:sz w:val="20"/>
          <w:szCs w:val="20"/>
          <w:color w:val="auto"/>
        </w:rPr>
      </w:pPr>
    </w:p>
    <w:p>
      <w:pPr>
        <w:jc w:val="both"/>
        <w:ind w:firstLine="656"/>
        <w:spacing w:after="0" w:line="214" w:lineRule="auto"/>
        <w:tabs>
          <w:tab w:leader="none" w:pos="75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The Initial Term Loans under this Loan Agreement shall be made by the Initial Term Loan Lenders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their Initial Term Loan Commitments. Any DDTL under this Loan Agreement shall be made by the DDTL Lenders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their DDTL Commitments. Any Incremental Term Loans under this Loan Agreement shall be made by the applicable Incremental Term Loan Lenders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their applicable Incremental Term Loan Commitments. No Lender shall be responsible for any default by any other Lender in its obligation to make Loans hereunder, and each Lender shall be obligated to make the Loans,</w:t>
      </w:r>
    </w:p>
    <w:p>
      <w:pPr>
        <w:sectPr>
          <w:pgSz w:w="11900" w:h="16838" w:orient="portrait"/>
          <w:cols w:equalWidth="0" w:num="1">
            <w:col w:w="11240"/>
          </w:cols>
          <w:pgMar w:left="320" w:top="1401" w:right="339" w:bottom="1440" w:gutter="0" w:footer="0" w:header="0"/>
        </w:sectPr>
      </w:pPr>
    </w:p>
    <w:bookmarkStart w:id="106" w:name="page107"/>
    <w:bookmarkEnd w:id="106"/>
    <w:p>
      <w:pPr>
        <w:spacing w:after="0" w:line="232" w:lineRule="auto"/>
        <w:rPr>
          <w:sz w:val="20"/>
          <w:szCs w:val="20"/>
          <w:color w:val="auto"/>
        </w:rPr>
      </w:pPr>
      <w:r>
        <w:rPr>
          <w:rFonts w:ascii="Arial" w:cs="Arial" w:eastAsia="Arial" w:hAnsi="Arial"/>
          <w:sz w:val="22"/>
          <w:szCs w:val="22"/>
          <w:color w:val="auto"/>
        </w:rPr>
        <w:t>as applicable, provided to be made by it hereunder regardless of the failure of any other Lender to fulfill its commitments hereunder.</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2400" w:hanging="448"/>
        <w:spacing w:after="0"/>
        <w:tabs>
          <w:tab w:leader="none" w:pos="24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2.05(c)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2.05(f)</w:t>
      </w:r>
      <w:r>
        <w:rPr>
          <w:rFonts w:ascii="Arial" w:cs="Arial" w:eastAsia="Arial" w:hAnsi="Arial"/>
          <w:sz w:val="22"/>
          <w:szCs w:val="22"/>
          <w:color w:val="auto"/>
        </w:rPr>
        <w:t xml:space="preserve">, </w:t>
      </w:r>
      <w:r>
        <w:rPr>
          <w:rFonts w:ascii="Arial" w:cs="Arial" w:eastAsia="Arial" w:hAnsi="Arial"/>
          <w:sz w:val="22"/>
          <w:szCs w:val="22"/>
          <w:color w:val="FF0000"/>
          <w:strike w:val="1"/>
        </w:rPr>
        <w:t>interest</w:t>
      </w:r>
    </w:p>
    <w:p>
      <w:pPr>
        <w:spacing w:after="0" w:line="179" w:lineRule="exact"/>
        <w:rPr>
          <w:rFonts w:ascii="Arial" w:cs="Arial" w:eastAsia="Arial" w:hAnsi="Arial"/>
          <w:sz w:val="22"/>
          <w:szCs w:val="22"/>
          <w:color w:val="auto"/>
        </w:rPr>
      </w:pPr>
    </w:p>
    <w:p>
      <w:pPr>
        <w:jc w:val="both"/>
        <w:ind w:left="660" w:firstLine="1940"/>
        <w:spacing w:after="0" w:line="218" w:lineRule="auto"/>
        <w:tabs>
          <w:tab w:leader="none" w:pos="3167" w:val="left"/>
        </w:tabs>
        <w:numPr>
          <w:ilvl w:val="1"/>
          <w:numId w:val="7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each SOFR Loan</w:t>
      </w:r>
      <w:r>
        <w:rPr>
          <w:rFonts w:ascii="Arial" w:cs="Arial" w:eastAsia="Arial" w:hAnsi="Arial"/>
          <w:sz w:val="22"/>
          <w:szCs w:val="22"/>
          <w:color w:val="0000FF"/>
        </w:rPr>
        <w:t xml:space="preserve"> </w:t>
      </w:r>
      <w:r>
        <w:rPr>
          <w:rFonts w:ascii="Arial" w:cs="Arial" w:eastAsia="Arial" w:hAnsi="Arial"/>
          <w:sz w:val="22"/>
          <w:szCs w:val="22"/>
          <w:color w:val="000000"/>
        </w:rPr>
        <w:t>shall accrue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interest</w:t>
      </w:r>
      <w:r>
        <w:rPr>
          <w:rFonts w:ascii="Arial" w:cs="Arial" w:eastAsia="Arial" w:hAnsi="Arial"/>
          <w:sz w:val="22"/>
          <w:szCs w:val="22"/>
          <w:color w:val="0000FF"/>
        </w:rPr>
        <w:t xml:space="preserve"> </w:t>
      </w:r>
      <w:r>
        <w:rPr>
          <w:rFonts w:ascii="Arial" w:cs="Arial" w:eastAsia="Arial" w:hAnsi="Arial"/>
          <w:sz w:val="22"/>
          <w:szCs w:val="22"/>
          <w:color w:val="000000"/>
        </w:rPr>
        <w:t>during any Interest Period on the unpaid principal</w:t>
      </w:r>
      <w:r>
        <w:rPr>
          <w:rFonts w:ascii="Arial" w:cs="Arial" w:eastAsia="Arial" w:hAnsi="Arial"/>
          <w:sz w:val="22"/>
          <w:szCs w:val="22"/>
          <w:color w:val="0000FF"/>
        </w:rPr>
        <w:t xml:space="preserve"> </w:t>
      </w:r>
      <w:r>
        <w:rPr>
          <w:rFonts w:ascii="Arial" w:cs="Arial" w:eastAsia="Arial" w:hAnsi="Arial"/>
          <w:sz w:val="22"/>
          <w:szCs w:val="22"/>
          <w:color w:val="000000"/>
        </w:rPr>
        <w:t xml:space="preserve">amount of each </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Loan from the date of the making thereof to but excluding the date of any repayment thereof, at a rate per annum equal to </w:t>
      </w:r>
      <w:r>
        <w:rPr>
          <w:rFonts w:ascii="Arial" w:cs="Arial" w:eastAsia="Arial" w:hAnsi="Arial"/>
          <w:sz w:val="22"/>
          <w:szCs w:val="22"/>
          <w:color w:val="FF0000"/>
          <w:strike w:val="1"/>
        </w:rPr>
        <w:t>the LIBOR Rate</w:t>
      </w:r>
      <w:r>
        <w:rPr>
          <w:rFonts w:ascii="Arial" w:cs="Arial" w:eastAsia="Arial" w:hAnsi="Arial"/>
          <w:sz w:val="22"/>
          <w:szCs w:val="22"/>
          <w:u w:val="single" w:color="auto"/>
          <w:color w:val="0000FF"/>
        </w:rPr>
        <w:t>Adjusted Term SOFR</w:t>
      </w:r>
      <w:r>
        <w:rPr>
          <w:rFonts w:ascii="Arial" w:cs="Arial" w:eastAsia="Arial" w:hAnsi="Arial"/>
          <w:sz w:val="22"/>
          <w:szCs w:val="22"/>
          <w:color w:val="000000"/>
        </w:rPr>
        <w:t xml:space="preserve"> for the applicable Interest Period in effect hereunder from time to time plus the Applicable Margin</w:t>
      </w:r>
      <w:r>
        <w:rPr>
          <w:rFonts w:ascii="Arial" w:cs="Arial" w:eastAsia="Arial" w:hAnsi="Arial"/>
          <w:sz w:val="22"/>
          <w:szCs w:val="22"/>
          <w:color w:val="FF0000"/>
          <w:strike w:val="1"/>
        </w:rPr>
        <w:t>.</w:t>
      </w:r>
      <w:r>
        <w:rPr>
          <w:rFonts w:ascii="Arial" w:cs="Arial" w:eastAsia="Arial" w:hAnsi="Arial"/>
          <w:sz w:val="22"/>
          <w:szCs w:val="22"/>
          <w:u w:val="single" w:color="auto"/>
          <w:color w:val="0000FF"/>
        </w:rPr>
        <w:t>; and</w:t>
      </w:r>
    </w:p>
    <w:p>
      <w:pPr>
        <w:spacing w:after="0" w:line="160" w:lineRule="exact"/>
        <w:rPr>
          <w:rFonts w:ascii="Arial" w:cs="Arial" w:eastAsia="Arial" w:hAnsi="Arial"/>
          <w:sz w:val="22"/>
          <w:szCs w:val="22"/>
          <w:u w:val="single" w:color="auto"/>
          <w:color w:val="0000FF"/>
        </w:rPr>
      </w:pPr>
    </w:p>
    <w:p>
      <w:pPr>
        <w:jc w:val="both"/>
        <w:ind w:left="660" w:firstLine="1940"/>
        <w:spacing w:after="0" w:line="216" w:lineRule="auto"/>
        <w:tabs>
          <w:tab w:leader="none" w:pos="3190" w:val="left"/>
        </w:tabs>
        <w:numPr>
          <w:ilvl w:val="1"/>
          <w:numId w:val="7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 xml:space="preserve">to the extent applicable pursuant to Section 2.11 or Section 2.12 (it being understood and agreed that the Borrower may not affirmatively elect for any Loan to be a Prime Rate Loan), each Prime Rate Loan shall accrue interest during any Interest Period on the unpaid principal amount of each Prime Rate Loan from the date of the making thereof to but excluding the date of any repayment thereof, </w:t>
      </w:r>
      <w:r>
        <w:rPr>
          <w:rFonts w:ascii="Arial" w:cs="Arial" w:eastAsia="Arial" w:hAnsi="Arial"/>
          <w:sz w:val="22"/>
          <w:szCs w:val="22"/>
          <w:u w:val="single" w:color="auto"/>
          <w:color w:val="008000"/>
        </w:rPr>
        <w:t>at a rate per annum equal to Prime Rate plus the</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Applicable Margin</w:t>
      </w:r>
      <w:r>
        <w:rPr>
          <w:rFonts w:ascii="Arial" w:cs="Arial" w:eastAsia="Arial" w:hAnsi="Arial"/>
          <w:sz w:val="22"/>
          <w:szCs w:val="22"/>
          <w:u w:val="single" w:color="auto"/>
          <w:color w:val="0000FF"/>
        </w:rPr>
        <w:t>.</w:t>
      </w:r>
    </w:p>
    <w:p>
      <w:pPr>
        <w:spacing w:after="0" w:line="157" w:lineRule="exact"/>
        <w:rPr>
          <w:rFonts w:ascii="Arial" w:cs="Arial" w:eastAsia="Arial" w:hAnsi="Arial"/>
          <w:sz w:val="22"/>
          <w:szCs w:val="22"/>
          <w:u w:val="single" w:color="auto"/>
          <w:color w:val="0000FF"/>
        </w:rPr>
      </w:pPr>
    </w:p>
    <w:p>
      <w:pPr>
        <w:jc w:val="both"/>
        <w:ind w:firstLine="1952"/>
        <w:spacing w:after="0" w:line="216" w:lineRule="auto"/>
        <w:tabs>
          <w:tab w:leader="none" w:pos="2449"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Except as otherwise explicitly provided in this Loan Agreement, interest accrued on each Loan shall be payable in cash in arrears on the Interest Payment Dates applicable to such Loan. The applicable </w:t>
      </w:r>
      <w:r>
        <w:rPr>
          <w:rFonts w:ascii="Arial" w:cs="Arial" w:eastAsia="Arial" w:hAnsi="Arial"/>
          <w:sz w:val="22"/>
          <w:szCs w:val="22"/>
          <w:color w:val="FF0000"/>
          <w:strike w:val="1"/>
        </w:rPr>
        <w:t>LIBOR Rate</w:t>
      </w:r>
      <w:r>
        <w:rPr>
          <w:rFonts w:ascii="Arial" w:cs="Arial" w:eastAsia="Arial" w:hAnsi="Arial"/>
          <w:sz w:val="22"/>
          <w:szCs w:val="22"/>
          <w:u w:val="single" w:color="auto"/>
          <w:color w:val="0000FF"/>
        </w:rPr>
        <w:t>Adjusted Term</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0000FF"/>
        </w:rPr>
        <w:t xml:space="preserve"> </w:t>
      </w:r>
      <w:r>
        <w:rPr>
          <w:rFonts w:ascii="Arial" w:cs="Arial" w:eastAsia="Arial" w:hAnsi="Arial"/>
          <w:sz w:val="22"/>
          <w:szCs w:val="22"/>
          <w:color w:val="000000"/>
        </w:rPr>
        <w:t>for each Interest Period or day within an Interest Period, as the case may be,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and the applicable Prime Rate for each day, in</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each case,</w:t>
      </w:r>
      <w:r>
        <w:rPr>
          <w:rFonts w:ascii="Arial" w:cs="Arial" w:eastAsia="Arial" w:hAnsi="Arial"/>
          <w:sz w:val="22"/>
          <w:szCs w:val="22"/>
          <w:color w:val="0000FF"/>
        </w:rPr>
        <w:t xml:space="preserve"> </w:t>
      </w:r>
      <w:r>
        <w:rPr>
          <w:rFonts w:ascii="Arial" w:cs="Arial" w:eastAsia="Arial" w:hAnsi="Arial"/>
          <w:sz w:val="22"/>
          <w:szCs w:val="22"/>
          <w:color w:val="000000"/>
        </w:rPr>
        <w:t>shall be determined by the Administrative Agent (acting reasonably), and such determination shall be conclusive</w:t>
      </w:r>
      <w:r>
        <w:rPr>
          <w:rFonts w:ascii="Arial" w:cs="Arial" w:eastAsia="Arial" w:hAnsi="Arial"/>
          <w:sz w:val="22"/>
          <w:szCs w:val="22"/>
          <w:color w:val="0000FF"/>
        </w:rPr>
        <w:t xml:space="preserve"> </w:t>
      </w:r>
      <w:r>
        <w:rPr>
          <w:rFonts w:ascii="Arial" w:cs="Arial" w:eastAsia="Arial" w:hAnsi="Arial"/>
          <w:sz w:val="22"/>
          <w:szCs w:val="22"/>
          <w:color w:val="000000"/>
        </w:rPr>
        <w:t>absent manifest error.</w:t>
      </w:r>
    </w:p>
    <w:p>
      <w:pPr>
        <w:spacing w:after="0" w:line="157" w:lineRule="exact"/>
        <w:rPr>
          <w:rFonts w:ascii="Arial" w:cs="Arial" w:eastAsia="Arial" w:hAnsi="Arial"/>
          <w:sz w:val="22"/>
          <w:szCs w:val="22"/>
          <w:color w:val="auto"/>
        </w:rPr>
      </w:pPr>
    </w:p>
    <w:p>
      <w:pPr>
        <w:jc w:val="both"/>
        <w:ind w:firstLine="1952"/>
        <w:spacing w:after="0" w:line="221" w:lineRule="auto"/>
        <w:tabs>
          <w:tab w:leader="none" w:pos="2404"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From and after the occurrence and during the continuance of any Event of Default, the Borrower shall pay interest on the principal amount of all outstanding Loans and all other unpaid Obligations, to the extent permitted by Applicable Law, at the rate applicable to such Loans pursuant to </w:t>
      </w:r>
      <w:r>
        <w:rPr>
          <w:rFonts w:ascii="Arial" w:cs="Arial" w:eastAsia="Arial" w:hAnsi="Arial"/>
          <w:sz w:val="21"/>
          <w:szCs w:val="21"/>
          <w:u w:val="single" w:color="auto"/>
          <w:color w:val="auto"/>
        </w:rPr>
        <w:t>Section 2.05(a)</w:t>
      </w:r>
      <w:r>
        <w:rPr>
          <w:rFonts w:ascii="Arial" w:cs="Arial" w:eastAsia="Arial" w:hAnsi="Arial"/>
          <w:sz w:val="21"/>
          <w:szCs w:val="21"/>
          <w:color w:val="auto"/>
        </w:rPr>
        <w:t xml:space="preserve"> plus three percent (3.0%) per annum (and, in the case of Obligations other than Loans, at a rate of interest equal to the Prime Rate plus the Applicable Margin plus three percent (3.0%) per annum). All such additional interest shall be payable in cash on demand, and such increase shall apply (x) in the case of an Event of Default under </w:t>
      </w:r>
      <w:r>
        <w:rPr>
          <w:rFonts w:ascii="Arial" w:cs="Arial" w:eastAsia="Arial" w:hAnsi="Arial"/>
          <w:sz w:val="21"/>
          <w:szCs w:val="21"/>
          <w:u w:val="single" w:color="auto"/>
          <w:color w:val="auto"/>
        </w:rPr>
        <w:t>Section 10.01(k)</w:t>
      </w:r>
      <w:r>
        <w:rPr>
          <w:rFonts w:ascii="Arial" w:cs="Arial" w:eastAsia="Arial" w:hAnsi="Arial"/>
          <w:sz w:val="21"/>
          <w:szCs w:val="21"/>
          <w:color w:val="auto"/>
        </w:rPr>
        <w:t>, automatically upon the date of occurrence of such Event of Default, and (y) in the case of any other Event of Default, upon the written election of the Required Lenders, retroactively from the first date of occurrence of such Event of Default.</w:t>
      </w:r>
    </w:p>
    <w:p>
      <w:pPr>
        <w:spacing w:after="0" w:line="165" w:lineRule="exact"/>
        <w:rPr>
          <w:rFonts w:ascii="Arial" w:cs="Arial" w:eastAsia="Arial" w:hAnsi="Arial"/>
          <w:sz w:val="21"/>
          <w:szCs w:val="21"/>
          <w:color w:val="auto"/>
        </w:rPr>
      </w:pPr>
    </w:p>
    <w:p>
      <w:pPr>
        <w:ind w:left="2420" w:hanging="468"/>
        <w:spacing w:after="0"/>
        <w:tabs>
          <w:tab w:leader="none" w:pos="24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All computations of interest hereunder shall be made in accordance with </w:t>
      </w:r>
      <w:r>
        <w:rPr>
          <w:rFonts w:ascii="Arial" w:cs="Arial" w:eastAsia="Arial" w:hAnsi="Arial"/>
          <w:sz w:val="22"/>
          <w:szCs w:val="22"/>
          <w:u w:val="single" w:color="auto"/>
          <w:color w:val="auto"/>
        </w:rPr>
        <w:t>Section 4.06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400" w:hanging="448"/>
        <w:spacing w:after="0"/>
        <w:tabs>
          <w:tab w:leader="none" w:pos="24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952"/>
        <w:spacing w:after="0" w:line="247" w:lineRule="auto"/>
        <w:tabs>
          <w:tab w:leader="none" w:pos="2392"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In no event shall the interest rate or rates payable under this Loan Agreement,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other amounts paid in connection herewith, exceed the highest rate permissible under any law that a court of competent jurisdiction shall, in a final determination, deem applicable. Each of the Loan Parties, the Administrative Agent and the Lenders, in executing and delivering this Loan Agreement, intend legally to agree upon the rate or rates of interest and manner of payment stated within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anything contained herein to the contrary notwithstanding, if said rate or rates of interest or manner of payment exceeds the maximum allowable under applicable law, then, </w:t>
      </w:r>
      <w:r>
        <w:rPr>
          <w:rFonts w:ascii="Arial" w:cs="Arial" w:eastAsia="Arial" w:hAnsi="Arial"/>
          <w:sz w:val="19"/>
          <w:szCs w:val="19"/>
          <w:i w:val="1"/>
          <w:iCs w:val="1"/>
          <w:color w:val="auto"/>
        </w:rPr>
        <w:t>ipso facto</w:t>
      </w:r>
      <w:r>
        <w:rPr>
          <w:rFonts w:ascii="Arial" w:cs="Arial" w:eastAsia="Arial" w:hAnsi="Arial"/>
          <w:sz w:val="19"/>
          <w:szCs w:val="19"/>
          <w:color w:val="auto"/>
        </w:rPr>
        <w:t>, as of the date of this Loan Agreement, the Borrower is and shall be liable only for the payment of such maximum as</w:t>
      </w:r>
    </w:p>
    <w:p>
      <w:pPr>
        <w:sectPr>
          <w:pgSz w:w="11900" w:h="16838" w:orient="portrait"/>
          <w:cols w:equalWidth="0" w:num="1">
            <w:col w:w="11240"/>
          </w:cols>
          <w:pgMar w:left="320" w:top="1401" w:right="339" w:bottom="1440" w:gutter="0" w:footer="0" w:header="0"/>
        </w:sectPr>
      </w:pPr>
    </w:p>
    <w:bookmarkStart w:id="107" w:name="page108"/>
    <w:bookmarkEnd w:id="107"/>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allowed by applicable law, and payment received from the Borrower in excess of such legal maximum, whenever received, shall be applied to reduce the principal balance of the Loans and Obligations to the extent of such excess.</w:t>
      </w:r>
    </w:p>
    <w:p>
      <w:pPr>
        <w:spacing w:after="0" w:line="151" w:lineRule="exact"/>
        <w:rPr>
          <w:sz w:val="20"/>
          <w:szCs w:val="20"/>
          <w:color w:val="auto"/>
        </w:rPr>
      </w:pPr>
    </w:p>
    <w:p>
      <w:pPr>
        <w:jc w:val="both"/>
        <w:ind w:firstLine="1952"/>
        <w:spacing w:after="0" w:line="214" w:lineRule="auto"/>
        <w:tabs>
          <w:tab w:leader="none" w:pos="2459" w:val="left"/>
        </w:tabs>
        <w:numPr>
          <w:ilvl w:val="0"/>
          <w:numId w:val="7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Loan Agreement or any other Loan Document. The Administrative Agent will promptly notify the Borrower and the Lenders of the effectiveness of any Conforming Changes in connection with the use or administration of Term SOFR.</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Increased Costs</w:t>
      </w:r>
      <w:r>
        <w:rPr>
          <w:rFonts w:ascii="Arial" w:cs="Arial" w:eastAsia="Arial" w:hAnsi="Arial"/>
          <w:sz w:val="19"/>
          <w:szCs w:val="19"/>
          <w:u w:val="single" w:color="auto"/>
          <w:color w:val="FF0000"/>
          <w:strike w:val="1"/>
        </w:rPr>
        <w:t>, Illegality, etc</w:t>
      </w:r>
      <w:r>
        <w:rPr>
          <w:rFonts w:ascii="Arial" w:cs="Arial" w:eastAsia="Arial" w:hAnsi="Arial"/>
          <w:sz w:val="19"/>
          <w:szCs w:val="19"/>
          <w:u w:val="single" w:color="auto"/>
          <w:color w:val="0000FF"/>
        </w:rPr>
        <w:t>.</w:t>
      </w:r>
    </w:p>
    <w:p>
      <w:pPr>
        <w:spacing w:after="0" w:line="179" w:lineRule="exact"/>
        <w:rPr>
          <w:sz w:val="20"/>
          <w:szCs w:val="20"/>
          <w:color w:val="auto"/>
        </w:rPr>
      </w:pPr>
    </w:p>
    <w:p>
      <w:pPr>
        <w:ind w:left="2400" w:hanging="448"/>
        <w:spacing w:after="0"/>
        <w:tabs>
          <w:tab w:leader="none" w:pos="2400" w:val="left"/>
        </w:tabs>
        <w:numPr>
          <w:ilvl w:val="0"/>
          <w:numId w:val="77"/>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Increased Costs Generally. If any Change in Law shall:</w:t>
      </w:r>
    </w:p>
    <w:p>
      <w:pPr>
        <w:spacing w:after="0" w:line="179" w:lineRule="exact"/>
        <w:rPr>
          <w:rFonts w:ascii="Arial" w:cs="Arial" w:eastAsia="Arial" w:hAnsi="Arial"/>
          <w:sz w:val="22"/>
          <w:szCs w:val="22"/>
          <w:u w:val="single" w:color="auto"/>
          <w:color w:val="0000FF"/>
        </w:rPr>
      </w:pPr>
    </w:p>
    <w:p>
      <w:pPr>
        <w:jc w:val="both"/>
        <w:ind w:left="660" w:firstLine="1940"/>
        <w:spacing w:after="0" w:line="252" w:lineRule="auto"/>
        <w:tabs>
          <w:tab w:leader="none" w:pos="3044" w:val="left"/>
        </w:tabs>
        <w:numPr>
          <w:ilvl w:val="1"/>
          <w:numId w:val="7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23" w:lineRule="auto"/>
        <w:tabs>
          <w:tab w:leader="none" w:pos="2269" w:val="left"/>
        </w:tabs>
        <w:numPr>
          <w:ilvl w:val="0"/>
          <w:numId w:val="78"/>
        </w:numPr>
        <w:rPr>
          <w:rFonts w:ascii="Arial" w:cs="Arial" w:eastAsia="Arial" w:hAnsi="Arial"/>
          <w:sz w:val="22"/>
          <w:szCs w:val="22"/>
          <w:color w:val="FF0000"/>
          <w:strike w:val="1"/>
        </w:rPr>
      </w:pPr>
      <w:r>
        <w:rPr>
          <w:rFonts w:ascii="Arial" w:cs="Arial" w:eastAsia="Arial" w:hAnsi="Arial"/>
          <w:sz w:val="22"/>
          <w:szCs w:val="22"/>
          <w:color w:val="FF0000"/>
          <w:strike w:val="1"/>
        </w:rPr>
        <w:t xml:space="preserve">In the event that (x) </w:t>
      </w:r>
      <w:r>
        <w:rPr>
          <w:rFonts w:ascii="Arial" w:cs="Arial" w:eastAsia="Arial" w:hAnsi="Arial"/>
          <w:sz w:val="22"/>
          <w:szCs w:val="22"/>
          <w:color w:val="008000"/>
          <w:strike w:val="1"/>
        </w:rPr>
        <w:t>in the case of</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8000"/>
          <w:strike w:val="1"/>
        </w:rPr>
        <w:t>clause (</w:t>
      </w:r>
      <w:r>
        <w:rPr>
          <w:rFonts w:ascii="Arial" w:cs="Arial" w:eastAsia="Arial" w:hAnsi="Arial"/>
          <w:sz w:val="22"/>
          <w:szCs w:val="22"/>
          <w:u w:val="single" w:color="auto"/>
          <w:color w:val="FF0000"/>
          <w:strike w:val="1"/>
        </w:rPr>
        <w:t>i)</w:t>
      </w:r>
      <w:r>
        <w:rPr>
          <w:rFonts w:ascii="Arial" w:cs="Arial" w:eastAsia="Arial" w:hAnsi="Arial"/>
          <w:sz w:val="22"/>
          <w:szCs w:val="22"/>
          <w:color w:val="FF0000"/>
          <w:strike w:val="1"/>
        </w:rPr>
        <w:t xml:space="preserve"> below, the Administrative Agent or (y) in the case of clauses </w:t>
      </w:r>
      <w:r>
        <w:rPr>
          <w:rFonts w:ascii="Arial" w:cs="Arial" w:eastAsia="Arial" w:hAnsi="Arial"/>
          <w:sz w:val="22"/>
          <w:szCs w:val="22"/>
          <w:u w:val="single" w:color="auto"/>
          <w:color w:val="FF0000"/>
          <w:strike w:val="1"/>
        </w:rPr>
        <w:t>(ii)</w:t>
      </w:r>
      <w:r>
        <w:rPr>
          <w:rFonts w:ascii="Arial" w:cs="Arial" w:eastAsia="Arial" w:hAnsi="Arial"/>
          <w:sz w:val="22"/>
          <w:szCs w:val="22"/>
          <w:color w:val="FF0000"/>
          <w:strike w:val="1"/>
        </w:rPr>
        <w:t xml:space="preserve"> and </w:t>
      </w:r>
      <w:r>
        <w:rPr>
          <w:rFonts w:ascii="Arial" w:cs="Arial" w:eastAsia="Arial" w:hAnsi="Arial"/>
          <w:sz w:val="22"/>
          <w:szCs w:val="22"/>
          <w:u w:val="single" w:color="auto"/>
          <w:color w:val="FF0000"/>
          <w:strike w:val="1"/>
        </w:rPr>
        <w:t>(iii)</w:t>
      </w:r>
      <w:r>
        <w:rPr>
          <w:rFonts w:ascii="Arial" w:cs="Arial" w:eastAsia="Arial" w:hAnsi="Arial"/>
          <w:sz w:val="22"/>
          <w:szCs w:val="22"/>
          <w:color w:val="FF0000"/>
          <w:strike w:val="1"/>
        </w:rPr>
        <w:t xml:space="preserve"> below, any Lender, in each case, shall have determined in good faith (which good faith determination shall, absent demonstrable error, be final and conclusive and binding upon all parties hereto):</w:t>
      </w:r>
    </w:p>
    <w:p>
      <w:pPr>
        <w:spacing w:after="0" w:line="158" w:lineRule="exact"/>
        <w:rPr>
          <w:rFonts w:ascii="Arial" w:cs="Arial" w:eastAsia="Arial" w:hAnsi="Arial"/>
          <w:sz w:val="22"/>
          <w:szCs w:val="22"/>
          <w:color w:val="FF0000"/>
          <w:strike w:val="1"/>
        </w:rPr>
      </w:pPr>
    </w:p>
    <w:p>
      <w:pPr>
        <w:jc w:val="both"/>
        <w:ind w:left="660" w:firstLine="1940"/>
        <w:spacing w:after="0" w:line="229" w:lineRule="auto"/>
        <w:tabs>
          <w:tab w:leader="none" w:pos="2891" w:val="left"/>
        </w:tabs>
        <w:numPr>
          <w:ilvl w:val="1"/>
          <w:numId w:val="78"/>
        </w:numPr>
        <w:rPr>
          <w:rFonts w:ascii="Arial" w:cs="Arial" w:eastAsia="Arial" w:hAnsi="Arial"/>
          <w:sz w:val="21"/>
          <w:szCs w:val="21"/>
          <w:color w:val="FF0000"/>
          <w:strike w:val="1"/>
        </w:rPr>
      </w:pPr>
      <w:r>
        <w:rPr>
          <w:rFonts w:ascii="Arial" w:cs="Arial" w:eastAsia="Arial" w:hAnsi="Arial"/>
          <w:sz w:val="21"/>
          <w:szCs w:val="21"/>
          <w:color w:val="FF0000"/>
          <w:strike w:val="1"/>
        </w:rPr>
        <w:t>on any date for determining the LIBOR Rate for any Interest Period that (A) deposits in the principal amounts of the Loans are not generally available in the relevant market or (B) by reason of any changes arising after the Closing Date affecting the interbank Eurodollar market, adequate and fair means do not exist for ascertaining the applicable interest rate on the basis provided for in the definition of LIBOR Rate; or</w:t>
      </w:r>
    </w:p>
    <w:p>
      <w:pPr>
        <w:spacing w:after="0" w:line="158" w:lineRule="exact"/>
        <w:rPr>
          <w:rFonts w:ascii="Arial" w:cs="Arial" w:eastAsia="Arial" w:hAnsi="Arial"/>
          <w:sz w:val="21"/>
          <w:szCs w:val="21"/>
          <w:color w:val="FF0000"/>
          <w:strike w:val="1"/>
        </w:rPr>
      </w:pPr>
    </w:p>
    <w:p>
      <w:pPr>
        <w:jc w:val="both"/>
        <w:ind w:left="660" w:firstLine="1940"/>
        <w:spacing w:after="0" w:line="246" w:lineRule="auto"/>
        <w:tabs>
          <w:tab w:leader="none" w:pos="3176" w:val="left"/>
        </w:tabs>
        <w:numPr>
          <w:ilvl w:val="1"/>
          <w:numId w:val="78"/>
        </w:numPr>
        <w:rPr>
          <w:rFonts w:ascii="Arial" w:cs="Arial" w:eastAsia="Arial" w:hAnsi="Arial"/>
          <w:sz w:val="19"/>
          <w:szCs w:val="19"/>
          <w:color w:val="auto"/>
        </w:rPr>
      </w:pPr>
      <w:r>
        <w:rPr>
          <w:rFonts w:ascii="Arial" w:cs="Arial" w:eastAsia="Arial" w:hAnsi="Arial"/>
          <w:sz w:val="19"/>
          <w:szCs w:val="19"/>
          <w:color w:val="FF0000"/>
          <w:strike w:val="1"/>
        </w:rPr>
        <w:t xml:space="preserve">at any time, after the later of the Closing Date and the date such Person became a Lender hereunder, that such Lender shall incur increased costs or reductions in the amounts received or receivable hereunder </w:t>
      </w:r>
      <w:r>
        <w:rPr>
          <w:rFonts w:ascii="Arial" w:cs="Arial" w:eastAsia="Arial" w:hAnsi="Arial"/>
          <w:sz w:val="19"/>
          <w:szCs w:val="19"/>
          <w:color w:val="008000"/>
          <w:strike w:val="1"/>
        </w:rPr>
        <w:t>with</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respect to any Loan, </w:t>
      </w:r>
      <w:r>
        <w:rPr>
          <w:rFonts w:ascii="Arial" w:cs="Arial" w:eastAsia="Arial" w:hAnsi="Arial"/>
          <w:sz w:val="19"/>
          <w:szCs w:val="19"/>
          <w:color w:val="FF0000"/>
          <w:strike w:val="1"/>
        </w:rPr>
        <w:t>including costs arising from</w:t>
      </w:r>
      <w:r>
        <w:rPr>
          <w:rFonts w:ascii="Arial" w:cs="Arial" w:eastAsia="Arial" w:hAnsi="Arial"/>
          <w:sz w:val="19"/>
          <w:szCs w:val="19"/>
          <w:u w:val="single" w:color="auto"/>
          <w:color w:val="0000FF"/>
          <w:strike w:val="1"/>
        </w:rPr>
        <w:t>subject any Recipient to any</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Taxes (other than (x) Indemnified Taxes, (y)</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 xml:space="preserve">Taxes described in </w:t>
      </w:r>
      <w:r>
        <w:rPr>
          <w:rFonts w:ascii="Arial" w:cs="Arial" w:eastAsia="Arial" w:hAnsi="Arial"/>
          <w:sz w:val="19"/>
          <w:szCs w:val="19"/>
          <w:u w:val="single" w:color="auto"/>
          <w:color w:val="000000"/>
          <w:strike w:val="1"/>
        </w:rPr>
        <w:t>clauses (b)</w:t>
      </w:r>
      <w:r>
        <w:rPr>
          <w:rFonts w:ascii="Arial" w:cs="Arial" w:eastAsia="Arial" w:hAnsi="Arial"/>
          <w:sz w:val="19"/>
          <w:szCs w:val="19"/>
          <w:color w:val="000000"/>
          <w:strike w:val="1"/>
        </w:rPr>
        <w:t xml:space="preserve"> through </w:t>
      </w:r>
      <w:r>
        <w:rPr>
          <w:rFonts w:ascii="Arial" w:cs="Arial" w:eastAsia="Arial" w:hAnsi="Arial"/>
          <w:sz w:val="19"/>
          <w:szCs w:val="19"/>
          <w:u w:val="single" w:color="auto"/>
          <w:color w:val="000000"/>
          <w:strike w:val="1"/>
        </w:rPr>
        <w:t>(d)</w:t>
      </w:r>
      <w:r>
        <w:rPr>
          <w:rFonts w:ascii="Arial" w:cs="Arial" w:eastAsia="Arial" w:hAnsi="Arial"/>
          <w:sz w:val="19"/>
          <w:szCs w:val="19"/>
          <w:color w:val="000000"/>
          <w:strike w:val="1"/>
        </w:rPr>
        <w:t xml:space="preserve"> of the definition of Excluded Taxes and (z) Connection Income Taxes) </w:t>
      </w:r>
      <w:r>
        <w:rPr>
          <w:rFonts w:ascii="Arial" w:cs="Arial" w:eastAsia="Arial" w:hAnsi="Arial"/>
          <w:sz w:val="19"/>
          <w:szCs w:val="19"/>
          <w:color w:val="FF0000"/>
          <w:strike w:val="1"/>
        </w:rPr>
        <w:t>because</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of any change since the date hereof in any Applicable Law (or in the interpretation or administration thereof and including the introduction of any new Applicable Law), such as, for example, without limitation, a change in official reserve requirements; or</w:t>
      </w:r>
      <w:r>
        <w:rPr>
          <w:rFonts w:ascii="Arial" w:cs="Arial" w:eastAsia="Arial" w:hAnsi="Arial"/>
          <w:sz w:val="19"/>
          <w:szCs w:val="19"/>
          <w:u w:val="single" w:color="auto"/>
          <w:color w:val="0000FF"/>
          <w:strike w:val="1"/>
        </w:rPr>
        <w:t>on its loans, loan principal, letters of credit, commitments, or other obligations, or its deposits, reserves,</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other liabilities or capital attributable thereto; or</w:t>
      </w:r>
    </w:p>
    <w:p>
      <w:pPr>
        <w:spacing w:after="0" w:line="152" w:lineRule="exact"/>
        <w:rPr>
          <w:rFonts w:ascii="Arial" w:cs="Arial" w:eastAsia="Arial" w:hAnsi="Arial"/>
          <w:sz w:val="19"/>
          <w:szCs w:val="19"/>
          <w:color w:val="auto"/>
        </w:rPr>
      </w:pPr>
    </w:p>
    <w:p>
      <w:pPr>
        <w:ind w:left="660" w:firstLine="1940"/>
        <w:spacing w:after="0" w:line="232" w:lineRule="auto"/>
        <w:tabs>
          <w:tab w:leader="none" w:pos="3188" w:val="left"/>
        </w:tabs>
        <w:numPr>
          <w:ilvl w:val="1"/>
          <w:numId w:val="7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impose on any Lender any other condition, cost or expense (other than Taxes) affecting this Loan Agreement or Loans made by such Lender;</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49" w:lineRule="auto"/>
        <w:rPr>
          <w:sz w:val="20"/>
          <w:szCs w:val="20"/>
          <w:color w:val="auto"/>
        </w:rPr>
      </w:pPr>
      <w:r>
        <w:rPr>
          <w:rFonts w:ascii="Arial" w:cs="Arial" w:eastAsia="Arial" w:hAnsi="Arial"/>
          <w:sz w:val="19"/>
          <w:szCs w:val="19"/>
          <w:u w:val="single" w:color="auto"/>
          <w:color w:val="0000FF"/>
        </w:rPr>
        <w:t>and the result of any of the foregoing shall be to increase the cost to such Lender or such other Recipient of making, converting to, continuing or maintaining any Loan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152" w:lineRule="exact"/>
        <w:rPr>
          <w:sz w:val="20"/>
          <w:szCs w:val="20"/>
          <w:color w:val="auto"/>
        </w:rPr>
      </w:pPr>
    </w:p>
    <w:p>
      <w:pPr>
        <w:jc w:val="both"/>
        <w:ind w:firstLine="1952"/>
        <w:spacing w:after="0" w:line="221" w:lineRule="auto"/>
        <w:tabs>
          <w:tab w:leader="none" w:pos="2413" w:val="left"/>
        </w:tabs>
        <w:numPr>
          <w:ilvl w:val="0"/>
          <w:numId w:val="7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Loan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65" w:lineRule="exact"/>
        <w:rPr>
          <w:rFonts w:ascii="Arial" w:cs="Arial" w:eastAsia="Arial" w:hAnsi="Arial"/>
          <w:sz w:val="21"/>
          <w:szCs w:val="21"/>
          <w:u w:val="single" w:color="auto"/>
          <w:color w:val="0000FF"/>
        </w:rPr>
      </w:pPr>
    </w:p>
    <w:p>
      <w:pPr>
        <w:jc w:val="both"/>
        <w:ind w:firstLine="1952"/>
        <w:spacing w:after="0" w:line="257" w:lineRule="auto"/>
        <w:tabs>
          <w:tab w:leader="none" w:pos="2410" w:val="left"/>
        </w:tabs>
        <w:numPr>
          <w:ilvl w:val="0"/>
          <w:numId w:val="7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Certificates for Reimbursement. A certificate of a Lender setting forth in reasonable detail the amount or amounts necessary to compensate such Lender or its holding company, as the case may be, as specified in paragraph (a) or (b) of this Section 2.06 must be delivered to the Borrower and shall be conclusive absent manifest error. The Borrower shall pay such Lender the amount shown as due on any such certificate within 10 days after receipt thereof.</w:t>
      </w:r>
    </w:p>
    <w:p>
      <w:pPr>
        <w:spacing w:after="0" w:line="144" w:lineRule="exact"/>
        <w:rPr>
          <w:rFonts w:ascii="Arial" w:cs="Arial" w:eastAsia="Arial" w:hAnsi="Arial"/>
          <w:sz w:val="19"/>
          <w:szCs w:val="19"/>
          <w:u w:val="single" w:color="auto"/>
          <w:color w:val="0000FF"/>
        </w:rPr>
      </w:pPr>
    </w:p>
    <w:p>
      <w:pPr>
        <w:jc w:val="both"/>
        <w:ind w:firstLine="1952"/>
        <w:spacing w:after="0" w:line="247" w:lineRule="auto"/>
        <w:tabs>
          <w:tab w:leader="none" w:pos="2471" w:val="left"/>
        </w:tabs>
        <w:numPr>
          <w:ilvl w:val="0"/>
          <w:numId w:val="7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Delay in Requests. Failure or delay on the part of any Lender to demand compensation pursuant to this Section shall not constitute a waiver of such Lender’s right to demand such compensation; provided, that the Borrower shall not be required to compensate Lender pursuant to the foregoing provisions of this Section for any increased costs incurred or reductions suffered more than six months prior to the date that Lender notifies the Borrower of the changes in applicable law giving rise to such increased costs or reductions and of any Lender’s intention to claim compensation therefor (except that, if the changes in applicable law giving rise to such increased costs or reductions is retroactive, then the six month period referred to above shall be extended to include the period of retroactive effect thereof).</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u w:val="single" w:color="auto"/>
          <w:color w:val="0000FF"/>
        </w:rPr>
        <w:t>Section 2.07 Compensation. In the event of (a) the payment of any principal of any SOFR Loan other than on the last day of the Interest Period applicable thereto (including as a result of a payment pursuant to Sections 2.03, 2.12, 4.01 or 4.02, the occurrence of an Event of Default, an acceleration of the maturity of the Loans pursuant to Article X or for any other reason), (b) the conversion of any SOFR Loan other than on the last day of the Interest Period applicable thereto to a Prime Rate Loan (including as a result of an Event of Default or in accordance with Section 2.11, 2.12 or 2.13), (c) the failure to borrow, convert, continue, prepay or repay any SOFR Loan on the date specified in any notice delivered pursuant hereto (including payments made after any acceleration thereof), or (d) the assignment of any SOFR Loan other than on the last day of the Interest Period applicable thereto as a result of a request by the Borrower pursuant to Section 12.07(b), then, in any such event, the Borrower shall compensate each effected Lender for, and hold each Lender harmless from, any loss, cost and expense attributable to such event, including any loss, cost or expense arising from the liquidation or redeployment of funds or from any fees payable. A certificate of any Lender (with a copy to the Administrative Agent) setting forth any amount or amounts that such Lender is entitled to receive pursuant to this Section shall be delivered to the Borrower and shall be conclusive absent</w:t>
      </w:r>
    </w:p>
    <w:p>
      <w:pPr>
        <w:sectPr>
          <w:pgSz w:w="11900" w:h="16838" w:orient="portrait"/>
          <w:cols w:equalWidth="0" w:num="1">
            <w:col w:w="11240"/>
          </w:cols>
          <w:pgMar w:left="320" w:top="1401" w:right="339" w:bottom="1440" w:gutter="0" w:footer="0" w:header="0"/>
        </w:sectPr>
      </w:pPr>
    </w:p>
    <w:bookmarkStart w:id="109" w:name="page110"/>
    <w:bookmarkEnd w:id="109"/>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u w:val="single" w:color="auto"/>
          <w:color w:val="0000FF"/>
        </w:rPr>
        <w:t>manifest error. The Borrower shall pay such Lender the amount shown as due on any such certificate within 10 days after receipt thereof.</w:t>
      </w:r>
    </w:p>
    <w:p>
      <w:pPr>
        <w:spacing w:after="0" w:line="159" w:lineRule="exact"/>
        <w:rPr>
          <w:sz w:val="20"/>
          <w:szCs w:val="20"/>
          <w:color w:val="auto"/>
        </w:rPr>
      </w:pPr>
    </w:p>
    <w:p>
      <w:pPr>
        <w:jc w:val="both"/>
        <w:ind w:left="660" w:firstLine="1940"/>
        <w:spacing w:after="0" w:line="229" w:lineRule="auto"/>
        <w:tabs>
          <w:tab w:leader="none" w:pos="2994" w:val="left"/>
        </w:tabs>
        <w:numPr>
          <w:ilvl w:val="0"/>
          <w:numId w:val="80"/>
        </w:numPr>
        <w:rPr>
          <w:rFonts w:ascii="Arial" w:cs="Arial" w:eastAsia="Arial" w:hAnsi="Arial"/>
          <w:sz w:val="21"/>
          <w:szCs w:val="21"/>
          <w:color w:val="FF0000"/>
          <w:strike w:val="1"/>
        </w:rPr>
      </w:pPr>
      <w:r>
        <w:rPr>
          <w:rFonts w:ascii="Arial" w:cs="Arial" w:eastAsia="Arial" w:hAnsi="Arial"/>
          <w:sz w:val="21"/>
          <w:szCs w:val="21"/>
          <w:color w:val="FF0000"/>
          <w:strike w:val="1"/>
        </w:rPr>
        <w:t>at any time, that the making or continuance of any Loan has become unlawful (including as a result of any Change in Law) by compliance by such Lender in good faith with any Applicable Law (or would conflict with any such Applicable Law), or has become impracticable as a result of a contingency occurring after the date hereof that materially and adversely affects the interbank Eurodollar market,</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FF0000"/>
          <w:strike w:val="1"/>
        </w:rPr>
        <w:t xml:space="preserve">then, and in any such event, such Lender (or the Administrative Agent, </w:t>
      </w:r>
      <w:r>
        <w:rPr>
          <w:rFonts w:ascii="Arial" w:cs="Arial" w:eastAsia="Arial" w:hAnsi="Arial"/>
          <w:sz w:val="19"/>
          <w:szCs w:val="19"/>
          <w:color w:val="008000"/>
          <w:strike w:val="1"/>
        </w:rPr>
        <w:t>in the case of</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clause (</w:t>
      </w:r>
      <w:r>
        <w:rPr>
          <w:rFonts w:ascii="Arial" w:cs="Arial" w:eastAsia="Arial" w:hAnsi="Arial"/>
          <w:sz w:val="19"/>
          <w:szCs w:val="19"/>
          <w:u w:val="single" w:color="auto"/>
          <w:color w:val="FF0000"/>
          <w:strike w:val="1"/>
        </w:rPr>
        <w:t>i)</w:t>
      </w:r>
      <w:r>
        <w:rPr>
          <w:rFonts w:ascii="Arial" w:cs="Arial" w:eastAsia="Arial" w:hAnsi="Arial"/>
          <w:sz w:val="19"/>
          <w:szCs w:val="19"/>
          <w:color w:val="FF0000"/>
          <w:strike w:val="1"/>
        </w:rPr>
        <w:t xml:space="preserve"> above) shall promptly give written </w:t>
      </w:r>
      <w:r>
        <w:rPr>
          <w:rFonts w:ascii="Arial" w:cs="Arial" w:eastAsia="Arial" w:hAnsi="Arial"/>
          <w:sz w:val="19"/>
          <w:szCs w:val="19"/>
          <w:color w:val="008000"/>
          <w:strike w:val="1"/>
        </w:rPr>
        <w:t xml:space="preserve">notice to the Borrower and the Administrative Agent </w:t>
      </w:r>
      <w:r>
        <w:rPr>
          <w:rFonts w:ascii="Arial" w:cs="Arial" w:eastAsia="Arial" w:hAnsi="Arial"/>
          <w:sz w:val="19"/>
          <w:szCs w:val="19"/>
          <w:color w:val="FF0000"/>
          <w:strike w:val="1"/>
        </w:rPr>
        <w:t>of such determination, and the Administrative Agent shall promptly notify</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each of the Lenders. Thereafter (A) in the case of </w:t>
      </w:r>
      <w:r>
        <w:rPr>
          <w:rFonts w:ascii="Arial" w:cs="Arial" w:eastAsia="Arial" w:hAnsi="Arial"/>
          <w:sz w:val="19"/>
          <w:szCs w:val="19"/>
          <w:u w:val="single" w:color="auto"/>
          <w:color w:val="FF0000"/>
          <w:strike w:val="1"/>
        </w:rPr>
        <w:t>clause (i)</w:t>
      </w:r>
      <w:r>
        <w:rPr>
          <w:rFonts w:ascii="Arial" w:cs="Arial" w:eastAsia="Arial" w:hAnsi="Arial"/>
          <w:sz w:val="19"/>
          <w:szCs w:val="19"/>
          <w:color w:val="FF0000"/>
          <w:strike w:val="1"/>
        </w:rPr>
        <w:t xml:space="preserve"> above, Loans shall no longer accrue interest with reference to the LIBOR Rate pursuant to </w:t>
      </w:r>
      <w:r>
        <w:rPr>
          <w:rFonts w:ascii="Arial" w:cs="Arial" w:eastAsia="Arial" w:hAnsi="Arial"/>
          <w:sz w:val="19"/>
          <w:szCs w:val="19"/>
          <w:u w:val="single" w:color="auto"/>
          <w:color w:val="FF0000"/>
          <w:strike w:val="1"/>
        </w:rPr>
        <w:t>Section 2.05(a)</w:t>
      </w:r>
      <w:r>
        <w:rPr>
          <w:rFonts w:ascii="Arial" w:cs="Arial" w:eastAsia="Arial" w:hAnsi="Arial"/>
          <w:sz w:val="19"/>
          <w:szCs w:val="19"/>
          <w:color w:val="FF0000"/>
          <w:strike w:val="1"/>
        </w:rPr>
        <w:t xml:space="preserve"> and, in lieu thereof, shall accrue interest under </w:t>
      </w:r>
      <w:r>
        <w:rPr>
          <w:rFonts w:ascii="Arial" w:cs="Arial" w:eastAsia="Arial" w:hAnsi="Arial"/>
          <w:sz w:val="19"/>
          <w:szCs w:val="19"/>
          <w:u w:val="single" w:color="auto"/>
          <w:color w:val="FF0000"/>
          <w:strike w:val="1"/>
        </w:rPr>
        <w:t>Section 2.05(a)</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at a rate per annum equal</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to </w:t>
      </w:r>
      <w:r>
        <w:rPr>
          <w:rFonts w:ascii="Arial" w:cs="Arial" w:eastAsia="Arial" w:hAnsi="Arial"/>
          <w:sz w:val="19"/>
          <w:szCs w:val="19"/>
          <w:color w:val="FF0000"/>
          <w:strike w:val="1"/>
        </w:rPr>
        <w:t>the</w:t>
      </w:r>
      <w:r>
        <w:rPr>
          <w:rFonts w:ascii="Arial" w:cs="Arial" w:eastAsia="Arial" w:hAnsi="Arial"/>
          <w:sz w:val="19"/>
          <w:szCs w:val="19"/>
          <w:color w:val="008000"/>
          <w:strike w:val="1"/>
        </w:rPr>
        <w:t xml:space="preserve"> Prime Rate </w:t>
      </w:r>
      <w:r>
        <w:rPr>
          <w:rFonts w:ascii="Arial" w:cs="Arial" w:eastAsia="Arial" w:hAnsi="Arial"/>
          <w:sz w:val="19"/>
          <w:szCs w:val="19"/>
          <w:u w:val="single" w:color="auto"/>
          <w:color w:val="008000"/>
          <w:strike w:val="1"/>
        </w:rPr>
        <w:t>plus</w:t>
      </w:r>
      <w:r>
        <w:rPr>
          <w:rFonts w:ascii="Arial" w:cs="Arial" w:eastAsia="Arial" w:hAnsi="Arial"/>
          <w:sz w:val="19"/>
          <w:szCs w:val="19"/>
          <w:color w:val="008000"/>
          <w:strike w:val="1"/>
        </w:rPr>
        <w:t xml:space="preserve"> the Applicable Margin </w:t>
      </w:r>
      <w:r>
        <w:rPr>
          <w:rFonts w:ascii="Arial" w:cs="Arial" w:eastAsia="Arial" w:hAnsi="Arial"/>
          <w:sz w:val="19"/>
          <w:szCs w:val="19"/>
          <w:color w:val="FF0000"/>
          <w:strike w:val="1"/>
        </w:rPr>
        <w:t>until such time as the Administrative Agent notifies the Borrower, the Collateral</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Agent and the Lenders that the circumstances giving rise to such notice by the Administrative Agent no longer exist (which notice the Administrative Agent agrees to give at such time when it becomes aware that such circumstances no longer exist), (B) in the case of </w:t>
      </w:r>
      <w:r>
        <w:rPr>
          <w:rFonts w:ascii="Arial" w:cs="Arial" w:eastAsia="Arial" w:hAnsi="Arial"/>
          <w:sz w:val="19"/>
          <w:szCs w:val="19"/>
          <w:u w:val="single" w:color="auto"/>
          <w:color w:val="FF0000"/>
          <w:strike w:val="1"/>
        </w:rPr>
        <w:t>clause (ii)</w:t>
      </w:r>
      <w:r>
        <w:rPr>
          <w:rFonts w:ascii="Arial" w:cs="Arial" w:eastAsia="Arial" w:hAnsi="Arial"/>
          <w:sz w:val="19"/>
          <w:szCs w:val="19"/>
          <w:color w:val="FF0000"/>
          <w:strike w:val="1"/>
        </w:rPr>
        <w:t xml:space="preserve"> above, the Borrower shall pay to such Lender, within seven (7) Business Days after receipt of written demand therefor, such additional amounts (in the form of an increased rate of, or a different method of calculating, interest or otherwise as such Lender in its reasonable discretion shall determine) as shall be required to compensate such Lender for such increased costs or reductions in amounts receivable hereunder (it being agreed that a written notice as to the additional amounts owed to such Lender, showing in reasonable detail the basis for the calculation thereof, submitted to the Borrower by such Lender shall, absent clearly demonstrable error, be final and conclusive and binding upon all parties hereto) and (C) in the case of </w:t>
      </w:r>
      <w:r>
        <w:rPr>
          <w:rFonts w:ascii="Arial" w:cs="Arial" w:eastAsia="Arial" w:hAnsi="Arial"/>
          <w:sz w:val="19"/>
          <w:szCs w:val="19"/>
          <w:u w:val="single" w:color="auto"/>
          <w:color w:val="FF0000"/>
          <w:strike w:val="1"/>
        </w:rPr>
        <w:t>clause (iii)</w:t>
      </w:r>
      <w:r>
        <w:rPr>
          <w:rFonts w:ascii="Arial" w:cs="Arial" w:eastAsia="Arial" w:hAnsi="Arial"/>
          <w:sz w:val="19"/>
          <w:szCs w:val="19"/>
          <w:color w:val="FF0000"/>
          <w:strike w:val="1"/>
        </w:rPr>
        <w:t xml:space="preserve"> above, the Borrower shall take the actions specified by Applicable Law as promptly as possible and, in any event, within the time period required by Applicable Law.</w:t>
      </w:r>
    </w:p>
    <w:p>
      <w:pPr>
        <w:spacing w:after="0" w:line="384" w:lineRule="exact"/>
        <w:rPr>
          <w:sz w:val="20"/>
          <w:szCs w:val="20"/>
          <w:color w:val="auto"/>
        </w:rPr>
      </w:pPr>
    </w:p>
    <w:p>
      <w:pPr>
        <w:jc w:val="both"/>
        <w:ind w:firstLine="1952"/>
        <w:spacing w:after="0"/>
        <w:tabs>
          <w:tab w:leader="none" w:pos="2260" w:val="left"/>
        </w:tabs>
        <w:numPr>
          <w:ilvl w:val="0"/>
          <w:numId w:val="81"/>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If, after the later of the date hereof and the date such entity becomes a Lender hereunder, the adoption of any Law, rule, guideline, request or directive (including, regardless of the date enacted, adopted or issued,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whether or not having the force of law, regarding capital adequacy, or any Change in Law occurs, or compliance by a Lender (or its lending office) or its parent with any request or directive made or adopted after such date regarding capital adequacy (whether or not having the force of law) of any such authority, association, central bank or comparable agency, in any such case, which has the effect of reducing the rate of return on such Lender’s or its parent’s capital or assets as a consequence of such Lender’s commitments or obligations hereunder to a level below that which such Lender or its parent could have achieved but for such adoption, effectiveness, change or compliance (taking into consideration such Lender’s or its parent’s policies with respect to capital adequacy), then within seven (7) Business Days after receipt of written demand by such Lender (with a copy to the Administrative Agent), the Borrower shall pay to such Lender or its parent such additional amount or amounts as will compensate such Lender for such reduction;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however</w:t>
      </w:r>
      <w:r>
        <w:rPr>
          <w:rFonts w:ascii="Arial" w:cs="Arial" w:eastAsia="Arial" w:hAnsi="Arial"/>
          <w:sz w:val="19"/>
          <w:szCs w:val="19"/>
          <w:color w:val="FF0000"/>
          <w:strike w:val="1"/>
        </w:rPr>
        <w:t xml:space="preserve">, that a Lender shall not be entitled to such compensation as a result of such Lender’s compliance with, or pursuant to any request or directive to comply with, any such Applicable Law as in effect on the date hereof or the later date on which it becomes a Lender, as the case may be. Each Lender (on its own behalf), upon determining in good faith that any additional amounts will be payable pursuant to this </w:t>
      </w:r>
      <w:r>
        <w:rPr>
          <w:rFonts w:ascii="Arial" w:cs="Arial" w:eastAsia="Arial" w:hAnsi="Arial"/>
          <w:sz w:val="19"/>
          <w:szCs w:val="19"/>
          <w:u w:val="single" w:color="auto"/>
          <w:color w:val="FF0000"/>
          <w:strike w:val="1"/>
        </w:rPr>
        <w:t>Section 2.06(b)</w:t>
      </w:r>
      <w:r>
        <w:rPr>
          <w:rFonts w:ascii="Arial" w:cs="Arial" w:eastAsia="Arial" w:hAnsi="Arial"/>
          <w:sz w:val="19"/>
          <w:szCs w:val="19"/>
          <w:color w:val="FF0000"/>
          <w:strike w:val="1"/>
        </w:rPr>
        <w:t>, will, as promptly as</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7"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FF0000"/>
          <w:strike w:val="1"/>
        </w:rPr>
        <w:t xml:space="preserve">practicable upon ascertaining knowledge thereof, give written notice thereof to the Borrower, which notice shall set forth in reasonable detail the basis of the calculation of such additional amounts. The failure or delay to give any such notice with respect to a particular event shall not release or diminish any of the Borrower’s obligations to pay additional amounts pursuant to this </w:t>
      </w:r>
      <w:r>
        <w:rPr>
          <w:rFonts w:ascii="Arial" w:cs="Arial" w:eastAsia="Arial" w:hAnsi="Arial"/>
          <w:sz w:val="21"/>
          <w:szCs w:val="21"/>
          <w:u w:val="single" w:color="auto"/>
          <w:color w:val="FF0000"/>
          <w:strike w:val="1"/>
        </w:rPr>
        <w:t xml:space="preserve">Section 2.06(b) </w:t>
      </w:r>
      <w:r>
        <w:rPr>
          <w:rFonts w:ascii="Arial" w:cs="Arial" w:eastAsia="Arial" w:hAnsi="Arial"/>
          <w:sz w:val="21"/>
          <w:szCs w:val="21"/>
          <w:color w:val="FF0000"/>
          <w:strike w:val="1"/>
        </w:rPr>
        <w:t>for amounts accrued or incurred prior to the date that such notice with respect to such event is actually given,</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 xml:space="preserve">unless such notice is given more than 180 days (or such longer period based on any retroactive effect as described in </w:t>
      </w:r>
      <w:r>
        <w:rPr>
          <w:rFonts w:ascii="Arial" w:cs="Arial" w:eastAsia="Arial" w:hAnsi="Arial"/>
          <w:sz w:val="21"/>
          <w:szCs w:val="21"/>
          <w:u w:val="single" w:color="auto"/>
          <w:color w:val="FF0000"/>
          <w:strike w:val="1"/>
        </w:rPr>
        <w:t>Section</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FF0000"/>
          <w:strike w:val="1"/>
        </w:rPr>
        <w:t>2.06(a)</w:t>
      </w:r>
      <w:r>
        <w:rPr>
          <w:rFonts w:ascii="Arial" w:cs="Arial" w:eastAsia="Arial" w:hAnsi="Arial"/>
          <w:sz w:val="21"/>
          <w:szCs w:val="21"/>
          <w:color w:val="FF0000"/>
          <w:strike w:val="1"/>
        </w:rPr>
        <w:t>) after Lender has knowledge of any such event.</w:t>
      </w:r>
    </w:p>
    <w:p>
      <w:pPr>
        <w:spacing w:after="0" w:line="160" w:lineRule="exact"/>
        <w:rPr>
          <w:sz w:val="20"/>
          <w:szCs w:val="20"/>
          <w:color w:val="auto"/>
        </w:rPr>
      </w:pPr>
    </w:p>
    <w:p>
      <w:pPr>
        <w:jc w:val="both"/>
        <w:ind w:firstLine="1952"/>
        <w:spacing w:after="0"/>
        <w:tabs>
          <w:tab w:leader="none" w:pos="2266" w:val="left"/>
        </w:tabs>
        <w:numPr>
          <w:ilvl w:val="0"/>
          <w:numId w:val="82"/>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If at any time </w:t>
      </w:r>
      <w:r>
        <w:rPr>
          <w:rFonts w:ascii="Arial" w:cs="Arial" w:eastAsia="Arial" w:hAnsi="Arial"/>
          <w:sz w:val="19"/>
          <w:szCs w:val="19"/>
          <w:color w:val="008000"/>
          <w:strike w:val="1"/>
        </w:rPr>
        <w:t>the Administrative Agent determines (which determination shall be conclusive</w:t>
      </w:r>
      <w:r>
        <w:rPr>
          <w:rFonts w:ascii="Arial" w:cs="Arial" w:eastAsia="Arial" w:hAnsi="Arial"/>
          <w:sz w:val="19"/>
          <w:szCs w:val="19"/>
          <w:color w:val="FF0000"/>
          <w:strike w:val="1"/>
        </w:rPr>
        <w:t xml:space="preserve"> absent manifest error) that either (i) the circumstances set forth in </w:t>
      </w:r>
      <w:r>
        <w:rPr>
          <w:rFonts w:ascii="Arial" w:cs="Arial" w:eastAsia="Arial" w:hAnsi="Arial"/>
          <w:sz w:val="19"/>
          <w:szCs w:val="19"/>
          <w:u w:val="single" w:color="auto"/>
          <w:color w:val="FF0000"/>
          <w:strike w:val="1"/>
        </w:rPr>
        <w:t>subparagraph (a)</w:t>
      </w:r>
      <w:r>
        <w:rPr>
          <w:rFonts w:ascii="Arial" w:cs="Arial" w:eastAsia="Arial" w:hAnsi="Arial"/>
          <w:sz w:val="19"/>
          <w:szCs w:val="19"/>
          <w:color w:val="FF0000"/>
          <w:strike w:val="1"/>
        </w:rPr>
        <w:t xml:space="preserve"> of this </w:t>
      </w:r>
      <w:r>
        <w:rPr>
          <w:rFonts w:ascii="Arial" w:cs="Arial" w:eastAsia="Arial" w:hAnsi="Arial"/>
          <w:sz w:val="19"/>
          <w:szCs w:val="19"/>
          <w:u w:val="single" w:color="auto"/>
          <w:color w:val="FF0000"/>
          <w:strike w:val="1"/>
        </w:rPr>
        <w:t>Section 2.06</w:t>
      </w:r>
      <w:r>
        <w:rPr>
          <w:rFonts w:ascii="Arial" w:cs="Arial" w:eastAsia="Arial" w:hAnsi="Arial"/>
          <w:sz w:val="19"/>
          <w:szCs w:val="19"/>
          <w:color w:val="FF0000"/>
          <w:strike w:val="1"/>
        </w:rPr>
        <w:t xml:space="preserve"> have arisen and such circumstances are unlikely to be temporary or (ii) the circumstances set forth in </w:t>
      </w:r>
      <w:r>
        <w:rPr>
          <w:rFonts w:ascii="Arial" w:cs="Arial" w:eastAsia="Arial" w:hAnsi="Arial"/>
          <w:sz w:val="19"/>
          <w:szCs w:val="19"/>
          <w:u w:val="single" w:color="auto"/>
          <w:color w:val="FF0000"/>
          <w:strike w:val="1"/>
        </w:rPr>
        <w:t>subparagraph (a)</w:t>
      </w:r>
      <w:r>
        <w:rPr>
          <w:rFonts w:ascii="Arial" w:cs="Arial" w:eastAsia="Arial" w:hAnsi="Arial"/>
          <w:sz w:val="19"/>
          <w:szCs w:val="19"/>
          <w:color w:val="FF0000"/>
          <w:strike w:val="1"/>
        </w:rPr>
        <w:t xml:space="preserve"> of this </w:t>
      </w:r>
      <w:r>
        <w:rPr>
          <w:rFonts w:ascii="Arial" w:cs="Arial" w:eastAsia="Arial" w:hAnsi="Arial"/>
          <w:sz w:val="19"/>
          <w:szCs w:val="19"/>
          <w:u w:val="single" w:color="auto"/>
          <w:color w:val="FF0000"/>
          <w:strike w:val="1"/>
        </w:rPr>
        <w:t>Section 2.06</w:t>
      </w:r>
      <w:r>
        <w:rPr>
          <w:rFonts w:ascii="Arial" w:cs="Arial" w:eastAsia="Arial" w:hAnsi="Arial"/>
          <w:sz w:val="19"/>
          <w:szCs w:val="19"/>
          <w:color w:val="FF0000"/>
          <w:strike w:val="1"/>
        </w:rPr>
        <w:t xml:space="preserve"> have not arisen but the supervisor for the administrator of the LIBOR Rate or a Governmental Authority having jurisdiction over the Administrative Agent has made a public statement identifying a specific date after which the LIBOR Rate shall no longer be used for determining interest rates for loans (in the case of either such clause (i) or (ii), an “</w:t>
      </w:r>
      <w:r>
        <w:rPr>
          <w:rFonts w:ascii="Arial" w:cs="Arial" w:eastAsia="Arial" w:hAnsi="Arial"/>
          <w:sz w:val="19"/>
          <w:szCs w:val="19"/>
          <w:u w:val="single" w:color="auto"/>
          <w:color w:val="FF0000"/>
          <w:strike w:val="1"/>
        </w:rPr>
        <w:t>Alternative Interest Rate Election Event</w:t>
      </w:r>
      <w:r>
        <w:rPr>
          <w:rFonts w:ascii="Arial" w:cs="Arial" w:eastAsia="Arial" w:hAnsi="Arial"/>
          <w:sz w:val="19"/>
          <w:szCs w:val="19"/>
          <w:color w:val="FF0000"/>
          <w:strike w:val="1"/>
        </w:rPr>
        <w:t>”)</w:t>
      </w:r>
      <w:r>
        <w:rPr>
          <w:rFonts w:ascii="Arial" w:cs="Arial" w:eastAsia="Arial" w:hAnsi="Arial"/>
          <w:sz w:val="19"/>
          <w:szCs w:val="19"/>
          <w:color w:val="008000"/>
          <w:strike w:val="1"/>
        </w:rPr>
        <w:t>,</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the Administrative Agent and the Borrower </w:t>
      </w:r>
      <w:r>
        <w:rPr>
          <w:rFonts w:ascii="Arial" w:cs="Arial" w:eastAsia="Arial" w:hAnsi="Arial"/>
          <w:sz w:val="19"/>
          <w:szCs w:val="19"/>
          <w:color w:val="FF0000"/>
          <w:strike w:val="1"/>
        </w:rPr>
        <w:t>shall endeavor to establish an alternate rate of interest to the LIBOR Rate that gives</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due consideration to the then prevailing market convention for determining a rate of interest for leveraged syndicated loans in the United States at such time, and shall enter into an amendment to this Loan Agreement to reflect such alternate rate of interest and such other related changes to this Loan Agreement as may be applicable. Notwithstanding anything to the contrary in </w:t>
      </w:r>
      <w:r>
        <w:rPr>
          <w:rFonts w:ascii="Arial" w:cs="Arial" w:eastAsia="Arial" w:hAnsi="Arial"/>
          <w:sz w:val="19"/>
          <w:szCs w:val="19"/>
          <w:u w:val="single" w:color="auto"/>
          <w:color w:val="FF0000"/>
          <w:strike w:val="1"/>
        </w:rPr>
        <w:t>Section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12.01</w:t>
      </w:r>
      <w:r>
        <w:rPr>
          <w:rFonts w:ascii="Arial" w:cs="Arial" w:eastAsia="Arial" w:hAnsi="Arial"/>
          <w:sz w:val="19"/>
          <w:szCs w:val="19"/>
          <w:color w:val="FF0000"/>
          <w:strike w:val="1"/>
        </w:rPr>
        <w:t>, such amendment shall</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008000"/>
          <w:strike w:val="1"/>
        </w:rPr>
        <w:t>become effective without any further action or consent of any other party to this Loan Agreement</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so</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 xml:space="preserve">long as the Administrative Agent shall not have received, within five (5) Business Days after the date notice of such alternate rate of interest is provided to the Lenders, a written notice from Required Lenders stating that they object to such amendment. To the extent an alternate rate of interest is adopted as contemplated hereby, the approved rate shall be applied in a manner consistent with prevailing market convention;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to the extent such prevailing market convention is not administratively feasible for the Administrative Agent, such approved rate shall be applied in a manner as otherwise reasonably determined </w:t>
      </w:r>
      <w:r>
        <w:rPr>
          <w:rFonts w:ascii="Arial" w:cs="Arial" w:eastAsia="Arial" w:hAnsi="Arial"/>
          <w:sz w:val="19"/>
          <w:szCs w:val="19"/>
          <w:color w:val="008000"/>
          <w:strike w:val="1"/>
        </w:rPr>
        <w:t>by the</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Administrative Agent and the Borrower</w:t>
      </w:r>
      <w:r>
        <w:rPr>
          <w:rFonts w:ascii="Arial" w:cs="Arial" w:eastAsia="Arial" w:hAnsi="Arial"/>
          <w:sz w:val="19"/>
          <w:szCs w:val="19"/>
          <w:color w:val="FF0000"/>
          <w:strike w:val="1"/>
        </w:rPr>
        <w:t>. Notwithstanding anything herein to the contrary, if such alternate rate of interest as</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determined in this </w:t>
      </w:r>
      <w:r>
        <w:rPr>
          <w:rFonts w:ascii="Arial" w:cs="Arial" w:eastAsia="Arial" w:hAnsi="Arial"/>
          <w:sz w:val="19"/>
          <w:szCs w:val="19"/>
          <w:u w:val="single" w:color="auto"/>
          <w:color w:val="FF0000"/>
          <w:strike w:val="1"/>
        </w:rPr>
        <w:t>subparagraph (c)</w:t>
      </w:r>
      <w:r>
        <w:rPr>
          <w:rFonts w:ascii="Arial" w:cs="Arial" w:eastAsia="Arial" w:hAnsi="Arial"/>
          <w:sz w:val="19"/>
          <w:szCs w:val="19"/>
          <w:color w:val="FF0000"/>
          <w:strike w:val="1"/>
        </w:rPr>
        <w:t xml:space="preserve"> is determined to be less than 1.5%, such rate shall be deemed to be 1.5% </w:t>
      </w:r>
      <w:r>
        <w:rPr>
          <w:rFonts w:ascii="Arial" w:cs="Arial" w:eastAsia="Arial" w:hAnsi="Arial"/>
          <w:sz w:val="19"/>
          <w:szCs w:val="19"/>
          <w:color w:val="008000"/>
          <w:strike w:val="1"/>
        </w:rPr>
        <w:t>for the purposes of</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this Loan Agreement</w:t>
      </w:r>
      <w:r>
        <w:rPr>
          <w:rFonts w:ascii="Arial" w:cs="Arial" w:eastAsia="Arial" w:hAnsi="Arial"/>
          <w:sz w:val="19"/>
          <w:szCs w:val="19"/>
          <w:color w:val="FF0000"/>
          <w:strike w:val="1"/>
        </w:rPr>
        <w:t>.</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Compensation</w:t>
      </w:r>
    </w:p>
    <w:p>
      <w:pPr>
        <w:spacing w:after="0" w:line="179" w:lineRule="exact"/>
        <w:rPr>
          <w:sz w:val="20"/>
          <w:szCs w:val="20"/>
          <w:color w:val="auto"/>
        </w:rPr>
      </w:pPr>
    </w:p>
    <w:p>
      <w:pPr>
        <w:jc w:val="both"/>
        <w:ind w:firstLine="8"/>
        <w:spacing w:after="0" w:line="220" w:lineRule="auto"/>
        <w:tabs>
          <w:tab w:leader="none" w:pos="111" w:val="left"/>
        </w:tabs>
        <w:numPr>
          <w:ilvl w:val="0"/>
          <w:numId w:val="83"/>
        </w:numPr>
        <w:rPr>
          <w:rFonts w:ascii="Arial" w:cs="Arial" w:eastAsia="Arial" w:hAnsi="Arial"/>
          <w:sz w:val="21"/>
          <w:szCs w:val="21"/>
          <w:color w:val="FF0000"/>
          <w:strike w:val="1"/>
        </w:rPr>
      </w:pPr>
      <w:r>
        <w:rPr>
          <w:rFonts w:ascii="Arial" w:cs="Arial" w:eastAsia="Arial" w:hAnsi="Arial"/>
          <w:sz w:val="21"/>
          <w:szCs w:val="21"/>
          <w:color w:val="FF0000"/>
          <w:strike w:val="1"/>
        </w:rPr>
        <w:t xml:space="preserve">If (a) any payment of principal of a Loan is made by the Borrower to or for the account of a Lender other than on the last day of the Interest Period for such Loan as a result of a payment pursuant to </w:t>
      </w:r>
      <w:r>
        <w:rPr>
          <w:rFonts w:ascii="Arial" w:cs="Arial" w:eastAsia="Arial" w:hAnsi="Arial"/>
          <w:sz w:val="21"/>
          <w:szCs w:val="21"/>
          <w:u w:val="single" w:color="auto"/>
          <w:color w:val="FF0000"/>
          <w:strike w:val="1"/>
        </w:rPr>
        <w:t>Sections 2.03</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FF0000"/>
          <w:strike w:val="1"/>
        </w:rPr>
        <w:t>4.01</w:t>
      </w:r>
      <w:r>
        <w:rPr>
          <w:rFonts w:ascii="Arial" w:cs="Arial" w:eastAsia="Arial" w:hAnsi="Arial"/>
          <w:sz w:val="21"/>
          <w:szCs w:val="21"/>
          <w:color w:val="FF0000"/>
          <w:strike w:val="1"/>
        </w:rPr>
        <w:t xml:space="preserve"> or </w:t>
      </w:r>
      <w:r>
        <w:rPr>
          <w:rFonts w:ascii="Arial" w:cs="Arial" w:eastAsia="Arial" w:hAnsi="Arial"/>
          <w:sz w:val="21"/>
          <w:szCs w:val="21"/>
          <w:u w:val="single" w:color="auto"/>
          <w:color w:val="FF0000"/>
          <w:strike w:val="1"/>
        </w:rPr>
        <w:t>4.02</w:t>
      </w:r>
      <w:r>
        <w:rPr>
          <w:rFonts w:ascii="Arial" w:cs="Arial" w:eastAsia="Arial" w:hAnsi="Arial"/>
          <w:sz w:val="21"/>
          <w:szCs w:val="21"/>
          <w:color w:val="FF0000"/>
          <w:strike w:val="1"/>
        </w:rPr>
        <w:t xml:space="preserve">, as a result of acceleration of the maturity of the Loans pursuant to </w:t>
      </w:r>
      <w:r>
        <w:rPr>
          <w:rFonts w:ascii="Arial" w:cs="Arial" w:eastAsia="Arial" w:hAnsi="Arial"/>
          <w:sz w:val="21"/>
          <w:szCs w:val="21"/>
          <w:u w:val="single" w:color="auto"/>
          <w:color w:val="FF0000"/>
          <w:strike w:val="1"/>
        </w:rPr>
        <w:t>Article X</w:t>
      </w:r>
      <w:r>
        <w:rPr>
          <w:rFonts w:ascii="Arial" w:cs="Arial" w:eastAsia="Arial" w:hAnsi="Arial"/>
          <w:sz w:val="21"/>
          <w:szCs w:val="21"/>
          <w:color w:val="FF0000"/>
          <w:strike w:val="1"/>
        </w:rPr>
        <w:t xml:space="preserve"> or for any other reason, or (b) any prepayment of principal of a Loan is not made as a result of a withdrawn notice of prepayment pursuant to </w:t>
      </w:r>
      <w:r>
        <w:rPr>
          <w:rFonts w:ascii="Arial" w:cs="Arial" w:eastAsia="Arial" w:hAnsi="Arial"/>
          <w:sz w:val="21"/>
          <w:szCs w:val="21"/>
          <w:u w:val="single" w:color="auto"/>
          <w:color w:val="FF0000"/>
          <w:strike w:val="1"/>
        </w:rPr>
        <w:t>Sections 4.01</w:t>
      </w:r>
      <w:r>
        <w:rPr>
          <w:rFonts w:ascii="Arial" w:cs="Arial" w:eastAsia="Arial" w:hAnsi="Arial"/>
          <w:sz w:val="21"/>
          <w:szCs w:val="21"/>
          <w:color w:val="FF0000"/>
          <w:strike w:val="1"/>
        </w:rPr>
        <w:t xml:space="preserve"> or </w:t>
      </w:r>
      <w:r>
        <w:rPr>
          <w:rFonts w:ascii="Arial" w:cs="Arial" w:eastAsia="Arial" w:hAnsi="Arial"/>
          <w:sz w:val="21"/>
          <w:szCs w:val="21"/>
          <w:u w:val="single" w:color="auto"/>
          <w:color w:val="FF0000"/>
          <w:strike w:val="1"/>
        </w:rPr>
        <w:t>4.02</w:t>
      </w:r>
      <w:r>
        <w:rPr>
          <w:rFonts w:ascii="Arial" w:cs="Arial" w:eastAsia="Arial" w:hAnsi="Arial"/>
          <w:sz w:val="21"/>
          <w:szCs w:val="21"/>
          <w:color w:val="FF0000"/>
          <w:strike w:val="1"/>
        </w:rPr>
        <w:t>, the Borrower shall, within seven (7) Business Days after receipt of a written request by such Lender (with a copy of such request provided to the Administrative Agent and which request shall set forth in reasonable detail the basis for requesting such amount), pay to the Administrative Agent for the account of such Lender any amounts required to compensate such Lender for any additional losses, costs or expenses that such Lender may reasonably incur as a result of such payment or failure to prepay, including any loss, cost or expense (excluding loss of anticipated profits) actually incurred by reason of the liquidation or reemployment of deposits or other funds acquired by such Lender to fund or maintain such Loan.</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Incremental Term Loans</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7" w:lineRule="exact"/>
        <w:rPr>
          <w:sz w:val="20"/>
          <w:szCs w:val="20"/>
          <w:color w:val="auto"/>
        </w:rPr>
      </w:pPr>
    </w:p>
    <w:p>
      <w:pPr>
        <w:jc w:val="both"/>
        <w:ind w:left="-1120" w:firstLine="1952"/>
        <w:spacing w:after="0" w:line="241" w:lineRule="auto"/>
        <w:tabs>
          <w:tab w:leader="none" w:pos="1350" w:val="left"/>
        </w:tabs>
        <w:numPr>
          <w:ilvl w:val="0"/>
          <w:numId w:val="84"/>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the Borrower may, from time to time after the earlier to occur of (x) the termination of all DDTL Commitments and (y) the DDTL Commitment Expiration Date, by written notice to the Administrative Agent (each, an “</w:t>
      </w:r>
      <w:r>
        <w:rPr>
          <w:rFonts w:ascii="Arial" w:cs="Arial" w:eastAsia="Arial" w:hAnsi="Arial"/>
          <w:sz w:val="19"/>
          <w:szCs w:val="19"/>
          <w:u w:val="single" w:color="auto"/>
          <w:color w:val="auto"/>
        </w:rPr>
        <w:t>Incremental Facility Request</w:t>
      </w:r>
      <w:r>
        <w:rPr>
          <w:rFonts w:ascii="Arial" w:cs="Arial" w:eastAsia="Arial" w:hAnsi="Arial"/>
          <w:sz w:val="19"/>
          <w:szCs w:val="19"/>
          <w:color w:val="auto"/>
        </w:rPr>
        <w:t>”), request to add one or more additional tranches of incremental term loan facilities and/or increase the principal amount of the Loans of any existing Class (each, an “Incremental Term Loan Commitment” and the term loans thereunder, an “Incremental Term Loan”; each Incremental Term Loan Commitment is sometimes referred to herein individually as an “Incremental Facility” and collectively as the “Incremental Facilities”); provided, that the Aggregate Incremental Amount shall not exceed the Incremental Cap. Any Incremental Term Loan Commitment may be provided by, subject to Section 2.08(c)(v), (A) any existing Lender or any Affiliate of any Lender and/or (B) any other Person other than any natural person, any Loan Party or to any Affiliate of any Loan Party, or any Person that is a Disqualified Institution (any such Person that provides an Incremental Term Loan Commitment in accordance with this Section 2.08, including, without limitation, clause (c)(v) hereof, an “Incremental Term Loan Lender”). No Lender shall be obligated to provide any Incremental Facility, and the determination to provide such commitments shall be within the sole and absolute discretion of such Lender. Such Incremental Facility Request shall set forth (i) the amount of the Incremental Term Loan Commitment being requested, (ii) the date (an “Incremental Effective Date”) on which such Incremental Facility is requested to become effective (which, unless otherwise agreed by Administrative Agent, shall not be less than ten (10) Business Days nor more than sixty (60) days after the date of such notice), and (iii) the Borrower’s proposed potential lenders thereof.</w:t>
      </w:r>
    </w:p>
    <w:p>
      <w:pPr>
        <w:spacing w:after="0" w:line="161" w:lineRule="exact"/>
        <w:rPr>
          <w:rFonts w:ascii="Arial" w:cs="Arial" w:eastAsia="Arial" w:hAnsi="Arial"/>
          <w:sz w:val="19"/>
          <w:szCs w:val="19"/>
          <w:color w:val="auto"/>
        </w:rPr>
      </w:pPr>
    </w:p>
    <w:p>
      <w:pPr>
        <w:jc w:val="both"/>
        <w:ind w:left="-1120" w:firstLine="1952"/>
        <w:spacing w:after="0" w:line="229" w:lineRule="auto"/>
        <w:tabs>
          <w:tab w:leader="none" w:pos="1529" w:val="left"/>
        </w:tabs>
        <w:numPr>
          <w:ilvl w:val="0"/>
          <w:numId w:val="84"/>
        </w:numPr>
        <w:rPr>
          <w:rFonts w:ascii="Arial" w:cs="Arial" w:eastAsia="Arial" w:hAnsi="Arial"/>
          <w:sz w:val="21"/>
          <w:szCs w:val="21"/>
          <w:color w:val="auto"/>
        </w:rPr>
      </w:pPr>
      <w:r>
        <w:rPr>
          <w:rFonts w:ascii="Arial" w:cs="Arial" w:eastAsia="Arial" w:hAnsi="Arial"/>
          <w:sz w:val="21"/>
          <w:szCs w:val="21"/>
          <w:color w:val="auto"/>
        </w:rPr>
        <w:t>Each Incremental Facility and each Incremental Term Loan Lender’s obligation to fund the Incremental Term Loans thereunder shall become effective as of the Incremental Effective Date of such Incremental Facility so long as, after giving effect to such Incremental Facility, the Incremental Term Loans to be made thereunder (assuming that the entire amount of such Incremental Facility is funded), and the application of the proceeds therefrom:</w:t>
      </w:r>
    </w:p>
    <w:p>
      <w:pPr>
        <w:spacing w:after="0" w:line="158" w:lineRule="exact"/>
        <w:rPr>
          <w:rFonts w:ascii="Arial" w:cs="Arial" w:eastAsia="Arial" w:hAnsi="Arial"/>
          <w:sz w:val="21"/>
          <w:szCs w:val="21"/>
          <w:color w:val="auto"/>
        </w:rPr>
      </w:pPr>
    </w:p>
    <w:p>
      <w:pPr>
        <w:ind w:left="-460" w:firstLine="1940"/>
        <w:spacing w:after="0" w:line="247" w:lineRule="auto"/>
        <w:tabs>
          <w:tab w:leader="none" w:pos="1916"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1.12</w:t>
      </w:r>
      <w:r>
        <w:rPr>
          <w:rFonts w:ascii="Arial" w:cs="Arial" w:eastAsia="Arial" w:hAnsi="Arial"/>
          <w:sz w:val="21"/>
          <w:szCs w:val="21"/>
          <w:color w:val="auto"/>
        </w:rPr>
        <w:t>, no Default or Event of Default shall exist immediately prior to or after giving effect to such Incremental Facility and the funding of the Incremental Term Loans thereunder;</w:t>
      </w:r>
    </w:p>
    <w:p>
      <w:pPr>
        <w:spacing w:after="0" w:line="150" w:lineRule="exact"/>
        <w:rPr>
          <w:rFonts w:ascii="Arial" w:cs="Arial" w:eastAsia="Arial" w:hAnsi="Arial"/>
          <w:sz w:val="21"/>
          <w:szCs w:val="21"/>
          <w:color w:val="auto"/>
        </w:rPr>
      </w:pPr>
    </w:p>
    <w:p>
      <w:pPr>
        <w:jc w:val="both"/>
        <w:ind w:left="-460" w:firstLine="1940"/>
        <w:spacing w:after="0" w:line="222" w:lineRule="auto"/>
        <w:tabs>
          <w:tab w:leader="none" w:pos="1983"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 representations and warranties of the Loan Parties set forth in this Loan Agreement and each other Loan Document, shall be true and correct in all material respects on and as of the Incremental Effective Date (except to the extent that any such representation or warranty is expressly stated to have been made as of an earlier date, in which case, such representation or warranty shall be true and correct in all material respects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64" w:lineRule="exact"/>
        <w:rPr>
          <w:rFonts w:ascii="Arial" w:cs="Arial" w:eastAsia="Arial" w:hAnsi="Arial"/>
          <w:sz w:val="21"/>
          <w:szCs w:val="21"/>
          <w:color w:val="auto"/>
        </w:rPr>
      </w:pPr>
    </w:p>
    <w:p>
      <w:pPr>
        <w:ind w:left="-460" w:firstLine="1940"/>
        <w:spacing w:after="0" w:line="232" w:lineRule="auto"/>
        <w:tabs>
          <w:tab w:leader="none" w:pos="2092" w:val="left"/>
        </w:tabs>
        <w:numPr>
          <w:ilvl w:val="1"/>
          <w:numId w:val="8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1.12</w:t>
      </w:r>
      <w:r>
        <w:rPr>
          <w:rFonts w:ascii="Arial" w:cs="Arial" w:eastAsia="Arial" w:hAnsi="Arial"/>
          <w:sz w:val="22"/>
          <w:szCs w:val="22"/>
          <w:color w:val="auto"/>
        </w:rPr>
        <w:t>, no event, change or condition shall have occurred since December 31, 2019 that has had or could reasonably be expected to have a Material Adverse Effect;</w:t>
      </w:r>
    </w:p>
    <w:p>
      <w:pPr>
        <w:spacing w:after="0" w:line="158" w:lineRule="exact"/>
        <w:rPr>
          <w:rFonts w:ascii="Arial" w:cs="Arial" w:eastAsia="Arial" w:hAnsi="Arial"/>
          <w:sz w:val="22"/>
          <w:szCs w:val="22"/>
          <w:color w:val="auto"/>
        </w:rPr>
      </w:pPr>
    </w:p>
    <w:p>
      <w:pPr>
        <w:ind w:left="-460" w:firstLine="1940"/>
        <w:spacing w:after="0" w:line="298" w:lineRule="auto"/>
        <w:tabs>
          <w:tab w:leader="none" w:pos="2104"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as of the last day of the most recently completed Test Period, the Total Net Leverage Ratio recomputed on a pro forma basis for such Incremental Term Loans shall not exceed 3.50:1.00;</w:t>
      </w:r>
    </w:p>
    <w:p>
      <w:pPr>
        <w:spacing w:after="0" w:line="105" w:lineRule="exact"/>
        <w:rPr>
          <w:rFonts w:ascii="Arial" w:cs="Arial" w:eastAsia="Arial" w:hAnsi="Arial"/>
          <w:sz w:val="19"/>
          <w:szCs w:val="19"/>
          <w:color w:val="auto"/>
        </w:rPr>
      </w:pPr>
    </w:p>
    <w:p>
      <w:pPr>
        <w:ind w:left="1940" w:hanging="460"/>
        <w:spacing w:after="0"/>
        <w:tabs>
          <w:tab w:leader="none" w:pos="1940"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the proceeds of such Incremental Term Loan shall be used in accordance with </w:t>
      </w:r>
      <w:r>
        <w:rPr>
          <w:rFonts w:ascii="Arial" w:cs="Arial" w:eastAsia="Arial" w:hAnsi="Arial"/>
          <w:sz w:val="19"/>
          <w:szCs w:val="19"/>
          <w:u w:val="single" w:color="auto"/>
          <w:color w:val="auto"/>
        </w:rPr>
        <w:t>Section 8.12</w:t>
      </w:r>
      <w:r>
        <w:rPr>
          <w:rFonts w:ascii="Arial" w:cs="Arial" w:eastAsia="Arial" w:hAnsi="Arial"/>
          <w:sz w:val="19"/>
          <w:szCs w:val="19"/>
          <w:color w:val="auto"/>
        </w:rPr>
        <w:t>;</w:t>
      </w:r>
    </w:p>
    <w:p>
      <w:pPr>
        <w:sectPr>
          <w:pgSz w:w="11900" w:h="16838" w:orient="portrait"/>
          <w:cols w:equalWidth="0" w:num="1">
            <w:col w:w="10120"/>
          </w:cols>
          <w:pgMar w:left="1440" w:top="1440" w:right="339" w:bottom="1440" w:gutter="0" w:footer="0" w:header="0"/>
        </w:sectPr>
      </w:pPr>
    </w:p>
    <w:bookmarkStart w:id="112" w:name="page113"/>
    <w:bookmarkEnd w:id="112"/>
    <w:p>
      <w:pPr>
        <w:spacing w:after="0" w:line="177" w:lineRule="exact"/>
        <w:rPr>
          <w:sz w:val="20"/>
          <w:szCs w:val="20"/>
          <w:color w:val="auto"/>
        </w:rPr>
      </w:pPr>
    </w:p>
    <w:p>
      <w:pPr>
        <w:jc w:val="both"/>
        <w:ind w:left="-460" w:firstLine="1940"/>
        <w:spacing w:after="0" w:line="218" w:lineRule="auto"/>
        <w:tabs>
          <w:tab w:leader="none" w:pos="2102" w:val="left"/>
        </w:tabs>
        <w:numPr>
          <w:ilvl w:val="1"/>
          <w:numId w:val="85"/>
        </w:numPr>
        <w:rPr>
          <w:rFonts w:ascii="Arial" w:cs="Arial" w:eastAsia="Arial" w:hAnsi="Arial"/>
          <w:sz w:val="22"/>
          <w:szCs w:val="22"/>
          <w:color w:val="auto"/>
        </w:rPr>
      </w:pPr>
      <w:r>
        <w:rPr>
          <w:rFonts w:ascii="Arial" w:cs="Arial" w:eastAsia="Arial" w:hAnsi="Arial"/>
          <w:sz w:val="22"/>
          <w:szCs w:val="22"/>
          <w:color w:val="auto"/>
        </w:rPr>
        <w:t>on the Incremental Effective Date of such Incremental Facility, after giving effect thereto, Hayfin Lenders collectively hold not less than 50.1% of the aggregate outstanding principal amount of the Loans (including such Incremental Term Loan (which, for purposes of this clause (vi), shall be deemed fully funded on such Incremental Effective Date); and</w:t>
      </w:r>
    </w:p>
    <w:p>
      <w:pPr>
        <w:spacing w:after="0" w:line="160" w:lineRule="exact"/>
        <w:rPr>
          <w:rFonts w:ascii="Arial" w:cs="Arial" w:eastAsia="Arial" w:hAnsi="Arial"/>
          <w:sz w:val="22"/>
          <w:szCs w:val="22"/>
          <w:color w:val="auto"/>
        </w:rPr>
      </w:pPr>
    </w:p>
    <w:p>
      <w:pPr>
        <w:ind w:left="2060" w:hanging="580"/>
        <w:spacing w:after="0"/>
        <w:tabs>
          <w:tab w:leader="none" w:pos="20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Administrative Agent shall have received:</w:t>
      </w:r>
    </w:p>
    <w:p>
      <w:pPr>
        <w:spacing w:after="0" w:line="179" w:lineRule="exact"/>
        <w:rPr>
          <w:rFonts w:ascii="Arial" w:cs="Arial" w:eastAsia="Arial" w:hAnsi="Arial"/>
          <w:sz w:val="22"/>
          <w:szCs w:val="22"/>
          <w:color w:val="auto"/>
        </w:rPr>
      </w:pPr>
    </w:p>
    <w:p>
      <w:pPr>
        <w:ind w:left="180" w:firstLine="1948"/>
        <w:spacing w:after="0" w:line="232" w:lineRule="auto"/>
        <w:tabs>
          <w:tab w:leader="none" w:pos="2777"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Incremental Facility Request that sets forth the requested amount and proposed terms of the requested Incremental Facility and the Incremental Effective Date;</w:t>
      </w:r>
    </w:p>
    <w:p>
      <w:pPr>
        <w:spacing w:after="0" w:line="158" w:lineRule="exact"/>
        <w:rPr>
          <w:rFonts w:ascii="Arial" w:cs="Arial" w:eastAsia="Arial" w:hAnsi="Arial"/>
          <w:sz w:val="22"/>
          <w:szCs w:val="22"/>
          <w:color w:val="auto"/>
        </w:rPr>
      </w:pPr>
    </w:p>
    <w:p>
      <w:pPr>
        <w:ind w:left="2720" w:hanging="592"/>
        <w:spacing w:after="0"/>
        <w:tabs>
          <w:tab w:leader="none" w:pos="2720" w:val="left"/>
        </w:tabs>
        <w:numPr>
          <w:ilvl w:val="2"/>
          <w:numId w:val="85"/>
        </w:numPr>
        <w:rPr>
          <w:rFonts w:ascii="Arial" w:cs="Arial" w:eastAsia="Arial" w:hAnsi="Arial"/>
          <w:sz w:val="19"/>
          <w:szCs w:val="19"/>
          <w:color w:val="auto"/>
        </w:rPr>
      </w:pPr>
      <w:r>
        <w:rPr>
          <w:rFonts w:ascii="Arial" w:cs="Arial" w:eastAsia="Arial" w:hAnsi="Arial"/>
          <w:sz w:val="19"/>
          <w:szCs w:val="19"/>
          <w:color w:val="auto"/>
        </w:rPr>
        <w:t>a certificate of a Responsible Officer certifying as to the foregoing clauses (i), (ii),</w:t>
      </w:r>
    </w:p>
    <w:p>
      <w:pPr>
        <w:spacing w:after="0" w:line="15"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(iii), (iv) and (v);</w:t>
      </w:r>
    </w:p>
    <w:p>
      <w:pPr>
        <w:spacing w:after="0" w:line="161" w:lineRule="exact"/>
        <w:rPr>
          <w:rFonts w:ascii="Arial" w:cs="Arial" w:eastAsia="Arial" w:hAnsi="Arial"/>
          <w:sz w:val="19"/>
          <w:szCs w:val="19"/>
          <w:color w:val="auto"/>
        </w:rPr>
      </w:pPr>
    </w:p>
    <w:p>
      <w:pPr>
        <w:jc w:val="both"/>
        <w:ind w:left="180" w:firstLine="1948"/>
        <w:spacing w:after="0" w:line="218" w:lineRule="auto"/>
        <w:tabs>
          <w:tab w:leader="none" w:pos="2729" w:val="left"/>
        </w:tabs>
        <w:numPr>
          <w:ilvl w:val="2"/>
          <w:numId w:val="85"/>
        </w:numPr>
        <w:rPr>
          <w:rFonts w:ascii="Arial" w:cs="Arial" w:eastAsia="Arial" w:hAnsi="Arial"/>
          <w:sz w:val="22"/>
          <w:szCs w:val="22"/>
          <w:color w:val="auto"/>
        </w:rPr>
      </w:pPr>
      <w:r>
        <w:rPr>
          <w:rFonts w:ascii="Arial" w:cs="Arial" w:eastAsia="Arial" w:hAnsi="Arial"/>
          <w:sz w:val="22"/>
          <w:szCs w:val="22"/>
          <w:color w:val="auto"/>
        </w:rPr>
        <w:t>a Solvency Certificate substantially in the form of Exhibit G duly executed by the chief financial officer of the Borrower confirming the Solvency of the Borrower and of each of the other Loan Parties and their Subsidiaries, taken as a whole, after giving effect to Borrowing of such Incremental Term Loans and the application of the proceeds thereof;</w:t>
      </w:r>
    </w:p>
    <w:p>
      <w:pPr>
        <w:spacing w:after="0" w:line="160" w:lineRule="exact"/>
        <w:rPr>
          <w:rFonts w:ascii="Arial" w:cs="Arial" w:eastAsia="Arial" w:hAnsi="Arial"/>
          <w:sz w:val="22"/>
          <w:szCs w:val="22"/>
          <w:color w:val="auto"/>
        </w:rPr>
      </w:pPr>
    </w:p>
    <w:p>
      <w:pPr>
        <w:jc w:val="both"/>
        <w:ind w:left="180" w:firstLine="1948"/>
        <w:spacing w:after="0" w:line="218" w:lineRule="auto"/>
        <w:tabs>
          <w:tab w:leader="none" w:pos="2763" w:val="left"/>
        </w:tabs>
        <w:numPr>
          <w:ilvl w:val="2"/>
          <w:numId w:val="85"/>
        </w:numPr>
        <w:rPr>
          <w:rFonts w:ascii="Arial" w:cs="Arial" w:eastAsia="Arial" w:hAnsi="Arial"/>
          <w:sz w:val="22"/>
          <w:szCs w:val="22"/>
          <w:color w:val="auto"/>
        </w:rPr>
      </w:pPr>
      <w:r>
        <w:rPr>
          <w:rFonts w:ascii="Arial" w:cs="Arial" w:eastAsia="Arial" w:hAnsi="Arial"/>
          <w:sz w:val="22"/>
          <w:szCs w:val="22"/>
          <w:color w:val="auto"/>
        </w:rPr>
        <w:t>legal opinions with respect to customary matters, board resolutions, Notes (to the extent requested by the applicable Incremental Term Loan Lenders) and other customary closing certificates reasonably requested by the Administrative Agent, in each case consistent with those delivered on the Closing Date;</w:t>
      </w:r>
    </w:p>
    <w:p>
      <w:pPr>
        <w:spacing w:after="0" w:line="160" w:lineRule="exact"/>
        <w:rPr>
          <w:rFonts w:ascii="Arial" w:cs="Arial" w:eastAsia="Arial" w:hAnsi="Arial"/>
          <w:sz w:val="22"/>
          <w:szCs w:val="22"/>
          <w:color w:val="auto"/>
        </w:rPr>
      </w:pPr>
    </w:p>
    <w:p>
      <w:pPr>
        <w:ind w:left="2640" w:hanging="512"/>
        <w:spacing w:after="0"/>
        <w:tabs>
          <w:tab w:leader="none" w:pos="2640" w:val="left"/>
        </w:tabs>
        <w:numPr>
          <w:ilvl w:val="2"/>
          <w:numId w:val="85"/>
        </w:numPr>
        <w:rPr>
          <w:rFonts w:ascii="Arial" w:cs="Arial" w:eastAsia="Arial" w:hAnsi="Arial"/>
          <w:sz w:val="19"/>
          <w:szCs w:val="19"/>
          <w:color w:val="auto"/>
        </w:rPr>
      </w:pPr>
      <w:r>
        <w:rPr>
          <w:rFonts w:ascii="Arial" w:cs="Arial" w:eastAsia="Arial" w:hAnsi="Arial"/>
          <w:sz w:val="19"/>
          <w:szCs w:val="19"/>
          <w:color w:val="auto"/>
        </w:rPr>
        <w:t>guaranty and Lien reaffirmations as may be reasonably be requested by the Collateral</w:t>
      </w:r>
    </w:p>
    <w:p>
      <w:pPr>
        <w:spacing w:after="0" w:line="15"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Agent; and</w:t>
      </w:r>
    </w:p>
    <w:p>
      <w:pPr>
        <w:spacing w:after="0" w:line="161" w:lineRule="exact"/>
        <w:rPr>
          <w:rFonts w:ascii="Arial" w:cs="Arial" w:eastAsia="Arial" w:hAnsi="Arial"/>
          <w:sz w:val="19"/>
          <w:szCs w:val="19"/>
          <w:color w:val="auto"/>
        </w:rPr>
      </w:pPr>
    </w:p>
    <w:p>
      <w:pPr>
        <w:jc w:val="both"/>
        <w:ind w:left="180" w:firstLine="1948"/>
        <w:spacing w:after="0" w:line="218" w:lineRule="auto"/>
        <w:tabs>
          <w:tab w:leader="none" w:pos="2663" w:val="left"/>
        </w:tabs>
        <w:numPr>
          <w:ilvl w:val="2"/>
          <w:numId w:val="85"/>
        </w:numPr>
        <w:rPr>
          <w:rFonts w:ascii="Arial" w:cs="Arial" w:eastAsia="Arial" w:hAnsi="Arial"/>
          <w:sz w:val="22"/>
          <w:szCs w:val="22"/>
          <w:color w:val="auto"/>
        </w:rPr>
      </w:pPr>
      <w:r>
        <w:rPr>
          <w:rFonts w:ascii="Arial" w:cs="Arial" w:eastAsia="Arial" w:hAnsi="Arial"/>
          <w:sz w:val="22"/>
          <w:szCs w:val="22"/>
          <w:color w:val="auto"/>
        </w:rPr>
        <w:t>from each proposed Incremental Term Loan Lender that is not (immediately prior to the effectiveness of the Incremental Facility) a Lender, an Administrative Questionnaire and such other documents, information and forms (including, without limitation, tax forms) as the Administrative Agent may request from such proposed Incremental Term Loan Lender.</w:t>
      </w:r>
    </w:p>
    <w:p>
      <w:pPr>
        <w:spacing w:after="0" w:line="160" w:lineRule="exact"/>
        <w:rPr>
          <w:rFonts w:ascii="Arial" w:cs="Arial" w:eastAsia="Arial" w:hAnsi="Arial"/>
          <w:sz w:val="22"/>
          <w:szCs w:val="22"/>
          <w:color w:val="auto"/>
        </w:rPr>
      </w:pPr>
    </w:p>
    <w:p>
      <w:pPr>
        <w:ind w:left="1280" w:hanging="448"/>
        <w:spacing w:after="0"/>
        <w:tabs>
          <w:tab w:leader="none" w:pos="12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Terms.</w:t>
      </w:r>
    </w:p>
    <w:p>
      <w:pPr>
        <w:spacing w:after="0" w:line="179" w:lineRule="exact"/>
        <w:rPr>
          <w:rFonts w:ascii="Arial" w:cs="Arial" w:eastAsia="Arial" w:hAnsi="Arial"/>
          <w:sz w:val="22"/>
          <w:szCs w:val="22"/>
          <w:color w:val="auto"/>
        </w:rPr>
      </w:pPr>
    </w:p>
    <w:p>
      <w:pPr>
        <w:jc w:val="both"/>
        <w:ind w:left="-460" w:firstLine="1940"/>
        <w:spacing w:after="0" w:line="222" w:lineRule="auto"/>
        <w:tabs>
          <w:tab w:leader="none" w:pos="1939"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final maturity date of any Incremental Term Loan that is a separate Class from the Initial Loans (a “</w:t>
      </w:r>
      <w:r>
        <w:rPr>
          <w:rFonts w:ascii="Arial" w:cs="Arial" w:eastAsia="Arial" w:hAnsi="Arial"/>
          <w:sz w:val="21"/>
          <w:szCs w:val="21"/>
          <w:u w:val="single" w:color="auto"/>
          <w:color w:val="auto"/>
        </w:rPr>
        <w:t>Additional Incremental Term Loan</w:t>
      </w:r>
      <w:r>
        <w:rPr>
          <w:rFonts w:ascii="Arial" w:cs="Arial" w:eastAsia="Arial" w:hAnsi="Arial"/>
          <w:sz w:val="21"/>
          <w:szCs w:val="21"/>
          <w:color w:val="auto"/>
        </w:rPr>
        <w:t>”; any Lender that holds an Additional Incremental Term Loan, a “</w:t>
      </w:r>
      <w:r>
        <w:rPr>
          <w:rFonts w:ascii="Arial" w:cs="Arial" w:eastAsia="Arial" w:hAnsi="Arial"/>
          <w:sz w:val="21"/>
          <w:szCs w:val="21"/>
          <w:u w:val="single" w:color="auto"/>
          <w:color w:val="auto"/>
        </w:rPr>
        <w:t>Additional Incremental Term Loan Lender</w:t>
      </w:r>
      <w:r>
        <w:rPr>
          <w:rFonts w:ascii="Arial" w:cs="Arial" w:eastAsia="Arial" w:hAnsi="Arial"/>
          <w:sz w:val="21"/>
          <w:szCs w:val="21"/>
          <w:color w:val="auto"/>
        </w:rPr>
        <w:t>”) shall be no earlier than the Initial Loan Maturity Date and the Weighted Average Life to Maturity of any such Incremental Term Loan shall not be shorter than the Weighted Average Life to Maturity of any then-existing Class of the Initial Loans (prior to any extension thereto). Such pricing and maturity date with respect to any Additional Incremental Term Loan shall be set forth in the applicable Incremental Joinder Agreement (any such maturity date, a “</w:t>
      </w:r>
      <w:r>
        <w:rPr>
          <w:rFonts w:ascii="Arial" w:cs="Arial" w:eastAsia="Arial" w:hAnsi="Arial"/>
          <w:sz w:val="21"/>
          <w:szCs w:val="21"/>
          <w:u w:val="single" w:color="auto"/>
          <w:color w:val="auto"/>
        </w:rPr>
        <w:t>Additional Incremental Term Loan Maturity Date</w:t>
      </w:r>
      <w:r>
        <w:rPr>
          <w:rFonts w:ascii="Arial" w:cs="Arial" w:eastAsia="Arial" w:hAnsi="Arial"/>
          <w:sz w:val="21"/>
          <w:szCs w:val="21"/>
          <w:color w:val="auto"/>
        </w:rPr>
        <w:t>”).</w:t>
      </w:r>
    </w:p>
    <w:p>
      <w:pPr>
        <w:spacing w:after="0" w:line="164" w:lineRule="exact"/>
        <w:rPr>
          <w:rFonts w:ascii="Arial" w:cs="Arial" w:eastAsia="Arial" w:hAnsi="Arial"/>
          <w:sz w:val="21"/>
          <w:szCs w:val="21"/>
          <w:color w:val="auto"/>
        </w:rPr>
      </w:pPr>
    </w:p>
    <w:p>
      <w:pPr>
        <w:jc w:val="both"/>
        <w:ind w:left="-460" w:firstLine="1940"/>
        <w:spacing w:after="0" w:line="218" w:lineRule="auto"/>
        <w:tabs>
          <w:tab w:leader="none" w:pos="19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interest rate (including margin and floors) applicable to any Incremental Term Loans will be determined by the Borrower and the Lenders providing such Incremental Term Loans. If the initial all-in yield (including interest rate margins, any interest rate floors, original issue discount and upfront fees (based on the lesser of a four-year average life to maturity or the remaining life to maturity),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-5155565</wp:posOffset>
            </wp:positionV>
            <wp:extent cx="450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5085"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13" w:name="page114"/>
    <w:bookmarkEnd w:id="113"/>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excluding arrangement, structuring and underwriting fees with respect to such Incremental Term Loan) applicable to any Incremental Term Loan exceeds by more than 0.50% per annum the corresponding all-in yield (determined on the same basis) applicable to the then outstanding Initial Term Loans, the DDTLs, or any outstanding prior Incremental Term Loan to the extent consisting of Initial Loans (each, an “</w:t>
      </w:r>
      <w:r>
        <w:rPr>
          <w:rFonts w:ascii="Arial" w:cs="Arial" w:eastAsia="Arial" w:hAnsi="Arial"/>
          <w:sz w:val="19"/>
          <w:szCs w:val="19"/>
          <w:u w:val="single" w:color="auto"/>
          <w:color w:val="auto"/>
        </w:rPr>
        <w:t>Existing Facility</w:t>
      </w:r>
      <w:r>
        <w:rPr>
          <w:rFonts w:ascii="Arial" w:cs="Arial" w:eastAsia="Arial" w:hAnsi="Arial"/>
          <w:sz w:val="19"/>
          <w:szCs w:val="19"/>
          <w:color w:val="auto"/>
        </w:rPr>
        <w:t>” and the amount of such excess above 0.50% being referred to herein as the “</w:t>
      </w:r>
      <w:r>
        <w:rPr>
          <w:rFonts w:ascii="Arial" w:cs="Arial" w:eastAsia="Arial" w:hAnsi="Arial"/>
          <w:sz w:val="19"/>
          <w:szCs w:val="19"/>
          <w:u w:val="single" w:color="auto"/>
          <w:color w:val="auto"/>
        </w:rPr>
        <w:t>Yield Differential</w:t>
      </w:r>
      <w:r>
        <w:rPr>
          <w:rFonts w:ascii="Arial" w:cs="Arial" w:eastAsia="Arial" w:hAnsi="Arial"/>
          <w:sz w:val="19"/>
          <w:szCs w:val="19"/>
          <w:color w:val="auto"/>
        </w:rPr>
        <w:t xml:space="preserve">”), then the Applicable Margin with respect to each Existing Facility, as the case may be, shall automatically be increased by the Yield Differential, effective upon the making of such Incremental Term Loan (it being agreed that to the extent the all-in-yield with respect to such Incremental Term Loan is greater than the all-in-yield of an Existing Facility solely as a result of a higher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floor, then the increased interest rate applicable to an Existing Facility shall be effected solely by increasing the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floor applicable thereto.</w:t>
      </w:r>
    </w:p>
    <w:p>
      <w:pPr>
        <w:spacing w:after="0" w:line="161" w:lineRule="exact"/>
        <w:rPr>
          <w:sz w:val="20"/>
          <w:szCs w:val="20"/>
          <w:color w:val="auto"/>
        </w:rPr>
      </w:pPr>
    </w:p>
    <w:p>
      <w:pPr>
        <w:jc w:val="both"/>
        <w:ind w:firstLine="1940"/>
        <w:spacing w:after="0" w:line="223" w:lineRule="auto"/>
        <w:tabs>
          <w:tab w:leader="none" w:pos="2679" w:val="left"/>
        </w:tabs>
        <w:numPr>
          <w:ilvl w:val="1"/>
          <w:numId w:val="87"/>
        </w:numPr>
        <w:rPr>
          <w:rFonts w:ascii="Arial" w:cs="Arial" w:eastAsia="Arial" w:hAnsi="Arial"/>
          <w:sz w:val="22"/>
          <w:szCs w:val="22"/>
          <w:color w:val="auto"/>
        </w:rPr>
      </w:pPr>
      <w:r>
        <w:rPr>
          <w:rFonts w:ascii="Arial" w:cs="Arial" w:eastAsia="Arial" w:hAnsi="Arial"/>
          <w:sz w:val="22"/>
          <w:szCs w:val="22"/>
          <w:color w:val="auto"/>
        </w:rPr>
        <w:t>Except with respect to pricing and final maturity as set forth in this clause (c), each Incremental Term Loan shall be on the same terms as the Initial Term Loans (including, without limitation, with respect to any mandatory prepayments).</w:t>
      </w:r>
    </w:p>
    <w:p>
      <w:pPr>
        <w:spacing w:after="0" w:line="158" w:lineRule="exact"/>
        <w:rPr>
          <w:rFonts w:ascii="Arial" w:cs="Arial" w:eastAsia="Arial" w:hAnsi="Arial"/>
          <w:sz w:val="22"/>
          <w:szCs w:val="22"/>
          <w:color w:val="auto"/>
        </w:rPr>
      </w:pPr>
    </w:p>
    <w:p>
      <w:pPr>
        <w:ind w:firstLine="1940"/>
        <w:spacing w:after="0" w:line="232" w:lineRule="auto"/>
        <w:tabs>
          <w:tab w:leader="none" w:pos="2573"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Incremental Term Loans may be repaid or prepaid in accordance with the terms and conditions hereof, but once repaid or prepaid may not be re-borrowed.</w:t>
      </w:r>
    </w:p>
    <w:p>
      <w:pPr>
        <w:spacing w:after="0" w:line="158" w:lineRule="exact"/>
        <w:rPr>
          <w:rFonts w:ascii="Arial" w:cs="Arial" w:eastAsia="Arial" w:hAnsi="Arial"/>
          <w:sz w:val="22"/>
          <w:szCs w:val="22"/>
          <w:color w:val="auto"/>
        </w:rPr>
      </w:pPr>
    </w:p>
    <w:p>
      <w:pPr>
        <w:jc w:val="both"/>
        <w:ind w:firstLine="1940"/>
        <w:spacing w:after="0" w:line="218" w:lineRule="auto"/>
        <w:tabs>
          <w:tab w:leader="none" w:pos="2522" w:val="left"/>
        </w:tabs>
        <w:numPr>
          <w:ilvl w:val="1"/>
          <w:numId w:val="87"/>
        </w:numPr>
        <w:rPr>
          <w:rFonts w:ascii="Arial" w:cs="Arial" w:eastAsia="Arial" w:hAnsi="Arial"/>
          <w:sz w:val="21"/>
          <w:szCs w:val="21"/>
          <w:color w:val="auto"/>
        </w:rPr>
      </w:pPr>
      <w:r>
        <w:rPr>
          <w:rFonts w:ascii="Arial" w:cs="Arial" w:eastAsia="Arial" w:hAnsi="Arial"/>
          <w:sz w:val="21"/>
          <w:szCs w:val="21"/>
          <w:color w:val="auto"/>
        </w:rPr>
        <w:t xml:space="preserve">Each Hayfin Lender shall be afforded a right of first refusal to provide its </w:t>
      </w:r>
      <w:r>
        <w:rPr>
          <w:rFonts w:ascii="Arial" w:cs="Arial" w:eastAsia="Arial" w:hAnsi="Arial"/>
          <w:sz w:val="21"/>
          <w:szCs w:val="21"/>
          <w:i w:val="1"/>
          <w:iCs w:val="1"/>
          <w:color w:val="auto"/>
        </w:rPr>
        <w:t>pro rata share</w:t>
      </w:r>
      <w:r>
        <w:rPr>
          <w:rFonts w:ascii="Arial" w:cs="Arial" w:eastAsia="Arial" w:hAnsi="Arial"/>
          <w:sz w:val="21"/>
          <w:szCs w:val="21"/>
          <w:color w:val="auto"/>
        </w:rPr>
        <w:t xml:space="preserve"> (calculated on the basis solely of the then outstanding Loans and unused Commitments of all Hayfin Lenders) of any Incremental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written notice to the Administrative Agent and the Borrower prior to the closing of the applicable Incremental Facility, the Hayfin Lenders may agree to allocate all or some of such Incremental Facility in a non-pro rata manner amongst all or some of the Hayfin Lenders or other Hayfin Parties. In the event that the Hayfin Lenders (or other Hayfin Parties) decline to commit, or fail to commit within fifteen (15) Business Days of the Borrower’s written request to the Hayfin Lenders, to provide the entire requested amount of any Incremental Facility, the Borrower may, with the prior written consent of the Administrative Agent (not to be unreasonably withheld, conditioned or delayed), seek one or more new Persons (except any natural person, any Loan Party or to any Affiliate of any Loan Party, or any Person that is a Disqualified Institution) to be added as Incremental Term Loan Lenders for purposes of providing the portion of such Incremental Term Loan Commitment in such Incremental Facility not so provided by the Hayfin Lenders (or other Hayfin Parties). Notwithstanding anything to the contrary contained in this </w:t>
      </w:r>
      <w:r>
        <w:rPr>
          <w:rFonts w:ascii="Arial" w:cs="Arial" w:eastAsia="Arial" w:hAnsi="Arial"/>
          <w:sz w:val="21"/>
          <w:szCs w:val="21"/>
          <w:u w:val="single" w:color="auto"/>
          <w:color w:val="auto"/>
        </w:rPr>
        <w:t>Section 2.08</w:t>
      </w:r>
      <w:r>
        <w:rPr>
          <w:rFonts w:ascii="Arial" w:cs="Arial" w:eastAsia="Arial" w:hAnsi="Arial"/>
          <w:sz w:val="21"/>
          <w:szCs w:val="21"/>
          <w:color w:val="auto"/>
        </w:rPr>
        <w:t>, for purposes of this clause (c)(v), the Hayfin Lenders shall be afforded a period of at least fifteen (15) consecutive Business Days to consider the final terms, economics, conditions and documentation of any proposed Incremental Facility proposed by the Borrower and determine whether to participate (or select another Hayfin Party to participate) in such Incremental Facility.</w:t>
      </w:r>
    </w:p>
    <w:p>
      <w:pPr>
        <w:spacing w:after="0" w:line="162" w:lineRule="exact"/>
        <w:rPr>
          <w:rFonts w:ascii="Arial" w:cs="Arial" w:eastAsia="Arial" w:hAnsi="Arial"/>
          <w:sz w:val="21"/>
          <w:szCs w:val="21"/>
          <w:color w:val="auto"/>
        </w:rPr>
      </w:pPr>
    </w:p>
    <w:p>
      <w:pPr>
        <w:jc w:val="both"/>
        <w:ind w:left="-660" w:firstLine="1952"/>
        <w:spacing w:after="0" w:line="222" w:lineRule="auto"/>
        <w:tabs>
          <w:tab w:leader="none" w:pos="1809"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Required Amendments</w:t>
      </w:r>
      <w:r>
        <w:rPr>
          <w:rFonts w:ascii="Arial" w:cs="Arial" w:eastAsia="Arial" w:hAnsi="Arial"/>
          <w:sz w:val="21"/>
          <w:szCs w:val="21"/>
          <w:color w:val="auto"/>
        </w:rPr>
        <w:t>. Each of the parties hereto hereby agrees that, upon the effectiveness of any Incremental Facility, this Loan Agreement shall be amended to the extent (but only to the extent) necessary to reflect the existence of such Incremental Facility and the Incremental Term Loans evidenced thereby, and any joinder agreement or amendment by Borrower, each existing Lender providing the Incremental Term Loan Commitment under such Incremental Facility and the other Incremental Term Loan Lender under such Incremental Facility (each an “</w:t>
      </w:r>
      <w:r>
        <w:rPr>
          <w:rFonts w:ascii="Arial" w:cs="Arial" w:eastAsia="Arial" w:hAnsi="Arial"/>
          <w:sz w:val="21"/>
          <w:szCs w:val="21"/>
          <w:u w:val="single" w:color="auto"/>
          <w:color w:val="auto"/>
        </w:rPr>
        <w:t>Incremental Joinder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may, without the consent of any other Lenders, effect such amendments to this Loan Agreement and the other Loan Documents as may be necessary or appropriate, in the reasonable opinion of</w:t>
      </w:r>
    </w:p>
    <w:p>
      <w:pPr>
        <w:sectPr>
          <w:pgSz w:w="11900" w:h="16838" w:orient="portrait"/>
          <w:cols w:equalWidth="0" w:num="1">
            <w:col w:w="10580"/>
          </w:cols>
          <w:pgMar w:left="980" w:top="1440" w:right="339" w:bottom="1440" w:gutter="0" w:footer="0" w:header="0"/>
        </w:sectPr>
      </w:pPr>
    </w:p>
    <w:bookmarkStart w:id="114" w:name="page115"/>
    <w:bookmarkEnd w:id="114"/>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Administrative Agent and Borrower, to effect the provisions of this </w:t>
      </w:r>
      <w:r>
        <w:rPr>
          <w:rFonts w:ascii="Arial" w:cs="Arial" w:eastAsia="Arial" w:hAnsi="Arial"/>
          <w:sz w:val="19"/>
          <w:szCs w:val="19"/>
          <w:u w:val="single" w:color="auto"/>
          <w:color w:val="auto"/>
        </w:rPr>
        <w:t>Section 2.08(d)</w:t>
      </w:r>
      <w:r>
        <w:rPr>
          <w:rFonts w:ascii="Arial" w:cs="Arial" w:eastAsia="Arial" w:hAnsi="Arial"/>
          <w:sz w:val="19"/>
          <w:szCs w:val="19"/>
          <w:color w:val="auto"/>
        </w:rPr>
        <w:t xml:space="preserve"> (including any amendments that are not adverse to the interests of any Lender (solely in its capacity as a Lender hereunder) that are made to effectuate changes necessary to enable any Incremental Term Loans that are intended to be of the same Class as the Initial Loans to be of the same Class as such Initial Loans (or any Incremental Term Loans that are intended to be of the same Class as previous Incremental Term Loans (incurred as a separate Class from the Initial Loans) to be of the same Class as such previous Incremental Term Loans). For the avoidance of doubt, this </w:t>
      </w:r>
      <w:r>
        <w:rPr>
          <w:rFonts w:ascii="Arial" w:cs="Arial" w:eastAsia="Arial" w:hAnsi="Arial"/>
          <w:sz w:val="19"/>
          <w:szCs w:val="19"/>
          <w:u w:val="single" w:color="auto"/>
          <w:color w:val="auto"/>
        </w:rPr>
        <w:t>Section 2.08(d)</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to the contrary. From and after each Incremental Effective Date, the Incremental Term Loans and Incremental Term Loan Commitments established pursuant to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shall constitute Loans and Commitments under, and shall be entitled to all the benefits afforded by, this Loan Agreement and the other Loan Documents, and shall, without limiting the foregoing, benefit equally and ratably from the guarantees and security interests created by the applicable Security Documents. The Loan Parties shall take any actions reasonably required by Administrative Agent or the Collateral Agent to ensure and/or demonstrate that the Liens and security interests granted by the applicable Security Documents continue to be perfected under the UCC or otherwise after giving effect to the establishment of any such new Loans and Commitments, including compliance with </w:t>
      </w:r>
      <w:r>
        <w:rPr>
          <w:rFonts w:ascii="Arial" w:cs="Arial" w:eastAsia="Arial" w:hAnsi="Arial"/>
          <w:sz w:val="19"/>
          <w:szCs w:val="19"/>
          <w:u w:val="single" w:color="auto"/>
          <w:color w:val="auto"/>
        </w:rPr>
        <w:t>Section 8.15</w:t>
      </w:r>
      <w:r>
        <w:rPr>
          <w:rFonts w:ascii="Arial" w:cs="Arial" w:eastAsia="Arial" w:hAnsi="Arial"/>
          <w:sz w:val="19"/>
          <w:szCs w:val="19"/>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Notes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u w:val="single" w:color="auto"/>
          <w:color w:val="0000FF"/>
        </w:rPr>
        <w:t>Section 2.09 Notes</w:t>
      </w:r>
      <w:r>
        <w:rPr>
          <w:rFonts w:ascii="Arial" w:cs="Arial" w:eastAsia="Arial" w:hAnsi="Arial"/>
          <w:sz w:val="19"/>
          <w:szCs w:val="19"/>
          <w:color w:val="000000"/>
        </w:rPr>
        <w:t>. To the extent requested by any Lender, the Borrower shall execute and deliver (x) to the extent</w:t>
      </w:r>
      <w:r>
        <w:rPr>
          <w:rFonts w:ascii="Arial" w:cs="Arial" w:eastAsia="Arial" w:hAnsi="Arial"/>
          <w:sz w:val="19"/>
          <w:szCs w:val="19"/>
          <w:color w:val="0000FF"/>
        </w:rPr>
        <w:t xml:space="preserve"> </w:t>
      </w:r>
      <w:r>
        <w:rPr>
          <w:rFonts w:ascii="Arial" w:cs="Arial" w:eastAsia="Arial" w:hAnsi="Arial"/>
          <w:sz w:val="19"/>
          <w:szCs w:val="19"/>
          <w:color w:val="000000"/>
        </w:rPr>
        <w:t xml:space="preserve">requested by such Lender prior to the Closing Date, on the Closing Date and (y) to the extent requested by such Lender after the Closing Date, promptly (and in any case, within five (5) Business Days of such request), one or more notes (as requested by such Lender) payable to such Lender which in the aggregate equal the amount of such Lender’s Loans made payable to such Lender in substantially the form of </w:t>
      </w:r>
      <w:r>
        <w:rPr>
          <w:rFonts w:ascii="Arial" w:cs="Arial" w:eastAsia="Arial" w:hAnsi="Arial"/>
          <w:sz w:val="19"/>
          <w:szCs w:val="19"/>
          <w:u w:val="single" w:color="auto"/>
          <w:color w:val="000000"/>
        </w:rPr>
        <w:t>Exhibit A-1</w:t>
      </w:r>
      <w:r>
        <w:rPr>
          <w:rFonts w:ascii="Arial" w:cs="Arial" w:eastAsia="Arial" w:hAnsi="Arial"/>
          <w:sz w:val="19"/>
          <w:szCs w:val="19"/>
          <w:color w:val="000000"/>
        </w:rPr>
        <w:t xml:space="preserve"> (each, a “</w:t>
      </w:r>
      <w:r>
        <w:rPr>
          <w:rFonts w:ascii="Arial" w:cs="Arial" w:eastAsia="Arial" w:hAnsi="Arial"/>
          <w:sz w:val="19"/>
          <w:szCs w:val="19"/>
          <w:u w:val="single" w:color="auto"/>
          <w:color w:val="000000"/>
        </w:rPr>
        <w:t>Note</w:t>
      </w:r>
      <w:r>
        <w:rPr>
          <w:rFonts w:ascii="Arial" w:cs="Arial" w:eastAsia="Arial" w:hAnsi="Arial"/>
          <w:sz w:val="19"/>
          <w:szCs w:val="19"/>
          <w:color w:val="000000"/>
        </w:rPr>
        <w:t>”, and collectively, the “</w:t>
      </w:r>
      <w:r>
        <w:rPr>
          <w:rFonts w:ascii="Arial" w:cs="Arial" w:eastAsia="Arial" w:hAnsi="Arial"/>
          <w:sz w:val="19"/>
          <w:szCs w:val="19"/>
          <w:u w:val="single" w:color="auto"/>
          <w:color w:val="000000"/>
        </w:rPr>
        <w:t>Notes</w:t>
      </w:r>
      <w:r>
        <w:rPr>
          <w:rFonts w:ascii="Arial" w:cs="Arial" w:eastAsia="Arial" w:hAnsi="Arial"/>
          <w:sz w:val="19"/>
          <w:szCs w:val="19"/>
          <w:color w:val="000000"/>
        </w:rPr>
        <w:t>”).</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Termination of Commitments</w:t>
      </w:r>
      <w:r>
        <w:rPr>
          <w:rFonts w:ascii="Arial" w:cs="Arial" w:eastAsia="Arial" w:hAnsi="Arial"/>
          <w:sz w:val="19"/>
          <w:szCs w:val="19"/>
          <w:color w:val="auto"/>
        </w:rPr>
        <w:t>.</w:t>
      </w:r>
    </w:p>
    <w:p>
      <w:pPr>
        <w:spacing w:after="0" w:line="179" w:lineRule="exact"/>
        <w:rPr>
          <w:sz w:val="20"/>
          <w:szCs w:val="20"/>
          <w:color w:val="auto"/>
        </w:rPr>
      </w:pPr>
    </w:p>
    <w:p>
      <w:pPr>
        <w:ind w:firstLine="1952"/>
        <w:spacing w:after="0" w:line="298" w:lineRule="auto"/>
        <w:tabs>
          <w:tab w:leader="none" w:pos="2439"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Initial Term Loan Commitments of each Initial Term Loan Lender shall automatically terminate upon the making of such Initial Term Loan Lender’s Initial Term Loans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on the Closing Date.</w:t>
      </w:r>
    </w:p>
    <w:p>
      <w:pPr>
        <w:spacing w:after="0" w:line="105" w:lineRule="exact"/>
        <w:rPr>
          <w:rFonts w:ascii="Arial" w:cs="Arial" w:eastAsia="Arial" w:hAnsi="Arial"/>
          <w:sz w:val="19"/>
          <w:szCs w:val="19"/>
          <w:color w:val="auto"/>
        </w:rPr>
      </w:pPr>
    </w:p>
    <w:p>
      <w:pPr>
        <w:jc w:val="both"/>
        <w:ind w:firstLine="1952"/>
        <w:spacing w:after="0" w:line="218" w:lineRule="auto"/>
        <w:tabs>
          <w:tab w:leader="none" w:pos="2445" w:val="left"/>
        </w:tabs>
        <w:numPr>
          <w:ilvl w:val="0"/>
          <w:numId w:val="89"/>
        </w:numPr>
        <w:rPr>
          <w:rFonts w:ascii="Arial" w:cs="Arial" w:eastAsia="Arial" w:hAnsi="Arial"/>
          <w:sz w:val="22"/>
          <w:szCs w:val="22"/>
          <w:color w:val="auto"/>
        </w:rPr>
      </w:pPr>
      <w:r>
        <w:rPr>
          <w:rFonts w:ascii="Arial" w:cs="Arial" w:eastAsia="Arial" w:hAnsi="Arial"/>
          <w:sz w:val="22"/>
          <w:szCs w:val="22"/>
          <w:color w:val="auto"/>
        </w:rPr>
        <w:t>Upon the effectiveness of any Borrowing of DDTL, the DDTL Commitments of each DDTL Lender shall be automatically reduced by the aggregate principal amount of DDTL made by such DDTL Lender pursuant to such Borrowing. Any outstanding DDTL Commitments of each DDTL Lender shall automatically terminate on the DDTL Commitment Expiration Date.</w:t>
      </w:r>
    </w:p>
    <w:p>
      <w:pPr>
        <w:spacing w:after="0" w:line="160" w:lineRule="exact"/>
        <w:rPr>
          <w:rFonts w:ascii="Arial" w:cs="Arial" w:eastAsia="Arial" w:hAnsi="Arial"/>
          <w:sz w:val="22"/>
          <w:szCs w:val="22"/>
          <w:color w:val="auto"/>
        </w:rPr>
      </w:pPr>
    </w:p>
    <w:p>
      <w:pPr>
        <w:ind w:firstLine="1952"/>
        <w:spacing w:after="0" w:line="232" w:lineRule="auto"/>
        <w:tabs>
          <w:tab w:leader="none" w:pos="2609"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Any Incremental Term Loan Commitments of any Class shall automatically terminate upon the making of the Incremental Term Loans of such Class pursuant to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-219075</wp:posOffset>
            </wp:positionV>
            <wp:extent cx="482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3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u w:val="single" w:color="auto"/>
          <w:color w:val="0000FF"/>
        </w:rPr>
        <w:t>Section 2.11 Inability to Determine Rates. Subject to Section 2.13, if, on or prior to the first day of any Interest Period for any SOFR Loan:</w:t>
      </w:r>
    </w:p>
    <w:p>
      <w:pPr>
        <w:spacing w:after="0" w:line="159" w:lineRule="exact"/>
        <w:rPr>
          <w:sz w:val="20"/>
          <w:szCs w:val="20"/>
          <w:color w:val="auto"/>
        </w:rPr>
      </w:pPr>
    </w:p>
    <w:p>
      <w:pPr>
        <w:ind w:firstLine="1952"/>
        <w:spacing w:after="0" w:line="232" w:lineRule="auto"/>
        <w:tabs>
          <w:tab w:leader="none" w:pos="2498" w:val="left"/>
        </w:tabs>
        <w:numPr>
          <w:ilvl w:val="0"/>
          <w:numId w:val="90"/>
        </w:numPr>
        <w:rPr>
          <w:rFonts w:ascii="Arial" w:cs="Arial" w:eastAsia="Arial" w:hAnsi="Arial"/>
          <w:sz w:val="22"/>
          <w:szCs w:val="22"/>
          <w:color w:val="0000FF"/>
        </w:rPr>
      </w:pPr>
      <w:r>
        <w:rPr>
          <w:rFonts w:ascii="Arial" w:cs="Arial" w:eastAsia="Arial" w:hAnsi="Arial"/>
          <w:sz w:val="22"/>
          <w:szCs w:val="22"/>
          <w:u w:val="single" w:color="auto"/>
          <w:color w:val="008000"/>
        </w:rPr>
        <w:t xml:space="preserve">the Administrative Agent determines (which determination shall be conclusive </w:t>
      </w:r>
      <w:r>
        <w:rPr>
          <w:rFonts w:ascii="Arial" w:cs="Arial" w:eastAsia="Arial" w:hAnsi="Arial"/>
          <w:sz w:val="22"/>
          <w:szCs w:val="22"/>
          <w:u w:val="single" w:color="auto"/>
          <w:color w:val="0000FF"/>
        </w:rPr>
        <w:t>and binding absent</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manifest error) that “Adjusted Term SOFR” cannot be determined pursuant to the definition thereof, or</w:t>
      </w:r>
    </w:p>
    <w:p>
      <w:pPr>
        <w:spacing w:after="0" w:line="158" w:lineRule="exact"/>
        <w:rPr>
          <w:rFonts w:ascii="Arial" w:cs="Arial" w:eastAsia="Arial" w:hAnsi="Arial"/>
          <w:sz w:val="22"/>
          <w:szCs w:val="22"/>
          <w:color w:val="0000FF"/>
        </w:rPr>
      </w:pPr>
    </w:p>
    <w:p>
      <w:pPr>
        <w:ind w:firstLine="1952"/>
        <w:spacing w:after="0" w:line="232" w:lineRule="auto"/>
        <w:tabs>
          <w:tab w:leader="none" w:pos="2436" w:val="left"/>
        </w:tabs>
        <w:numPr>
          <w:ilvl w:val="0"/>
          <w:numId w:val="9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the Required Lenders determine that for any reason in connection with any request for a SOFR Loan or a conversion thereto or a continuation thereof that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-579120</wp:posOffset>
            </wp:positionV>
            <wp:extent cx="351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u w:val="single" w:color="auto"/>
          <w:color w:val="0000FF"/>
        </w:rPr>
        <w:t>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59" w:lineRule="exact"/>
        <w:rPr>
          <w:sz w:val="20"/>
          <w:szCs w:val="20"/>
          <w:color w:val="auto"/>
        </w:rPr>
      </w:pPr>
    </w:p>
    <w:p>
      <w:pPr>
        <w:ind w:left="2400" w:hanging="448"/>
        <w:spacing w:after="0"/>
        <w:tabs>
          <w:tab w:leader="none" w:pos="2400" w:val="left"/>
        </w:tabs>
        <w:numPr>
          <w:ilvl w:val="0"/>
          <w:numId w:val="91"/>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then the Administrative Agent will promptly so notify the Borrower and each Lender.</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u w:val="single" w:color="auto"/>
          <w:color w:val="0000FF"/>
        </w:rPr>
        <w:t>Upon notice thereof by the Administrative Agent to the Borrower, any obligation of the Lenders to make SOFR Loans, and the continuation of any Loan as a SOFR Loan, shall be suspended (to the extent of the affected SOFR Loans or affected Interest Periods) until the Administrative Agent (with respect to clause (b), at the instruction of the Required Lenders) revokes such notice. Upon receipt of such notice, (i) any pending request for a Borrowing of, conversion to or continuation of SOFR Loans (to the extent of the affected SOFR Loans or affected Interest Periods) shall, at the discretion of the Lenders providing such Borrowing by notice to the Administrative Agent and the Borrower, either (A) be cancelled or (B) converted to a Borrowing of or conversion to Prime Rate Loans, or failing such election by the Lenders prior to the proposed date of Borrowing, such pending request shall be deemed cancelled and (ii) any outstanding affected SOFR Loans will be deemed to have been converted into Prime Rate Loans at the end of the applicable Interest Period. Upon any such conversion, the Borrower shall also pay accrued interest on the amount so converted, together with any additional amounts required pursuant to Section 2.07.</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u w:val="single" w:color="auto"/>
          <w:color w:val="0000FF"/>
        </w:rPr>
        <w:t>Notwithstanding anything in this Loan Agreement to the contrary, if the event or occurrence described in clauses (a) or (b) which gave rise to a conversion of Term SOFR Loans to Prime Rate Loans ceases to exist, the Required Lenders, by notice to the Borrower and the Administrative Agent, may elect to convert all Prime Rate Loans to SOFR Loans, and upon the receipt by the Administrative Agent of such notice, all outstanding Prime Rate Loans shall automatically be deemed to have been converted to SOFR Loans on the date of the Administrative Agent’s receipt of such notice (and with an Interest Period beginning on the date of the Administrative Agent’s receipt of such notice).</w:t>
      </w:r>
    </w:p>
    <w:p>
      <w:pPr>
        <w:spacing w:after="0" w:line="160" w:lineRule="exact"/>
        <w:rPr>
          <w:sz w:val="20"/>
          <w:szCs w:val="20"/>
          <w:color w:val="auto"/>
        </w:rPr>
      </w:pPr>
    </w:p>
    <w:p>
      <w:pPr>
        <w:jc w:val="both"/>
        <w:ind w:firstLine="648"/>
        <w:spacing w:after="0"/>
        <w:rPr>
          <w:sz w:val="20"/>
          <w:szCs w:val="20"/>
          <w:color w:val="auto"/>
        </w:rPr>
      </w:pPr>
      <w:r>
        <w:rPr>
          <w:rFonts w:ascii="Arial" w:cs="Arial" w:eastAsia="Arial" w:hAnsi="Arial"/>
          <w:sz w:val="19"/>
          <w:szCs w:val="19"/>
          <w:u w:val="single" w:color="auto"/>
          <w:color w:val="0000FF"/>
        </w:rPr>
        <w:t>Section 2.12 Illegality.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upon notice thereof by such Lender to the Borrower (through the Administrative Agent) (an “Illegality Notice”), any obligation of such Lender to make SOFR Loans, and any continuation of such Lender’s Loans as SOFR Loans shall be suspended, until such Lender notifies the Administrative Agent and the Borrower that the circumstances giving rise to such determination no longer exist. Upon receipt of an Illegality Notice, the Borrower shall, if necessary to avoid such illegality, upon demand from the applicable Lender (with a copy to the Administrative Agent), prepay all SOFR Loans owed to such Lender, or, absent a demand to prepay from such Lender, all SOFR Loans owed to such Lender shall automatically be converted to Prime Rate Loans (x), if such Lender may lawfully continue to maintain such SOFR Loan until the last day of the Interest Period, on the last day of the Interest Period or (y), if such Lender may not lawfully continue to maintain such SOFR Loan, until the last day of the Interest Period, immediately (it being understood and agreed that the determination of whether such Lender may lawfully continue or maintain a SOFR Loan shall be made in the good faith determination of such Lender). Upon any such prepayment or conversion, the Borrower shall also pay accrued interest on the amount so prepaid or converted, together with any additional amounts required pursuant to Section 2.07. Notwithstanding anything in this Loan Agreement to the contrary, such Lender subsequently determines that the Law that had made it unlawful, or the Governmental Authority that had asserted that it was unlawful, for any Lender or its applicable</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0000FF"/>
        </w:rPr>
        <w:t xml:space="preserve">lending office to make, maintain or fund Loans whose interest is determined by reference to SOFR, the Term SOFR Reference Rate, Adjusted Term SOFR or Term SOFR, or to determine or charge interest rates based upon SOFR, the Term SOFR Reference Rate, Adjusted Term SOFR or Term SOFR, no longer exists or is no longer applicable, such Lender, by </w:t>
      </w:r>
      <w:r>
        <w:rPr>
          <w:rFonts w:ascii="Arial" w:cs="Arial" w:eastAsia="Arial" w:hAnsi="Arial"/>
          <w:sz w:val="19"/>
          <w:szCs w:val="19"/>
          <w:u w:val="single" w:color="auto"/>
          <w:color w:val="008000"/>
        </w:rPr>
        <w:t>notice to the Borrower</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and the Administrative Agent </w:t>
      </w:r>
      <w:r>
        <w:rPr>
          <w:rFonts w:ascii="Arial" w:cs="Arial" w:eastAsia="Arial" w:hAnsi="Arial"/>
          <w:sz w:val="19"/>
          <w:szCs w:val="19"/>
          <w:u w:val="single" w:color="auto"/>
          <w:color w:val="0000FF"/>
        </w:rPr>
        <w:t>, may elect to convert all of its Prime Rate Loans to SOFR Loans, and upon the receipt by the</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Administrative Agent of such notice, all outstanding Prime Rate Loans owed to such Lender shall automatically be deemed to have been converted to SOFR Loans on the date of the Administrative Agent’s receipt of such notice (and with an Interest Period beginning on the date of the Administrative Agent’s receipt of such notice).</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0000FF"/>
        </w:rPr>
        <w:t>Section 2.13</w:t>
      </w:r>
      <w:r>
        <w:rPr>
          <w:sz w:val="20"/>
          <w:szCs w:val="20"/>
          <w:color w:val="auto"/>
        </w:rPr>
        <w:tab/>
      </w:r>
      <w:r>
        <w:rPr>
          <w:rFonts w:ascii="Arial" w:cs="Arial" w:eastAsia="Arial" w:hAnsi="Arial"/>
          <w:sz w:val="19"/>
          <w:szCs w:val="19"/>
          <w:u w:val="single" w:color="auto"/>
          <w:color w:val="0000FF"/>
        </w:rPr>
        <w:t>Benchmark Replacement Setting</w:t>
      </w:r>
      <w:r>
        <w:rPr>
          <w:rFonts w:ascii="Arial" w:cs="Arial" w:eastAsia="Arial" w:hAnsi="Arial"/>
          <w:sz w:val="19"/>
          <w:szCs w:val="19"/>
          <w:i w:val="1"/>
          <w:iCs w:val="1"/>
          <w:u w:val="single" w:color="auto"/>
          <w:color w:val="0000FF"/>
        </w:rPr>
        <w:t>.</w:t>
      </w:r>
    </w:p>
    <w:p>
      <w:pPr>
        <w:spacing w:after="0" w:line="179" w:lineRule="exact"/>
        <w:rPr>
          <w:sz w:val="20"/>
          <w:szCs w:val="20"/>
          <w:color w:val="auto"/>
        </w:rPr>
      </w:pPr>
    </w:p>
    <w:p>
      <w:pPr>
        <w:jc w:val="both"/>
        <w:ind w:firstLine="1952"/>
        <w:spacing w:after="0" w:line="214" w:lineRule="auto"/>
        <w:tabs>
          <w:tab w:leader="none" w:pos="2543" w:val="left"/>
        </w:tabs>
        <w:numPr>
          <w:ilvl w:val="0"/>
          <w:numId w:val="92"/>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Benchmark Replacement. Notwithstanding anything to the contrary herein or in any other Loan Document, upon the occurrence of a Benchmark Transition Event</w:t>
      </w:r>
      <w:r>
        <w:rPr>
          <w:rFonts w:ascii="Arial" w:cs="Arial" w:eastAsia="Arial" w:hAnsi="Arial"/>
          <w:sz w:val="21"/>
          <w:szCs w:val="21"/>
          <w:u w:val="single" w:color="auto"/>
          <w:color w:val="008000"/>
        </w:rPr>
        <w:t>, the Administrative Agent and the Borrower</w:t>
      </w:r>
      <w:r>
        <w:rPr>
          <w:rFonts w:ascii="Arial" w:cs="Arial" w:eastAsia="Arial" w:hAnsi="Arial"/>
          <w:sz w:val="21"/>
          <w:szCs w:val="21"/>
          <w:u w:val="single" w:color="auto"/>
          <w:color w:val="0000FF"/>
        </w:rPr>
        <w:t xml:space="preserve"> may amend this Loan Agreement to replace the then-current Benchmark with a Benchmark Replacement. Any such amendment with respect to a Benchmark Transition Event will become effective at 5:00 p.m. (New York City time) on the fifth (5</w:t>
      </w:r>
      <w:r>
        <w:rPr>
          <w:rFonts w:ascii="Arial" w:cs="Arial" w:eastAsia="Arial" w:hAnsi="Arial"/>
          <w:sz w:val="27"/>
          <w:szCs w:val="27"/>
          <w:u w:val="single" w:color="auto"/>
          <w:color w:val="0000FF"/>
          <w:vertAlign w:val="superscript"/>
        </w:rPr>
        <w:t>th</w:t>
      </w:r>
      <w:r>
        <w:rPr>
          <w:rFonts w:ascii="Arial" w:cs="Arial" w:eastAsia="Arial" w:hAnsi="Arial"/>
          <w:sz w:val="21"/>
          <w:szCs w:val="21"/>
          <w:u w:val="single" w:color="auto"/>
          <w:color w:val="0000FF"/>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2.13(a) will occur prior to the applicable Benchmark Transition Start Date.</w:t>
      </w:r>
    </w:p>
    <w:p>
      <w:pPr>
        <w:spacing w:after="0" w:line="159" w:lineRule="exact"/>
        <w:rPr>
          <w:rFonts w:ascii="Arial" w:cs="Arial" w:eastAsia="Arial" w:hAnsi="Arial"/>
          <w:sz w:val="21"/>
          <w:szCs w:val="21"/>
          <w:u w:val="single" w:color="auto"/>
          <w:color w:val="0000FF"/>
        </w:rPr>
      </w:pPr>
    </w:p>
    <w:p>
      <w:pPr>
        <w:jc w:val="both"/>
        <w:ind w:firstLine="1952"/>
        <w:spacing w:after="0" w:line="216" w:lineRule="auto"/>
        <w:tabs>
          <w:tab w:leader="none" w:pos="2448" w:val="left"/>
        </w:tabs>
        <w:numPr>
          <w:ilvl w:val="0"/>
          <w:numId w:val="9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 xml:space="preserve">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w:t>
      </w:r>
      <w:r>
        <w:rPr>
          <w:rFonts w:ascii="Arial" w:cs="Arial" w:eastAsia="Arial" w:hAnsi="Arial"/>
          <w:sz w:val="22"/>
          <w:szCs w:val="22"/>
          <w:u w:val="single" w:color="auto"/>
          <w:color w:val="008000"/>
        </w:rPr>
        <w:t>become effective without any further action or consent of any other party to this</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 xml:space="preserve">Loan Agreement </w:t>
      </w:r>
      <w:r>
        <w:rPr>
          <w:rFonts w:ascii="Arial" w:cs="Arial" w:eastAsia="Arial" w:hAnsi="Arial"/>
          <w:sz w:val="22"/>
          <w:szCs w:val="22"/>
          <w:u w:val="single" w:color="auto"/>
          <w:color w:val="0000FF"/>
        </w:rPr>
        <w:t>or any other Loan Document.</w:t>
      </w:r>
    </w:p>
    <w:p>
      <w:pPr>
        <w:spacing w:after="0" w:line="157" w:lineRule="exact"/>
        <w:rPr>
          <w:rFonts w:ascii="Arial" w:cs="Arial" w:eastAsia="Arial" w:hAnsi="Arial"/>
          <w:sz w:val="22"/>
          <w:szCs w:val="22"/>
          <w:u w:val="single" w:color="auto"/>
          <w:color w:val="0000FF"/>
        </w:rPr>
      </w:pPr>
    </w:p>
    <w:p>
      <w:pPr>
        <w:jc w:val="both"/>
        <w:ind w:firstLine="1952"/>
        <w:spacing w:after="0" w:line="244" w:lineRule="auto"/>
        <w:tabs>
          <w:tab w:leader="none" w:pos="2424" w:val="left"/>
        </w:tabs>
        <w:numPr>
          <w:ilvl w:val="0"/>
          <w:numId w:val="9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2.13(d) and (y) the commencement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Loan Agreement or any other Loan Document, except, in each case, as expressly required pursuant to this Section 2.13.</w:t>
      </w:r>
    </w:p>
    <w:p>
      <w:pPr>
        <w:spacing w:after="0" w:line="154" w:lineRule="exact"/>
        <w:rPr>
          <w:rFonts w:ascii="Arial" w:cs="Arial" w:eastAsia="Arial" w:hAnsi="Arial"/>
          <w:sz w:val="19"/>
          <w:szCs w:val="19"/>
          <w:u w:val="single" w:color="auto"/>
          <w:color w:val="0000FF"/>
        </w:rPr>
      </w:pPr>
    </w:p>
    <w:p>
      <w:pPr>
        <w:jc w:val="both"/>
        <w:ind w:firstLine="1952"/>
        <w:spacing w:after="0" w:line="247" w:lineRule="auto"/>
        <w:tabs>
          <w:tab w:leader="none" w:pos="2513" w:val="left"/>
        </w:tabs>
        <w:numPr>
          <w:ilvl w:val="0"/>
          <w:numId w:val="9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u w:val="single" w:color="auto"/>
          <w:color w:val="0000FF"/>
        </w:rPr>
        <w:t>analogous definition) for any Benchmark settings at or after such time to remove and replace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(and remove the replacement tenor).</w:t>
      </w:r>
    </w:p>
    <w:p>
      <w:pPr>
        <w:spacing w:after="0" w:line="152" w:lineRule="exact"/>
        <w:rPr>
          <w:sz w:val="20"/>
          <w:szCs w:val="20"/>
          <w:color w:val="auto"/>
        </w:rPr>
      </w:pPr>
    </w:p>
    <w:p>
      <w:pPr>
        <w:ind w:firstLine="1952"/>
        <w:spacing w:after="0" w:line="247" w:lineRule="auto"/>
        <w:tabs>
          <w:tab w:leader="none" w:pos="2441" w:val="left"/>
        </w:tabs>
        <w:numPr>
          <w:ilvl w:val="0"/>
          <w:numId w:val="93"/>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Benchmark Unavailability Period. Upon the Borrower’s receipt of notice of the commencement of a Benchmark Unavailability Period, any pending request for a Borrowing of SOFR Loans shall be deemed revoked.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FEES, PREMIUMS AND COMMITMENT TERMINATIONS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7"/>
          <w:szCs w:val="17"/>
          <w:u w:val="single" w:color="auto"/>
          <w:color w:val="auto"/>
        </w:rPr>
        <w:t>Fees</w:t>
      </w:r>
      <w:r>
        <w:rPr>
          <w:rFonts w:ascii="Arial" w:cs="Arial" w:eastAsia="Arial" w:hAnsi="Arial"/>
          <w:sz w:val="17"/>
          <w:szCs w:val="17"/>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firstLine="1952"/>
        <w:spacing w:after="0" w:line="232" w:lineRule="auto"/>
        <w:tabs>
          <w:tab w:leader="none" w:pos="245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Fee Letter</w:t>
      </w:r>
      <w:r>
        <w:rPr>
          <w:rFonts w:ascii="Arial" w:cs="Arial" w:eastAsia="Arial" w:hAnsi="Arial"/>
          <w:sz w:val="22"/>
          <w:szCs w:val="22"/>
          <w:color w:val="auto"/>
        </w:rPr>
        <w:t>. The Borrower agrees to pay to the Administrative Agent and each Lender, as applicable, all of the fees in the amounts and at the times set forth in the Fee Letter.</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DDTL Commitment Fee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firstLine="1940"/>
        <w:spacing w:after="0" w:line="232" w:lineRule="auto"/>
        <w:tabs>
          <w:tab w:leader="none" w:pos="3081"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Borrower shall pay to the Administrative Agent a fee (the “</w:t>
      </w:r>
      <w:r>
        <w:rPr>
          <w:rFonts w:ascii="Arial" w:cs="Arial" w:eastAsia="Arial" w:hAnsi="Arial"/>
          <w:sz w:val="22"/>
          <w:szCs w:val="22"/>
          <w:u w:val="single" w:color="auto"/>
          <w:color w:val="auto"/>
        </w:rPr>
        <w:t>Unused DDTL Commitment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Fee</w:t>
      </w:r>
      <w:r>
        <w:rPr>
          <w:rFonts w:ascii="Arial" w:cs="Arial" w:eastAsia="Arial" w:hAnsi="Arial"/>
          <w:sz w:val="22"/>
          <w:szCs w:val="22"/>
          <w:color w:val="auto"/>
        </w:rPr>
        <w:t>”), for the account of each DDTL Lender, in an amount per annum equal to:</w:t>
      </w:r>
    </w:p>
    <w:p>
      <w:pPr>
        <w:spacing w:after="0" w:line="158" w:lineRule="exact"/>
        <w:rPr>
          <w:rFonts w:ascii="Arial" w:cs="Arial" w:eastAsia="Arial" w:hAnsi="Arial"/>
          <w:sz w:val="22"/>
          <w:szCs w:val="22"/>
          <w:color w:val="auto"/>
        </w:rPr>
      </w:pPr>
    </w:p>
    <w:p>
      <w:pPr>
        <w:ind w:left="1300" w:firstLine="1948"/>
        <w:spacing w:after="0" w:line="298" w:lineRule="auto"/>
        <w:tabs>
          <w:tab w:leader="none" w:pos="3824" w:val="left"/>
        </w:tabs>
        <w:numPr>
          <w:ilvl w:val="2"/>
          <w:numId w:val="94"/>
        </w:numPr>
        <w:rPr>
          <w:rFonts w:ascii="Arial" w:cs="Arial" w:eastAsia="Arial" w:hAnsi="Arial"/>
          <w:sz w:val="19"/>
          <w:szCs w:val="19"/>
          <w:color w:val="auto"/>
        </w:rPr>
      </w:pPr>
      <w:r>
        <w:rPr>
          <w:rFonts w:ascii="Arial" w:cs="Arial" w:eastAsia="Arial" w:hAnsi="Arial"/>
          <w:sz w:val="19"/>
          <w:szCs w:val="19"/>
          <w:color w:val="auto"/>
        </w:rPr>
        <w:t>The average daily balance of the DDTL Commitment of such DDTL Lender during each fiscal quarter or portion thereof from the date hereof to the DDTL Commitment Expiration Date;</w:t>
      </w:r>
    </w:p>
    <w:p>
      <w:pPr>
        <w:spacing w:after="0" w:line="105" w:lineRule="exact"/>
        <w:rPr>
          <w:rFonts w:ascii="Arial" w:cs="Arial" w:eastAsia="Arial" w:hAnsi="Arial"/>
          <w:sz w:val="19"/>
          <w:szCs w:val="19"/>
          <w:color w:val="auto"/>
        </w:rPr>
      </w:pPr>
    </w:p>
    <w:p>
      <w:pPr>
        <w:ind w:left="3760" w:hanging="512"/>
        <w:spacing w:after="0"/>
        <w:tabs>
          <w:tab w:leader="none" w:pos="3760" w:val="left"/>
        </w:tabs>
        <w:numPr>
          <w:ilvl w:val="2"/>
          <w:numId w:val="94"/>
        </w:numPr>
        <w:rPr>
          <w:rFonts w:ascii="Arial" w:cs="Arial" w:eastAsia="Arial" w:hAnsi="Arial"/>
          <w:sz w:val="22"/>
          <w:szCs w:val="22"/>
          <w:color w:val="auto"/>
        </w:rPr>
      </w:pPr>
      <w:r>
        <w:rPr>
          <w:rFonts w:ascii="Arial" w:cs="Arial" w:eastAsia="Arial" w:hAnsi="Arial"/>
          <w:sz w:val="22"/>
          <w:szCs w:val="22"/>
          <w:color w:val="auto"/>
        </w:rPr>
        <w:t>multiplied by one percent (1.00%).</w:t>
      </w:r>
    </w:p>
    <w:p>
      <w:pPr>
        <w:spacing w:after="0" w:line="179" w:lineRule="exact"/>
        <w:rPr>
          <w:rFonts w:ascii="Arial" w:cs="Arial" w:eastAsia="Arial" w:hAnsi="Arial"/>
          <w:sz w:val="22"/>
          <w:szCs w:val="22"/>
          <w:color w:val="auto"/>
        </w:rPr>
      </w:pPr>
    </w:p>
    <w:p>
      <w:pPr>
        <w:jc w:val="both"/>
        <w:ind w:left="660" w:firstLine="1940"/>
        <w:spacing w:after="0" w:line="218" w:lineRule="auto"/>
        <w:tabs>
          <w:tab w:leader="none" w:pos="3094"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total Unused DDTL Commitment Fee paid by Borrower will be equal to the sum of all of the Unused DDTL Commitment Fees due to the DDTL Lenders. Such fee shall be payable quarterly in arrears on the first day of each fiscal quarter commencing with the fiscal quarter ending on September 30, 2020 and on the DDTL Commitment Expiration Date.</w:t>
      </w:r>
    </w:p>
    <w:p>
      <w:pPr>
        <w:spacing w:after="0" w:line="160" w:lineRule="exact"/>
        <w:rPr>
          <w:rFonts w:ascii="Arial" w:cs="Arial" w:eastAsia="Arial" w:hAnsi="Arial"/>
          <w:sz w:val="22"/>
          <w:szCs w:val="22"/>
          <w:color w:val="auto"/>
        </w:rPr>
      </w:pPr>
    </w:p>
    <w:p>
      <w:pPr>
        <w:ind w:left="660" w:firstLine="1940"/>
        <w:spacing w:after="0" w:line="232" w:lineRule="auto"/>
        <w:tabs>
          <w:tab w:leader="none" w:pos="3265"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The Unused DDTL Commitment Fee provided in this </w:t>
      </w:r>
      <w:r>
        <w:rPr>
          <w:rFonts w:ascii="Arial" w:cs="Arial" w:eastAsia="Arial" w:hAnsi="Arial"/>
          <w:sz w:val="22"/>
          <w:szCs w:val="22"/>
          <w:u w:val="single" w:color="auto"/>
          <w:color w:val="auto"/>
        </w:rPr>
        <w:t>Section 3.01(b)</w:t>
      </w:r>
      <w:r>
        <w:rPr>
          <w:rFonts w:ascii="Arial" w:cs="Arial" w:eastAsia="Arial" w:hAnsi="Arial"/>
          <w:sz w:val="22"/>
          <w:szCs w:val="22"/>
          <w:color w:val="auto"/>
        </w:rPr>
        <w:t xml:space="preserve"> shall accrue at all times from and after date hereof through the DDTL Commitment Expiration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Prepayment Premiums</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u w:val="single" w:color="auto"/>
          <w:color w:val="0000FF"/>
        </w:rPr>
        <w:t>Section 3.02 Prepayment Premiums</w:t>
      </w:r>
      <w:r>
        <w:rPr>
          <w:rFonts w:ascii="Arial" w:cs="Arial" w:eastAsia="Arial" w:hAnsi="Arial"/>
          <w:sz w:val="21"/>
          <w:szCs w:val="21"/>
          <w:color w:val="000000"/>
        </w:rPr>
        <w:t>. Upon the occurrence of a Prepayment Premium Trigger Event, the Borrower shall</w:t>
      </w:r>
      <w:r>
        <w:rPr>
          <w:rFonts w:ascii="Arial" w:cs="Arial" w:eastAsia="Arial" w:hAnsi="Arial"/>
          <w:sz w:val="21"/>
          <w:szCs w:val="21"/>
          <w:color w:val="0000FF"/>
        </w:rPr>
        <w:t xml:space="preserve"> </w:t>
      </w:r>
      <w:r>
        <w:rPr>
          <w:rFonts w:ascii="Arial" w:cs="Arial" w:eastAsia="Arial" w:hAnsi="Arial"/>
          <w:sz w:val="21"/>
          <w:szCs w:val="21"/>
          <w:color w:val="000000"/>
        </w:rPr>
        <w:t>pay to the Administrative Agent, for the account of the Lenders holding the Loans being prepaid (or deemed prepaid), the Prepayment Premium. Notwithstanding anything to the contrary in this Loan Agreement or any other Loan Document, it is understood and agreed that if the Obligations are accelerated as a result of the occurrence</w:t>
      </w:r>
    </w:p>
    <w:p>
      <w:pPr>
        <w:sectPr>
          <w:pgSz w:w="11900" w:h="16838" w:orient="portrait"/>
          <w:cols w:equalWidth="0" w:num="1">
            <w:col w:w="11240"/>
          </w:cols>
          <w:pgMar w:left="320" w:top="1440" w:right="339" w:bottom="1440" w:gutter="0" w:footer="0" w:header="0"/>
        </w:sectPr>
      </w:pPr>
    </w:p>
    <w:bookmarkStart w:id="118" w:name="page119"/>
    <w:bookmarkEnd w:id="118"/>
    <w:p>
      <w:pPr>
        <w:jc w:val="both"/>
        <w:spacing w:after="0"/>
        <w:rPr>
          <w:sz w:val="20"/>
          <w:szCs w:val="20"/>
          <w:color w:val="auto"/>
        </w:rPr>
      </w:pPr>
      <w:r>
        <w:rPr>
          <w:rFonts w:ascii="Arial" w:cs="Arial" w:eastAsia="Arial" w:hAnsi="Arial"/>
          <w:sz w:val="19"/>
          <w:szCs w:val="19"/>
          <w:color w:val="auto"/>
        </w:rPr>
        <w:t xml:space="preserve">and continuance of any Event of Default (including by operation of law or otherwise), the Prepayment Premium, if any, determined as of the date of acceleration, will also be due and payable and will be treated and deemed as though the Loans were prepaid as of such date and shall constitute part of the Obligations for all purposes herein. Any Prepayment Premium payable pursuant to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shall be presumed to be equal to the liquidated damages sustained by the Lenders as the result of the occurrence of the Prepayment Premium Trigger Event, and the Borrower and Guarantors agree that it is reasonable under the circumstances currently existing. The Prepayment Premium, if any, shall also be payable in the event the Obligations (and/or this Loan Agreement) are satisfied or released by foreclosure (whether by power of judicial proceeding), deed in lieu of foreclosure or by any other means. THE BORROWER AND GUARANTORS EXPRESSLY WAIVE THE PROVISIONS OF ANY PRESENT OR FUTURE STATUTE OR LAW THAT PROHIBITS OR MAY PROHIBIT THE COLLECTION OF THE FOREGOING PREPAYMENT PREMIUM IN CONNECTION WITH ANY SUCH ACCELERATION. The Borrower and Guarantors expressly agree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Lenders and the Loan Parties giving specific consideration in this transaction for such agreement to pay the Prepayment Premium, (d) the Loan Parties shall be estopped hereafter from claiming differently than as agreed to in this </w:t>
      </w:r>
      <w:r>
        <w:rPr>
          <w:rFonts w:ascii="Arial" w:cs="Arial" w:eastAsia="Arial" w:hAnsi="Arial"/>
          <w:sz w:val="19"/>
          <w:szCs w:val="19"/>
          <w:u w:val="single" w:color="auto"/>
          <w:color w:val="auto"/>
        </w:rPr>
        <w:t>Section 3.02</w:t>
      </w:r>
      <w:r>
        <w:rPr>
          <w:rFonts w:ascii="Arial" w:cs="Arial" w:eastAsia="Arial" w:hAnsi="Arial"/>
          <w:sz w:val="19"/>
          <w:szCs w:val="19"/>
          <w:color w:val="auto"/>
        </w:rPr>
        <w:t>, (e) their agreement to pay the Prepayment Premium is a material inducement to the Lenders to provide the Commitments and make the Loans, and (f) the Prepayment Premium represents a good faith, reasonable estimate and calculation of the lost profits or damages of the Lenders and that it would be impractical and extremely difficult to ascertain the actual amount of damages to the Lenders or profits lost by the Lenders as a result of any Prepayment Premium Trigger Event.</w:t>
      </w:r>
    </w:p>
    <w:p>
      <w:pPr>
        <w:spacing w:after="0" w:line="38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179" w:lineRule="exact"/>
        <w:rPr>
          <w:sz w:val="20"/>
          <w:szCs w:val="20"/>
          <w:color w:val="auto"/>
        </w:rPr>
      </w:pPr>
    </w:p>
    <w:p>
      <w:pPr>
        <w:ind w:left="5040"/>
        <w:spacing w:after="0"/>
        <w:rPr>
          <w:sz w:val="20"/>
          <w:szCs w:val="20"/>
          <w:color w:val="auto"/>
        </w:rPr>
      </w:pPr>
      <w:r>
        <w:rPr>
          <w:rFonts w:ascii="Arial" w:cs="Arial" w:eastAsia="Arial" w:hAnsi="Arial"/>
          <w:sz w:val="22"/>
          <w:szCs w:val="22"/>
          <w:b w:val="1"/>
          <w:bCs w:val="1"/>
          <w:u w:val="single" w:color="auto"/>
          <w:color w:val="auto"/>
        </w:rPr>
        <w:t>PAYMENTS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Voluntary Prepayments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firstLine="1952"/>
        <w:spacing w:after="0" w:line="232" w:lineRule="auto"/>
        <w:tabs>
          <w:tab w:leader="none" w:pos="251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Borrower shall have the right to prepay Loans in whole or in part from time to time on the following terms and conditions:</w:t>
      </w:r>
    </w:p>
    <w:p>
      <w:pPr>
        <w:spacing w:after="0" w:line="158" w:lineRule="exact"/>
        <w:rPr>
          <w:rFonts w:ascii="Arial" w:cs="Arial" w:eastAsia="Arial" w:hAnsi="Arial"/>
          <w:sz w:val="22"/>
          <w:szCs w:val="22"/>
          <w:color w:val="auto"/>
        </w:rPr>
      </w:pPr>
    </w:p>
    <w:p>
      <w:pPr>
        <w:jc w:val="both"/>
        <w:ind w:left="660" w:firstLine="1940"/>
        <w:spacing w:after="0" w:line="216" w:lineRule="auto"/>
        <w:tabs>
          <w:tab w:leader="none" w:pos="3045" w:val="left"/>
        </w:tabs>
        <w:numPr>
          <w:ilvl w:val="1"/>
          <w:numId w:val="95"/>
        </w:numPr>
        <w:rPr>
          <w:rFonts w:ascii="Arial" w:cs="Arial" w:eastAsia="Arial" w:hAnsi="Arial"/>
          <w:sz w:val="22"/>
          <w:szCs w:val="22"/>
          <w:color w:val="auto"/>
        </w:rPr>
      </w:pPr>
      <w:r>
        <w:rPr>
          <w:rFonts w:ascii="Arial" w:cs="Arial" w:eastAsia="Arial" w:hAnsi="Arial"/>
          <w:sz w:val="22"/>
          <w:szCs w:val="22"/>
          <w:color w:val="auto"/>
        </w:rPr>
        <w:t>as a specifically negotiated requirement, additional consideration for providing the Loans, and an important economic provision upon which the Agents and the Lenders are relying, the Borrower shall deliver to the Administrative Agent written notice of the Borrower’s intent to make such prepayment and the amount of such prepayment, by 3:00 p.m. no less than five (5) Business Days prior to the date of such prepayment, specifying the date on which such prepayment is to be made;</w:t>
      </w:r>
    </w:p>
    <w:p>
      <w:pPr>
        <w:spacing w:after="0" w:line="157" w:lineRule="exact"/>
        <w:rPr>
          <w:rFonts w:ascii="Arial" w:cs="Arial" w:eastAsia="Arial" w:hAnsi="Arial"/>
          <w:sz w:val="22"/>
          <w:szCs w:val="22"/>
          <w:color w:val="auto"/>
        </w:rPr>
      </w:pPr>
    </w:p>
    <w:p>
      <w:pPr>
        <w:jc w:val="both"/>
        <w:ind w:left="660" w:firstLine="1940"/>
        <w:spacing w:after="0" w:line="224" w:lineRule="auto"/>
        <w:tabs>
          <w:tab w:leader="none" w:pos="3259" w:val="left"/>
        </w:tabs>
        <w:numPr>
          <w:ilvl w:val="1"/>
          <w:numId w:val="95"/>
        </w:numPr>
        <w:rPr>
          <w:rFonts w:ascii="Arial" w:cs="Arial" w:eastAsia="Arial" w:hAnsi="Arial"/>
          <w:sz w:val="21"/>
          <w:szCs w:val="21"/>
          <w:color w:val="auto"/>
        </w:rPr>
      </w:pPr>
      <w:r>
        <w:rPr>
          <w:rFonts w:ascii="Arial" w:cs="Arial" w:eastAsia="Arial" w:hAnsi="Arial"/>
          <w:sz w:val="21"/>
          <w:szCs w:val="21"/>
          <w:color w:val="auto"/>
        </w:rPr>
        <w:t xml:space="preserve">a notice delivered pursuant to </w:t>
      </w:r>
      <w:r>
        <w:rPr>
          <w:rFonts w:ascii="Arial" w:cs="Arial" w:eastAsia="Arial" w:hAnsi="Arial"/>
          <w:sz w:val="21"/>
          <w:szCs w:val="21"/>
          <w:u w:val="single" w:color="auto"/>
          <w:color w:val="auto"/>
        </w:rPr>
        <w:t>Section 4.01(a)(i)</w:t>
      </w:r>
      <w:r>
        <w:rPr>
          <w:rFonts w:ascii="Arial" w:cs="Arial" w:eastAsia="Arial" w:hAnsi="Arial"/>
          <w:sz w:val="21"/>
          <w:szCs w:val="21"/>
          <w:color w:val="auto"/>
        </w:rPr>
        <w:t xml:space="preserve"> shall be irrevocable, shall obligate the Borrower to prepay the amount specified in such notice on the date specified therein together with accrued interest thereon and the applicable Prepayment Premium, if any, all of which shall become due and payable on the prepayment date set forth in such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any such voluntary prepayment occurring as a result of a Change of Control, a refinancing of the Obligations or another material transaction specified in the relevant notice may be conditional upon the closing of any such transaction;</w:t>
      </w:r>
    </w:p>
    <w:p>
      <w:pPr>
        <w:sectPr>
          <w:pgSz w:w="11900" w:h="16838" w:orient="portrait"/>
          <w:cols w:equalWidth="0" w:num="1">
            <w:col w:w="11240"/>
          </w:cols>
          <w:pgMar w:left="320" w:top="1401" w:right="339" w:bottom="1440" w:gutter="0" w:footer="0" w:header="0"/>
        </w:sectPr>
      </w:pPr>
    </w:p>
    <w:bookmarkStart w:id="119" w:name="page120"/>
    <w:bookmarkEnd w:id="119"/>
    <w:p>
      <w:pPr>
        <w:spacing w:after="0" w:line="177" w:lineRule="exact"/>
        <w:rPr>
          <w:sz w:val="20"/>
          <w:szCs w:val="20"/>
          <w:color w:val="auto"/>
        </w:rPr>
      </w:pPr>
    </w:p>
    <w:p>
      <w:pPr>
        <w:ind w:left="660" w:firstLine="1940"/>
        <w:spacing w:after="0" w:line="232" w:lineRule="auto"/>
        <w:tabs>
          <w:tab w:leader="none" w:pos="3194" w:val="left"/>
        </w:tabs>
        <w:numPr>
          <w:ilvl w:val="1"/>
          <w:numId w:val="96"/>
        </w:numPr>
        <w:rPr>
          <w:rFonts w:ascii="Arial" w:cs="Arial" w:eastAsia="Arial" w:hAnsi="Arial"/>
          <w:sz w:val="22"/>
          <w:szCs w:val="22"/>
          <w:color w:val="auto"/>
        </w:rPr>
      </w:pPr>
      <w:r>
        <w:rPr>
          <w:rFonts w:ascii="Arial" w:cs="Arial" w:eastAsia="Arial" w:hAnsi="Arial"/>
          <w:sz w:val="22"/>
          <w:szCs w:val="22"/>
          <w:color w:val="auto"/>
        </w:rPr>
        <w:t>each partial prepayment of any Loans shall be in a multiple of $50,000 and in an aggregate principal amount of at least $250,000;</w:t>
      </w:r>
    </w:p>
    <w:p>
      <w:pPr>
        <w:spacing w:after="0" w:line="158" w:lineRule="exact"/>
        <w:rPr>
          <w:rFonts w:ascii="Arial" w:cs="Arial" w:eastAsia="Arial" w:hAnsi="Arial"/>
          <w:sz w:val="22"/>
          <w:szCs w:val="22"/>
          <w:color w:val="auto"/>
        </w:rPr>
      </w:pPr>
    </w:p>
    <w:p>
      <w:pPr>
        <w:jc w:val="both"/>
        <w:ind w:left="660" w:firstLine="1940"/>
        <w:spacing w:after="0" w:line="223" w:lineRule="auto"/>
        <w:tabs>
          <w:tab w:leader="none" w:pos="3153"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each prepayment of Loans pursuant to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on any day other than the last day of the applicable Interest Period shall be subject to compliance by the Borrower with the applicable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2.07</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ind w:left="660" w:firstLine="1940"/>
        <w:spacing w:after="0" w:line="247" w:lineRule="auto"/>
        <w:tabs>
          <w:tab w:leader="none" w:pos="3115"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on the date of prepayment of any Loan pursuant to this </w:t>
      </w:r>
      <w:r>
        <w:rPr>
          <w:rFonts w:ascii="Arial" w:cs="Arial" w:eastAsia="Arial" w:hAnsi="Arial"/>
          <w:sz w:val="21"/>
          <w:szCs w:val="21"/>
          <w:u w:val="single" w:color="auto"/>
          <w:color w:val="auto"/>
        </w:rPr>
        <w:t>Section 4.01</w:t>
      </w:r>
      <w:r>
        <w:rPr>
          <w:rFonts w:ascii="Arial" w:cs="Arial" w:eastAsia="Arial" w:hAnsi="Arial"/>
          <w:sz w:val="21"/>
          <w:szCs w:val="21"/>
          <w:color w:val="auto"/>
        </w:rPr>
        <w:t>, the Borrower shall pay to the Administrative Agent, for the benefit of the Lenders, the applicable Prepayment Premium, if any.</w:t>
      </w:r>
    </w:p>
    <w:p>
      <w:pPr>
        <w:spacing w:after="0" w:line="150" w:lineRule="exact"/>
        <w:rPr>
          <w:rFonts w:ascii="Arial" w:cs="Arial" w:eastAsia="Arial" w:hAnsi="Arial"/>
          <w:sz w:val="21"/>
          <w:szCs w:val="21"/>
          <w:color w:val="auto"/>
        </w:rPr>
      </w:pPr>
    </w:p>
    <w:p>
      <w:pPr>
        <w:ind w:firstLine="1952"/>
        <w:spacing w:after="0" w:line="232" w:lineRule="auto"/>
        <w:tabs>
          <w:tab w:leader="none" w:pos="2470"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Each prepayment pursuant to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shall be applied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to the Loans (and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among and within each Class of Loans) based on the outstanding principal amounts thereof.</w:t>
      </w:r>
    </w:p>
    <w:p>
      <w:pPr>
        <w:spacing w:after="0" w:line="158" w:lineRule="exact"/>
        <w:rPr>
          <w:rFonts w:ascii="Arial" w:cs="Arial" w:eastAsia="Arial" w:hAnsi="Arial"/>
          <w:sz w:val="22"/>
          <w:szCs w:val="22"/>
          <w:color w:val="auto"/>
        </w:rPr>
      </w:pPr>
    </w:p>
    <w:p>
      <w:pPr>
        <w:jc w:val="both"/>
        <w:ind w:firstLine="1952"/>
        <w:spacing w:after="0" w:line="224" w:lineRule="auto"/>
        <w:tabs>
          <w:tab w:leader="none" w:pos="2422"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Notwithstanding anything in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to the contrary, if any Lenders decline all or any portion of any mandatory payment in accordance with </w:t>
      </w:r>
      <w:r>
        <w:rPr>
          <w:rFonts w:ascii="Arial" w:cs="Arial" w:eastAsia="Arial" w:hAnsi="Arial"/>
          <w:sz w:val="21"/>
          <w:szCs w:val="21"/>
          <w:u w:val="single" w:color="auto"/>
          <w:color w:val="auto"/>
        </w:rPr>
        <w:t>Section 4.05</w:t>
      </w:r>
      <w:r>
        <w:rPr>
          <w:rFonts w:ascii="Arial" w:cs="Arial" w:eastAsia="Arial" w:hAnsi="Arial"/>
          <w:sz w:val="21"/>
          <w:szCs w:val="21"/>
          <w:color w:val="auto"/>
        </w:rPr>
        <w:t xml:space="preserve">, any voluntary prepayment of the applicable Loans that occurs within three (3) Business Days of the date that the applicable Lenders decline such mandatory prepayment in an amount equal to such declined proceeds, shall: (i) be excluded from the notice and minimum amount requirements of </w:t>
      </w:r>
      <w:r>
        <w:rPr>
          <w:rFonts w:ascii="Arial" w:cs="Arial" w:eastAsia="Arial" w:hAnsi="Arial"/>
          <w:sz w:val="21"/>
          <w:szCs w:val="21"/>
          <w:u w:val="single" w:color="auto"/>
          <w:color w:val="auto"/>
        </w:rPr>
        <w:t>Sections 4.01(a)(i)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and (ii) be applied to reduce the Loans and the Prepayment Premium that would have been applicable to such amount if accepted as a mandatory prepayment under </w:t>
      </w:r>
      <w:r>
        <w:rPr>
          <w:rFonts w:ascii="Arial" w:cs="Arial" w:eastAsia="Arial" w:hAnsi="Arial"/>
          <w:sz w:val="21"/>
          <w:szCs w:val="21"/>
          <w:u w:val="single" w:color="auto"/>
          <w:color w:val="auto"/>
        </w:rPr>
        <w:t>Section 4.02(a)</w:t>
      </w:r>
      <w:r>
        <w:rPr>
          <w:rFonts w:ascii="Arial" w:cs="Arial" w:eastAsia="Arial" w:hAnsi="Arial"/>
          <w:sz w:val="21"/>
          <w:szCs w:val="21"/>
          <w:color w:val="auto"/>
        </w:rPr>
        <w: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Mandatory Prepayments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2400" w:hanging="448"/>
        <w:spacing w:after="0"/>
        <w:tabs>
          <w:tab w:leader="none" w:pos="24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Borrower shall prepay the Loans in accordance with the following:</w:t>
      </w:r>
    </w:p>
    <w:p>
      <w:pPr>
        <w:spacing w:after="0" w:line="179" w:lineRule="exact"/>
        <w:rPr>
          <w:rFonts w:ascii="Arial" w:cs="Arial" w:eastAsia="Arial" w:hAnsi="Arial"/>
          <w:sz w:val="22"/>
          <w:szCs w:val="22"/>
          <w:color w:val="auto"/>
        </w:rPr>
      </w:pPr>
    </w:p>
    <w:p>
      <w:pPr>
        <w:jc w:val="both"/>
        <w:ind w:left="660" w:firstLine="1940"/>
        <w:spacing w:after="0" w:line="214" w:lineRule="auto"/>
        <w:tabs>
          <w:tab w:leader="none" w:pos="3211"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Concurrently with the incurrence of any Indebtedness by any Loan Party or any of its Subsidiaries (other than Indebtedness permitted under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the Borrower shall (x) prepay the Loans in an amount equal to one hundred percent (100%) of the applicable Net Debt Proceeds, to be applied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4.02(b)</w:t>
      </w:r>
      <w:r>
        <w:rPr>
          <w:rFonts w:ascii="Arial" w:cs="Arial" w:eastAsia="Arial" w:hAnsi="Arial"/>
          <w:sz w:val="22"/>
          <w:szCs w:val="22"/>
          <w:color w:val="auto"/>
        </w:rPr>
        <w:t xml:space="preserve"> and (y) pay the applicable Prepayment Premium, if any. Nothing in this </w:t>
      </w:r>
      <w:r>
        <w:rPr>
          <w:rFonts w:ascii="Arial" w:cs="Arial" w:eastAsia="Arial" w:hAnsi="Arial"/>
          <w:sz w:val="22"/>
          <w:szCs w:val="22"/>
          <w:u w:val="single" w:color="auto"/>
          <w:color w:val="auto"/>
        </w:rPr>
        <w:t>Section 4.02(a)(i)</w:t>
      </w:r>
      <w:r>
        <w:rPr>
          <w:rFonts w:ascii="Arial" w:cs="Arial" w:eastAsia="Arial" w:hAnsi="Arial"/>
          <w:sz w:val="22"/>
          <w:szCs w:val="22"/>
          <w:color w:val="auto"/>
        </w:rPr>
        <w:t xml:space="preserve"> shall be construed to permit or waive any Default or Event of Default arising from any incurrence of Indebtedness not permitted under the terms of this Loan Agreement.</w:t>
      </w:r>
    </w:p>
    <w:p>
      <w:pPr>
        <w:spacing w:after="0" w:line="158" w:lineRule="exact"/>
        <w:rPr>
          <w:rFonts w:ascii="Arial" w:cs="Arial" w:eastAsia="Arial" w:hAnsi="Arial"/>
          <w:sz w:val="22"/>
          <w:szCs w:val="22"/>
          <w:color w:val="auto"/>
        </w:rPr>
      </w:pPr>
    </w:p>
    <w:p>
      <w:pPr>
        <w:jc w:val="both"/>
        <w:ind w:left="660" w:firstLine="1940"/>
        <w:spacing w:after="0" w:line="219" w:lineRule="auto"/>
        <w:tabs>
          <w:tab w:leader="none" w:pos="3137" w:val="left"/>
        </w:tabs>
        <w:numPr>
          <w:ilvl w:val="1"/>
          <w:numId w:val="98"/>
        </w:numPr>
        <w:rPr>
          <w:rFonts w:ascii="Arial" w:cs="Arial" w:eastAsia="Arial" w:hAnsi="Arial"/>
          <w:sz w:val="21"/>
          <w:szCs w:val="21"/>
          <w:color w:val="auto"/>
        </w:rPr>
      </w:pPr>
      <w:r>
        <w:rPr>
          <w:rFonts w:ascii="Arial" w:cs="Arial" w:eastAsia="Arial" w:hAnsi="Arial"/>
          <w:sz w:val="21"/>
          <w:szCs w:val="21"/>
          <w:color w:val="auto"/>
        </w:rPr>
        <w:t xml:space="preserve">Within five (5) Business Days of the receipt by any Loan Party or any of its Subsidiaries of any proceeds from any Disposition under </w:t>
      </w:r>
      <w:r>
        <w:rPr>
          <w:rFonts w:ascii="Arial" w:cs="Arial" w:eastAsia="Arial" w:hAnsi="Arial"/>
          <w:sz w:val="21"/>
          <w:szCs w:val="21"/>
          <w:u w:val="single" w:color="auto"/>
          <w:color w:val="auto"/>
        </w:rPr>
        <w:t>Section 9.04(a) or (b)</w:t>
      </w:r>
      <w:r>
        <w:rPr>
          <w:rFonts w:ascii="Arial" w:cs="Arial" w:eastAsia="Arial" w:hAnsi="Arial"/>
          <w:sz w:val="21"/>
          <w:szCs w:val="21"/>
          <w:color w:val="auto"/>
        </w:rPr>
        <w:t xml:space="preserve"> in excess of $1,500,000, the Borrower shall prepay the Loans in an amount equal to one hundred percent (100%) of the Net Disposition Proceeds from such Disposition, to be applied as set forth in </w:t>
      </w:r>
      <w:r>
        <w:rPr>
          <w:rFonts w:ascii="Arial" w:cs="Arial" w:eastAsia="Arial" w:hAnsi="Arial"/>
          <w:sz w:val="21"/>
          <w:szCs w:val="21"/>
          <w:u w:val="single" w:color="auto"/>
          <w:color w:val="auto"/>
        </w:rPr>
        <w:t>Section 4.02(b)</w:t>
      </w:r>
      <w:r>
        <w:rPr>
          <w:rFonts w:ascii="Arial" w:cs="Arial" w:eastAsia="Arial" w:hAnsi="Arial"/>
          <w:sz w:val="21"/>
          <w:szCs w:val="21"/>
          <w:color w:val="auto"/>
        </w:rPr>
        <w:t xml:space="preserve">, and, solely to the extent such Disposition is with respect to all or substantially all of the assets of the Loan Parties and their Subsidiaries taken as a whole, the Borrower shall pay the applicable Prepayment Premium, if 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Borrower may, at its option by written notice to the Administrative Agent on or prior to the date of the Disposition giving rise to such Net Disposition Proceeds, within one hundred eighty (180) days after such event, reinvest or commit to reinvest such Net Disposition Proceeds in fixed assets to be used in the business of the Borrower and its Subsidiaries so long as (A) [reserved], (B) no Default or Event of Default has occurred and is continuing, and the Borrower certifies in writing to the Administrative Agent that no Default or Event of Default has occurred and</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is continuing, (C) such Net Disposition Proceeds are held in an account subject to an Account Control Agreement while awaiting reinvestment and (D) the Borrower shall be in compliance with </w:t>
      </w:r>
      <w:r>
        <w:rPr>
          <w:rFonts w:ascii="Arial" w:cs="Arial" w:eastAsia="Arial" w:hAnsi="Arial"/>
          <w:sz w:val="19"/>
          <w:szCs w:val="19"/>
          <w:u w:val="single" w:color="auto"/>
          <w:color w:val="auto"/>
        </w:rPr>
        <w:t>Section 9.13(c)</w:t>
      </w:r>
      <w:r>
        <w:rPr>
          <w:rFonts w:ascii="Arial" w:cs="Arial" w:eastAsia="Arial" w:hAnsi="Arial"/>
          <w:sz w:val="19"/>
          <w:szCs w:val="19"/>
          <w:color w:val="auto"/>
        </w:rPr>
        <w:t xml:space="preserve"> on a pro forma basis after giving effect to such reinvestment;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such Net Disposition Proceeds are committed to be reinvested within such one hundred eighty (180) period, such Net Disposition Proceeds shall actually be reinvested within an additional one hundred twenty (120) day period. Nothing in this </w:t>
      </w:r>
      <w:r>
        <w:rPr>
          <w:rFonts w:ascii="Arial" w:cs="Arial" w:eastAsia="Arial" w:hAnsi="Arial"/>
          <w:sz w:val="19"/>
          <w:szCs w:val="19"/>
          <w:u w:val="single" w:color="auto"/>
          <w:color w:val="auto"/>
        </w:rPr>
        <w:t>Section 4.02(a)(ii)</w:t>
      </w:r>
      <w:r>
        <w:rPr>
          <w:rFonts w:ascii="Arial" w:cs="Arial" w:eastAsia="Arial" w:hAnsi="Arial"/>
          <w:sz w:val="19"/>
          <w:szCs w:val="19"/>
          <w:color w:val="auto"/>
        </w:rPr>
        <w:t xml:space="preserve"> shall be construed to permit or waive any Default or Event of Default arising from any Disposition not permitted under the terms of this Loan Agreement.</w:t>
      </w:r>
    </w:p>
    <w:p>
      <w:pPr>
        <w:spacing w:after="0" w:line="152" w:lineRule="exact"/>
        <w:rPr>
          <w:sz w:val="20"/>
          <w:szCs w:val="20"/>
          <w:color w:val="auto"/>
        </w:rPr>
      </w:pPr>
    </w:p>
    <w:p>
      <w:pPr>
        <w:jc w:val="both"/>
        <w:ind w:firstLine="1940"/>
        <w:spacing w:after="0"/>
        <w:tabs>
          <w:tab w:leader="none" w:pos="2526"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Within five (5) Business Days of the receipt by any Loan Party or any of its Subsidiaries of any proceeds from any Casualty Event in excess of $1,000,000, the Borrower shall prepay the Loans in an amount equal to one hundred percent (100%) of such Net Casualty Proceeds, to be applied as set forth in </w:t>
      </w:r>
      <w:r>
        <w:rPr>
          <w:rFonts w:ascii="Arial" w:cs="Arial" w:eastAsia="Arial" w:hAnsi="Arial"/>
          <w:sz w:val="19"/>
          <w:szCs w:val="19"/>
          <w:u w:val="single" w:color="auto"/>
          <w:color w:val="auto"/>
        </w:rPr>
        <w:t>Section 4.02(b)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 may, at its option by written notice to the Administrative Agent no later than one hundred eighty (180) days following the occurrence of the Casualty Event resulting in such Net Casualty Proceeds, apply such Net Casualty Proceeds to the rebuilding or replacement of such damaged, destroyed or condemned assets or property or reinvested in fixed assets to be used in the business of the Borrower and its Subsidiaries so long as such Net Casualty Proceeds are in fact used or are committed to be used to rebuild or replace the damaged, destroyed or condemned assets or property within such one hundred eighty (180) days following the receipt of such Net Casualty Proceeds, with the amount of Net Casualty Proceeds not so used after such period to be applied as set forth in </w:t>
      </w:r>
      <w:r>
        <w:rPr>
          <w:rFonts w:ascii="Arial" w:cs="Arial" w:eastAsia="Arial" w:hAnsi="Arial"/>
          <w:sz w:val="19"/>
          <w:szCs w:val="19"/>
          <w:u w:val="single" w:color="auto"/>
          <w:color w:val="auto"/>
        </w:rPr>
        <w:t>Section 4.02(b)</w:t>
      </w:r>
      <w:r>
        <w:rPr>
          <w:rFonts w:ascii="Arial" w:cs="Arial" w:eastAsia="Arial" w:hAnsi="Arial"/>
          <w:sz w:val="19"/>
          <w:szCs w:val="19"/>
          <w:color w:val="auto"/>
        </w:rPr>
        <w:t xml:space="preserve">; so long as (A) no Default or Event of Default has occurred and is continuing, and the Borrower certifies in writing to the Administrative Agent that no Default or Event of Default has occurred and is continuing, (B) such Net Casualty Proceeds are held in an account subject to an Account Control Agreement while awaiting reinvestment and (C) the Borrower shall be in compliance with </w:t>
      </w:r>
      <w:r>
        <w:rPr>
          <w:rFonts w:ascii="Arial" w:cs="Arial" w:eastAsia="Arial" w:hAnsi="Arial"/>
          <w:sz w:val="19"/>
          <w:szCs w:val="19"/>
          <w:u w:val="single" w:color="auto"/>
          <w:color w:val="auto"/>
        </w:rPr>
        <w:t>Section 9.13(c)</w:t>
      </w:r>
      <w:r>
        <w:rPr>
          <w:rFonts w:ascii="Arial" w:cs="Arial" w:eastAsia="Arial" w:hAnsi="Arial"/>
          <w:sz w:val="19"/>
          <w:szCs w:val="19"/>
          <w:color w:val="auto"/>
        </w:rPr>
        <w:t xml:space="preserve"> on a pro forma basis after giving effect to such reinvestment;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such Net Casualty Proceeds are committed to be reinvested within such one hundred eighty (180) day period, such Net Casualty Proceeds shall be actually reinvested within an additional one hundred twenty (120) days. Nothing in this </w:t>
      </w:r>
      <w:r>
        <w:rPr>
          <w:rFonts w:ascii="Arial" w:cs="Arial" w:eastAsia="Arial" w:hAnsi="Arial"/>
          <w:sz w:val="19"/>
          <w:szCs w:val="19"/>
          <w:u w:val="single" w:color="auto"/>
          <w:color w:val="auto"/>
        </w:rPr>
        <w:t>Section 4.02(a)(iii)</w:t>
      </w:r>
      <w:r>
        <w:rPr>
          <w:rFonts w:ascii="Arial" w:cs="Arial" w:eastAsia="Arial" w:hAnsi="Arial"/>
          <w:sz w:val="19"/>
          <w:szCs w:val="19"/>
          <w:color w:val="auto"/>
        </w:rPr>
        <w:t xml:space="preserve"> shall be construed to permit or waive any Default or Event of Default arising, directly or indirectly, from any Casualty Event. It is understood and agreed the Prepayment Premium is not due and payable for payments under this clause </w:t>
      </w:r>
      <w:r>
        <w:rPr>
          <w:rFonts w:ascii="Arial" w:cs="Arial" w:eastAsia="Arial" w:hAnsi="Arial"/>
          <w:sz w:val="19"/>
          <w:szCs w:val="19"/>
          <w:u w:val="single" w:color="auto"/>
          <w:color w:val="auto"/>
        </w:rPr>
        <w:t>(iii)</w:t>
      </w:r>
      <w:r>
        <w:rPr>
          <w:rFonts w:ascii="Arial" w:cs="Arial" w:eastAsia="Arial" w:hAnsi="Arial"/>
          <w:sz w:val="19"/>
          <w:szCs w:val="19"/>
          <w:color w:val="auto"/>
        </w:rPr>
        <w:t>.</w:t>
      </w:r>
    </w:p>
    <w:p>
      <w:pPr>
        <w:spacing w:after="0" w:line="387" w:lineRule="exact"/>
        <w:rPr>
          <w:rFonts w:ascii="Arial" w:cs="Arial" w:eastAsia="Arial" w:hAnsi="Arial"/>
          <w:sz w:val="19"/>
          <w:szCs w:val="19"/>
          <w:color w:val="auto"/>
        </w:rPr>
      </w:pPr>
    </w:p>
    <w:p>
      <w:pPr>
        <w:ind w:left="2460" w:hanging="520"/>
        <w:spacing w:after="0"/>
        <w:tabs>
          <w:tab w:leader="none" w:pos="24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400" w:hanging="460"/>
        <w:spacing w:after="0"/>
        <w:tabs>
          <w:tab w:leader="none" w:pos="24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460" w:hanging="520"/>
        <w:spacing w:after="0"/>
        <w:tabs>
          <w:tab w:leader="none" w:pos="24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940"/>
        <w:spacing w:after="0" w:line="246" w:lineRule="auto"/>
        <w:tabs>
          <w:tab w:leader="none" w:pos="2574"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immediately upon any acceleration of any Obligations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(whether before, during or after the commencement of any proceeding under the Bankruptcy Code involving the Borrower or any other Loan Party), the Borrower shall immediately repay all the Loans, together with the applicable Prepayment Premium, unless only a portion of the Loans is so accelerated (in which case the portion so accelerated shall be so repaid together with the applicable Prepayment Premium). The parties hereto acknowledge and agree that the Prepayment Premium referred to in this </w:t>
      </w:r>
      <w:r>
        <w:rPr>
          <w:rFonts w:ascii="Arial" w:cs="Arial" w:eastAsia="Arial" w:hAnsi="Arial"/>
          <w:sz w:val="19"/>
          <w:szCs w:val="19"/>
          <w:u w:val="single" w:color="auto"/>
          <w:color w:val="auto"/>
        </w:rPr>
        <w:t>Section 4.02(a)(vii)</w:t>
      </w:r>
      <w:r>
        <w:rPr>
          <w:rFonts w:ascii="Arial" w:cs="Arial" w:eastAsia="Arial" w:hAnsi="Arial"/>
          <w:sz w:val="19"/>
          <w:szCs w:val="19"/>
          <w:color w:val="auto"/>
        </w:rPr>
        <w:t xml:space="preserve"> (i) is additional consideration for providing the Loans, (ii) constitutes reasonable liquidated damages to compensate the Lenders for (and is a proportionate quantification of) the actual loss of the anticipated stream of interest payments upon an</w:t>
      </w:r>
    </w:p>
    <w:p>
      <w:pPr>
        <w:sectPr>
          <w:pgSz w:w="11900" w:h="16838" w:orient="portrait"/>
          <w:cols w:equalWidth="0" w:num="1">
            <w:col w:w="10580"/>
          </w:cols>
          <w:pgMar w:left="980" w:top="1440" w:right="339" w:bottom="1440" w:gutter="0" w:footer="0" w:header="0"/>
        </w:sectPr>
      </w:pPr>
    </w:p>
    <w:bookmarkStart w:id="121" w:name="page122"/>
    <w:bookmarkEnd w:id="121"/>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early prepayment of the Loans (such damages being otherwise impossible to ascertain or even estimate for various reasons, including, without limitation, because such damages would depend on, among other things, (x) when the Loans might otherwise be repaid and (y) future changes in interest rates which are not readily ascertainable on the Closing Date), and (iii) is not a penalty to punish the Borrower for its early prepayment of the Loans or for the occurrence of any Event of Default.</w:t>
      </w:r>
    </w:p>
    <w:p>
      <w:pPr>
        <w:spacing w:after="0" w:line="158" w:lineRule="exact"/>
        <w:rPr>
          <w:sz w:val="20"/>
          <w:szCs w:val="20"/>
          <w:color w:val="auto"/>
        </w:rPr>
      </w:pPr>
    </w:p>
    <w:p>
      <w:pPr>
        <w:ind w:firstLine="1940"/>
        <w:spacing w:after="0" w:line="232" w:lineRule="auto"/>
        <w:tabs>
          <w:tab w:leader="none" w:pos="275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Concurrently with any Change of Control, the Borrower shall repay all of the Loans, together with the applicable Prepayment Premium, if any, and all other outstanding Obligations.</w:t>
      </w:r>
    </w:p>
    <w:p>
      <w:pPr>
        <w:spacing w:after="0" w:line="158" w:lineRule="exact"/>
        <w:rPr>
          <w:rFonts w:ascii="Arial" w:cs="Arial" w:eastAsia="Arial" w:hAnsi="Arial"/>
          <w:sz w:val="22"/>
          <w:szCs w:val="22"/>
          <w:color w:val="auto"/>
        </w:rPr>
      </w:pPr>
    </w:p>
    <w:p>
      <w:pPr>
        <w:jc w:val="both"/>
        <w:ind w:firstLine="1940"/>
        <w:spacing w:after="0" w:line="212" w:lineRule="auto"/>
        <w:tabs>
          <w:tab w:leader="none" w:pos="249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Within five (5) Business Days after the date that the annual consolidated financial statements of the Borrower and its Subsidiaries are required to be delivered pursuant to </w:t>
      </w:r>
      <w:r>
        <w:rPr>
          <w:rFonts w:ascii="Arial" w:cs="Arial" w:eastAsia="Arial" w:hAnsi="Arial"/>
          <w:sz w:val="22"/>
          <w:szCs w:val="22"/>
          <w:u w:val="single" w:color="auto"/>
          <w:color w:val="auto"/>
        </w:rPr>
        <w:t>Section 8.01(c)</w:t>
      </w:r>
      <w:r>
        <w:rPr>
          <w:rFonts w:ascii="Arial" w:cs="Arial" w:eastAsia="Arial" w:hAnsi="Arial"/>
          <w:sz w:val="22"/>
          <w:szCs w:val="22"/>
          <w:color w:val="auto"/>
        </w:rPr>
        <w:t xml:space="preserve"> after the end of each fiscal year ending after the Closing Date, beginning with the fiscal year ending December 31, 2021, the Borrower will prepay the Loans, to be applied as set forth in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in an amount equal to (x) the Prepayment Percentage of Excess Cash Flow, if any, for such fiscal year </w:t>
      </w:r>
      <w:r>
        <w:rPr>
          <w:rFonts w:ascii="Arial" w:cs="Arial" w:eastAsia="Arial" w:hAnsi="Arial"/>
          <w:sz w:val="22"/>
          <w:szCs w:val="22"/>
          <w:i w:val="1"/>
          <w:iCs w:val="1"/>
          <w:color w:val="auto"/>
        </w:rPr>
        <w:t>minus</w:t>
      </w:r>
      <w:r>
        <w:rPr>
          <w:rFonts w:ascii="Arial" w:cs="Arial" w:eastAsia="Arial" w:hAnsi="Arial"/>
          <w:sz w:val="22"/>
          <w:szCs w:val="22"/>
          <w:color w:val="auto"/>
        </w:rPr>
        <w:t xml:space="preserve"> (y) other than to the extent made from Net Debt Proceeds from any long-term Indebtedness, the principal amount of Loans voluntarily prepaid in accordance with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during such fiscal year.</w:t>
      </w:r>
    </w:p>
    <w:p>
      <w:pPr>
        <w:spacing w:after="0" w:line="163" w:lineRule="exact"/>
        <w:rPr>
          <w:rFonts w:ascii="Arial" w:cs="Arial" w:eastAsia="Arial" w:hAnsi="Arial"/>
          <w:sz w:val="22"/>
          <w:szCs w:val="22"/>
          <w:color w:val="auto"/>
        </w:rPr>
      </w:pPr>
    </w:p>
    <w:p>
      <w:pPr>
        <w:jc w:val="both"/>
        <w:ind w:left="-660" w:firstLine="1952"/>
        <w:spacing w:after="0" w:line="243" w:lineRule="auto"/>
        <w:tabs>
          <w:tab w:leader="none" w:pos="1779"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Application of Payments</w:t>
      </w:r>
      <w:r>
        <w:rPr>
          <w:rFonts w:ascii="Arial" w:cs="Arial" w:eastAsia="Arial" w:hAnsi="Arial"/>
          <w:sz w:val="19"/>
          <w:szCs w:val="19"/>
          <w:color w:val="auto"/>
        </w:rPr>
        <w:t xml:space="preserve">. Voluntary prepayments shall be applied as set forth in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and, except as set forth in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each payment and prepayment of Loans required by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and any other amount that the Administrative Agent receives from any Person as a result of a provision in any Loan Document requiring that such amount be paid to the Administrative Agent, one hundred percent (100%) of such amount shall be applied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to the Loans (and</w:t>
      </w:r>
      <w:r>
        <w:rPr>
          <w:rFonts w:ascii="Arial" w:cs="Arial" w:eastAsia="Arial" w:hAnsi="Arial"/>
          <w:sz w:val="19"/>
          <w:szCs w:val="19"/>
          <w:i w:val="1"/>
          <w:iCs w:val="1"/>
          <w:color w:val="auto"/>
        </w:rPr>
        <w:t xml:space="preserve"> pro rata </w:t>
      </w:r>
      <w:r>
        <w:rPr>
          <w:rFonts w:ascii="Arial" w:cs="Arial" w:eastAsia="Arial" w:hAnsi="Arial"/>
          <w:sz w:val="19"/>
          <w:szCs w:val="19"/>
          <w:color w:val="auto"/>
        </w:rPr>
        <w:t>among and within each Class of Loans) based on the outstanding principal amounts thereof until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Loans are paid in full, and finally to any other outstanding Obligations until paid in full;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pay all amounts, if any, required to be paid pursuant 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each prepayment of Loans made on any date other than the last day of the applicable Interest Period. Each such prepayment shall be accompanied by all accrued interest on the Loans so prepaid, through the date of such prepayment, and, to the extent applicable (and whether before, during or after acceleration of the Loans and/or the occurrence of any Event of Default and/or the commencement of any proceeding under the Bankruptcy Code involving the Borrower or any other Loan Party), the Prepayment Premium.</w:t>
      </w:r>
    </w:p>
    <w:p>
      <w:pPr>
        <w:spacing w:after="0" w:line="158" w:lineRule="exact"/>
        <w:rPr>
          <w:rFonts w:ascii="Arial" w:cs="Arial" w:eastAsia="Arial" w:hAnsi="Arial"/>
          <w:sz w:val="19"/>
          <w:szCs w:val="19"/>
          <w:color w:val="auto"/>
        </w:rPr>
      </w:pPr>
    </w:p>
    <w:p>
      <w:pPr>
        <w:jc w:val="both"/>
        <w:ind w:left="-660" w:firstLine="1952"/>
        <w:spacing w:after="0" w:line="224" w:lineRule="auto"/>
        <w:tabs>
          <w:tab w:leader="none" w:pos="179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Application of Collateral Proceeds</w:t>
      </w:r>
      <w:r>
        <w:rPr>
          <w:rFonts w:ascii="Arial" w:cs="Arial" w:eastAsia="Arial" w:hAnsi="Arial"/>
          <w:sz w:val="21"/>
          <w:szCs w:val="21"/>
          <w:color w:val="auto"/>
        </w:rPr>
        <w:t xml:space="preserve">. Notwithstanding anything to the contrary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(x) all proceeds of Collateral received by the Administrative Agent, a Lender or any other Person pursuant to the exercise of rights or remedies against the Collateral, (y) all payments received by Administrative Agent or any Lender upon and after the acceleration of any of the Obligations and (z) all payments received by Administrative Agent or any Lender following written notice to the Borrower and Administrative Agent by the Required Lenders during the existence of an Event of Default to impose the waterfall set forth in this </w:t>
      </w:r>
      <w:r>
        <w:rPr>
          <w:rFonts w:ascii="Arial" w:cs="Arial" w:eastAsia="Arial" w:hAnsi="Arial"/>
          <w:sz w:val="21"/>
          <w:szCs w:val="21"/>
          <w:u w:val="single" w:color="auto"/>
          <w:color w:val="auto"/>
        </w:rPr>
        <w:t>Section 4.02(c)</w:t>
      </w:r>
      <w:r>
        <w:rPr>
          <w:rFonts w:ascii="Arial" w:cs="Arial" w:eastAsia="Arial" w:hAnsi="Arial"/>
          <w:sz w:val="21"/>
          <w:szCs w:val="21"/>
          <w:color w:val="auto"/>
        </w:rPr>
        <w:t>, shall be applied as follows:</w:t>
      </w:r>
    </w:p>
    <w:p>
      <w:pPr>
        <w:spacing w:after="0" w:line="159" w:lineRule="exact"/>
        <w:rPr>
          <w:rFonts w:ascii="Arial" w:cs="Arial" w:eastAsia="Arial" w:hAnsi="Arial"/>
          <w:sz w:val="21"/>
          <w:szCs w:val="21"/>
          <w:color w:val="auto"/>
        </w:rPr>
      </w:pPr>
    </w:p>
    <w:p>
      <w:pPr>
        <w:ind w:firstLine="1940"/>
        <w:spacing w:after="0" w:line="232" w:lineRule="auto"/>
        <w:tabs>
          <w:tab w:leader="none" w:pos="2390"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pay any and all costs, fees, and expenses of, and any indemnity payments then due to, the Agents under the Loan Documents, until paid in full;</w:t>
      </w:r>
    </w:p>
    <w:p>
      <w:pPr>
        <w:spacing w:after="0" w:line="158" w:lineRule="exact"/>
        <w:rPr>
          <w:rFonts w:ascii="Arial" w:cs="Arial" w:eastAsia="Arial" w:hAnsi="Arial"/>
          <w:sz w:val="22"/>
          <w:szCs w:val="22"/>
          <w:color w:val="auto"/>
        </w:rPr>
      </w:pPr>
    </w:p>
    <w:p>
      <w:pPr>
        <w:ind w:firstLine="1940"/>
        <w:spacing w:after="0" w:line="232" w:lineRule="auto"/>
        <w:tabs>
          <w:tab w:leader="none" w:pos="2441"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ratably to pay any costs, fees, and expenses of, and any indemnity payments then due to, any of the Lenders under the Loan Documents, until paid in full;</w:t>
      </w:r>
    </w:p>
    <w:p>
      <w:pPr>
        <w:sectPr>
          <w:pgSz w:w="11900" w:h="16838" w:orient="portrait"/>
          <w:cols w:equalWidth="0" w:num="1">
            <w:col w:w="10580"/>
          </w:cols>
          <w:pgMar w:left="980" w:top="1440" w:right="339" w:bottom="1440" w:gutter="0" w:footer="0" w:header="0"/>
        </w:sectPr>
      </w:pPr>
    </w:p>
    <w:bookmarkStart w:id="122" w:name="page123"/>
    <w:bookmarkEnd w:id="122"/>
    <w:p>
      <w:pPr>
        <w:spacing w:after="0" w:line="177" w:lineRule="exact"/>
        <w:rPr>
          <w:sz w:val="20"/>
          <w:szCs w:val="20"/>
          <w:color w:val="auto"/>
        </w:rPr>
      </w:pPr>
    </w:p>
    <w:p>
      <w:pPr>
        <w:ind w:left="3160" w:hanging="560"/>
        <w:spacing w:after="0"/>
        <w:tabs>
          <w:tab w:leader="none" w:pos="316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ratably to the Lenders to pay interest due in respect of the outstanding Loans until paid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full;</w:t>
      </w:r>
    </w:p>
    <w:p>
      <w:pPr>
        <w:spacing w:after="0" w:line="161" w:lineRule="exact"/>
        <w:rPr>
          <w:sz w:val="20"/>
          <w:szCs w:val="20"/>
          <w:color w:val="auto"/>
        </w:rPr>
      </w:pPr>
    </w:p>
    <w:p>
      <w:pPr>
        <w:ind w:left="660" w:firstLine="1940"/>
        <w:spacing w:after="0" w:line="232" w:lineRule="auto"/>
        <w:tabs>
          <w:tab w:leader="none" w:pos="316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ratably to the Lenders to pay the outstanding principal balance of the Loans on a </w:t>
      </w:r>
      <w:r>
        <w:rPr>
          <w:rFonts w:ascii="Arial" w:cs="Arial" w:eastAsia="Arial" w:hAnsi="Arial"/>
          <w:sz w:val="22"/>
          <w:szCs w:val="22"/>
          <w:i w:val="1"/>
          <w:iCs w:val="1"/>
          <w:color w:val="auto"/>
        </w:rPr>
        <w:t>pro</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rata </w:t>
      </w:r>
      <w:r>
        <w:rPr>
          <w:rFonts w:ascii="Arial" w:cs="Arial" w:eastAsia="Arial" w:hAnsi="Arial"/>
          <w:sz w:val="22"/>
          <w:szCs w:val="22"/>
          <w:color w:val="auto"/>
        </w:rPr>
        <w:t>basis until the Loans are paid in full;</w:t>
      </w:r>
    </w:p>
    <w:p>
      <w:pPr>
        <w:spacing w:after="0" w:line="158" w:lineRule="exact"/>
        <w:rPr>
          <w:rFonts w:ascii="Arial" w:cs="Arial" w:eastAsia="Arial" w:hAnsi="Arial"/>
          <w:sz w:val="22"/>
          <w:szCs w:val="22"/>
          <w:color w:val="auto"/>
        </w:rPr>
      </w:pPr>
    </w:p>
    <w:p>
      <w:pPr>
        <w:ind w:left="660" w:firstLine="1940"/>
        <w:spacing w:after="0" w:line="232" w:lineRule="auto"/>
        <w:tabs>
          <w:tab w:leader="none" w:pos="314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ratably to the Lenders to pay any Prepayment Premium payable pursuant to this Loan Agreement, and any other applicable premiums in respect of the Loans;</w:t>
      </w:r>
    </w:p>
    <w:p>
      <w:pPr>
        <w:spacing w:after="0" w:line="158" w:lineRule="exact"/>
        <w:rPr>
          <w:rFonts w:ascii="Arial" w:cs="Arial" w:eastAsia="Arial" w:hAnsi="Arial"/>
          <w:sz w:val="22"/>
          <w:szCs w:val="22"/>
          <w:color w:val="auto"/>
        </w:rPr>
      </w:pPr>
    </w:p>
    <w:p>
      <w:pPr>
        <w:jc w:val="both"/>
        <w:ind w:left="660" w:firstLine="1940"/>
        <w:spacing w:after="0" w:line="268" w:lineRule="auto"/>
        <w:tabs>
          <w:tab w:leader="none" w:pos="320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to pay any other Secured Obligations, ratably to the Persons entitled thereto and any breakage, termination or other payments under Hedging Agreements constituting Secured Obligations and any interest accrued thereon, and any payments under Secured Cash Management Agreements constituting Secured Obligations; and</w:t>
      </w:r>
    </w:p>
    <w:p>
      <w:pPr>
        <w:spacing w:after="0" w:line="132" w:lineRule="exact"/>
        <w:rPr>
          <w:rFonts w:ascii="Arial" w:cs="Arial" w:eastAsia="Arial" w:hAnsi="Arial"/>
          <w:sz w:val="19"/>
          <w:szCs w:val="19"/>
          <w:color w:val="auto"/>
        </w:rPr>
      </w:pPr>
    </w:p>
    <w:p>
      <w:pPr>
        <w:ind w:left="3180" w:hanging="580"/>
        <w:spacing w:after="0"/>
        <w:tabs>
          <w:tab w:leader="none" w:pos="318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seventh</w:t>
      </w:r>
      <w:r>
        <w:rPr>
          <w:rFonts w:ascii="Arial" w:cs="Arial" w:eastAsia="Arial" w:hAnsi="Arial"/>
          <w:sz w:val="21"/>
          <w:szCs w:val="21"/>
          <w:color w:val="auto"/>
        </w:rPr>
        <w:t>, to the Borrower or such other Person entitled thereto under Applicable Law.</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For the avoidance of doubt, notwithstanding any other provision of any Loan Document, no amount received directly or indirectly from any Loan Party that is not a Qualified ECP Guarantor shall be applied directly or indirectly by the Administrative Agent or otherwise to the payment of any Obligations arising under Secured Cash Management Agreements and Secured Hedging Agreements shall be excluded from the application described above if the Administrative Agent has not received written notice thereof, together with such supporting documentation from the applicable Cash Management Bank or Hedge Bank, as the case may be, as may be reasonably necessary to determine the amount of the Secured Obligations owed thereunder. Each Cash Management Bank or Hedge Bank not a party to this Loan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 for itself and its Affiliates as if a “Lender” party hereto and be deemed to be (and agrees to be) subject to the provisions in </w:t>
      </w:r>
      <w:r>
        <w:rPr>
          <w:rFonts w:ascii="Arial" w:cs="Arial" w:eastAsia="Arial" w:hAnsi="Arial"/>
          <w:sz w:val="19"/>
          <w:szCs w:val="19"/>
          <w:u w:val="single" w:color="auto"/>
          <w:color w:val="auto"/>
        </w:rPr>
        <w:t>Sections 12.14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13.04</w:t>
      </w:r>
      <w:r>
        <w:rPr>
          <w:rFonts w:ascii="Arial" w:cs="Arial" w:eastAsia="Arial" w:hAnsi="Arial"/>
          <w:sz w:val="19"/>
          <w:szCs w:val="19"/>
          <w:color w:val="auto"/>
        </w:rPr>
        <w:t xml:space="preserve"> as a party hereto.</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Payment of Obligations; Method and Place of Payment</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7" w:lineRule="auto"/>
        <w:tabs>
          <w:tab w:leader="none" w:pos="240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The obligations of each Loan Party hereunder and under each other Loan Document are not subject to counterclaim, set-off, rights of rescission, or any other defense of any kind whatsoever (other than defense of payment). Subject to </w:t>
      </w:r>
      <w:r>
        <w:rPr>
          <w:rFonts w:ascii="Arial" w:cs="Arial" w:eastAsia="Arial" w:hAnsi="Arial"/>
          <w:sz w:val="19"/>
          <w:szCs w:val="19"/>
          <w:u w:val="single" w:color="auto"/>
          <w:color w:val="auto"/>
        </w:rPr>
        <w:t>Section 4.04</w:t>
      </w:r>
      <w:r>
        <w:rPr>
          <w:rFonts w:ascii="Arial" w:cs="Arial" w:eastAsia="Arial" w:hAnsi="Arial"/>
          <w:sz w:val="19"/>
          <w:szCs w:val="19"/>
          <w:color w:val="auto"/>
        </w:rPr>
        <w:t>, and except as otherwise specifically provided herein, all payments under any Loan Document shall be made by the Borrower, without counterclaim, set-off, rights of rescission, or deduction of any kind, to the Administrative Agent for the ratable account of the Secured Parties entitled thereto, not later than 1:00 p.m. on the date when due and shall be made in immediately available funds in Dollars to the Administrative Agent. The Administrative Agent will promptly thereafter cause to be distributed like funds relating to the payment of principal or interest or Fees ratably to the Secured Parties entitled thereto.</w:t>
      </w:r>
    </w:p>
    <w:p>
      <w:pPr>
        <w:spacing w:after="0" w:line="153" w:lineRule="exact"/>
        <w:rPr>
          <w:rFonts w:ascii="Arial" w:cs="Arial" w:eastAsia="Arial" w:hAnsi="Arial"/>
          <w:sz w:val="19"/>
          <w:szCs w:val="19"/>
          <w:color w:val="auto"/>
        </w:rPr>
      </w:pPr>
    </w:p>
    <w:p>
      <w:pPr>
        <w:jc w:val="both"/>
        <w:ind w:firstLine="1952"/>
        <w:spacing w:after="0" w:line="229" w:lineRule="auto"/>
        <w:tabs>
          <w:tab w:leader="none" w:pos="24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For purposes of computing interest or fees, any payments under this Loan Agreement that are made later than 1:00 p.m. on any Business Day may in the Administrative Agent’s discretion be deemed to have been made on the next succeeding Business Day. Whenever any payment to be made hereunder shall be stated to be due on a day that is not a Business Day, the due date thereof shall be extended to the next succeeding Business</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Day and, with respect to payments of principal, interest shall continue to accrue during such extension at the applicable rate in effect immediately prior to such extension.</w:t>
      </w:r>
    </w:p>
    <w:p>
      <w:pPr>
        <w:spacing w:after="0" w:line="159" w:lineRule="exact"/>
        <w:rPr>
          <w:sz w:val="20"/>
          <w:szCs w:val="20"/>
          <w:color w:val="auto"/>
        </w:rPr>
      </w:pPr>
    </w:p>
    <w:p>
      <w:pPr>
        <w:jc w:val="both"/>
        <w:ind w:firstLine="1952"/>
        <w:spacing w:after="0" w:line="298" w:lineRule="auto"/>
        <w:tabs>
          <w:tab w:leader="none" w:pos="24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4.03(a)</w:t>
      </w:r>
      <w:r>
        <w:rPr>
          <w:rFonts w:ascii="Arial" w:cs="Arial" w:eastAsia="Arial" w:hAnsi="Arial"/>
          <w:sz w:val="19"/>
          <w:szCs w:val="19"/>
          <w:color w:val="auto"/>
        </w:rPr>
        <w:t>, the Borrower shall make each payment under any Loan Document by wire transfer to such U.S. account as the Administrative Agent may identify in a written notice to the Borrower from time to time.</w:t>
      </w:r>
    </w:p>
    <w:p>
      <w:pPr>
        <w:spacing w:after="0" w:line="1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4" w:lineRule="auto"/>
        <w:tabs>
          <w:tab w:leader="none" w:pos="242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4.04</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60" w:lineRule="exact"/>
        <w:rPr>
          <w:rFonts w:ascii="Arial" w:cs="Arial" w:eastAsia="Arial" w:hAnsi="Arial"/>
          <w:sz w:val="19"/>
          <w:szCs w:val="19"/>
          <w:color w:val="auto"/>
        </w:rPr>
      </w:pPr>
    </w:p>
    <w:p>
      <w:pPr>
        <w:jc w:val="both"/>
        <w:ind w:firstLine="1952"/>
        <w:spacing w:after="0" w:line="223" w:lineRule="auto"/>
        <w:tabs>
          <w:tab w:leader="none" w:pos="242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Payment of Other Taxes</w:t>
      </w:r>
      <w:r>
        <w:rPr>
          <w:rFonts w:ascii="Arial" w:cs="Arial" w:eastAsia="Arial" w:hAnsi="Arial"/>
          <w:sz w:val="22"/>
          <w:szCs w:val="22"/>
          <w:color w:val="auto"/>
        </w:rPr>
        <w:t>. The Loan Parties shall timely pay to the relevant Governmental Authority in accordance with Applicable Law, or at the option of the Administrative Agent timely reimburse it for the payment of, any Other Taxes.</w:t>
      </w:r>
    </w:p>
    <w:p>
      <w:pPr>
        <w:spacing w:after="0" w:line="158" w:lineRule="exact"/>
        <w:rPr>
          <w:rFonts w:ascii="Arial" w:cs="Arial" w:eastAsia="Arial" w:hAnsi="Arial"/>
          <w:sz w:val="22"/>
          <w:szCs w:val="22"/>
          <w:color w:val="auto"/>
        </w:rPr>
      </w:pPr>
    </w:p>
    <w:p>
      <w:pPr>
        <w:jc w:val="both"/>
        <w:ind w:firstLine="1952"/>
        <w:spacing w:after="0" w:line="211" w:lineRule="auto"/>
        <w:tabs>
          <w:tab w:leader="none" w:pos="2511"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Indemnification by the Loan Parties</w:t>
      </w:r>
      <w:r>
        <w:rPr>
          <w:rFonts w:ascii="Arial" w:cs="Arial" w:eastAsia="Arial" w:hAnsi="Arial"/>
          <w:sz w:val="22"/>
          <w:szCs w:val="22"/>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Arial" w:cs="Arial" w:eastAsia="Arial" w:hAnsi="Arial"/>
          <w:sz w:val="22"/>
          <w:szCs w:val="22"/>
          <w:u w:val="single" w:color="auto"/>
          <w:color w:val="auto"/>
        </w:rPr>
        <w:t>Section 4.04</w:t>
      </w:r>
      <w:r>
        <w:rPr>
          <w:rFonts w:ascii="Arial" w:cs="Arial" w:eastAsia="Arial" w:hAnsi="Arial"/>
          <w:sz w:val="22"/>
          <w:szCs w:val="22"/>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4" w:lineRule="exact"/>
        <w:rPr>
          <w:rFonts w:ascii="Arial" w:cs="Arial" w:eastAsia="Arial" w:hAnsi="Arial"/>
          <w:sz w:val="22"/>
          <w:szCs w:val="22"/>
          <w:color w:val="auto"/>
        </w:rPr>
      </w:pPr>
    </w:p>
    <w:p>
      <w:pPr>
        <w:jc w:val="both"/>
        <w:ind w:firstLine="1952"/>
        <w:spacing w:after="0" w:line="219" w:lineRule="auto"/>
        <w:tabs>
          <w:tab w:leader="none" w:pos="2514"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21"/>
          <w:szCs w:val="21"/>
          <w:u w:val="single" w:color="auto"/>
          <w:color w:val="auto"/>
        </w:rPr>
        <w:t>Section 12.06(c)</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4.04(d)</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7" w:lineRule="exact"/>
        <w:rPr>
          <w:sz w:val="20"/>
          <w:szCs w:val="20"/>
          <w:color w:val="auto"/>
        </w:rPr>
      </w:pPr>
    </w:p>
    <w:p>
      <w:pPr>
        <w:jc w:val="both"/>
        <w:ind w:left="-660" w:firstLine="1952"/>
        <w:spacing w:after="0" w:line="229" w:lineRule="auto"/>
        <w:tabs>
          <w:tab w:leader="none" w:pos="1826"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As soon as practicable after any payment of Taxes by any Loan Party to a Governmental Authority pursuant to this </w:t>
      </w:r>
      <w:r>
        <w:rPr>
          <w:rFonts w:ascii="Arial" w:cs="Arial" w:eastAsia="Arial" w:hAnsi="Arial"/>
          <w:sz w:val="21"/>
          <w:szCs w:val="21"/>
          <w:u w:val="single" w:color="auto"/>
          <w:color w:val="auto"/>
        </w:rPr>
        <w:t>Section 4.04</w:t>
      </w:r>
      <w:r>
        <w:rPr>
          <w:rFonts w:ascii="Arial" w:cs="Arial" w:eastAsia="Arial" w:hAnsi="Arial"/>
          <w:sz w:val="21"/>
          <w:szCs w:val="21"/>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rFonts w:ascii="Arial" w:cs="Arial" w:eastAsia="Arial" w:hAnsi="Arial"/>
          <w:sz w:val="21"/>
          <w:szCs w:val="21"/>
          <w:color w:val="auto"/>
        </w:rPr>
      </w:pPr>
    </w:p>
    <w:p>
      <w:pPr>
        <w:ind w:left="1720" w:hanging="428"/>
        <w:spacing w:after="0"/>
        <w:tabs>
          <w:tab w:leader="none" w:pos="172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40"/>
        <w:spacing w:after="0" w:line="219" w:lineRule="auto"/>
        <w:tabs>
          <w:tab w:leader="none" w:pos="238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21"/>
          <w:szCs w:val="21"/>
          <w:u w:val="single" w:color="auto"/>
          <w:color w:val="auto"/>
        </w:rPr>
        <w:t>Sections 4.04(f)(ii)(A)</w:t>
      </w:r>
      <w:r>
        <w:rPr>
          <w:rFonts w:ascii="Arial" w:cs="Arial" w:eastAsia="Arial" w:hAnsi="Arial"/>
          <w:sz w:val="21"/>
          <w:szCs w:val="21"/>
          <w:color w:val="auto"/>
        </w:rPr>
        <w:t xml:space="preserve">, </w:t>
      </w:r>
      <w:r>
        <w:rPr>
          <w:rFonts w:ascii="Arial" w:cs="Arial" w:eastAsia="Arial" w:hAnsi="Arial"/>
          <w:sz w:val="21"/>
          <w:szCs w:val="21"/>
          <w:u w:val="single" w:color="auto"/>
          <w:color w:val="auto"/>
        </w:rPr>
        <w:t>(ii)(B)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(ii)(D)</w:t>
      </w:r>
      <w:r>
        <w:rPr>
          <w:rFonts w:ascii="Arial" w:cs="Arial" w:eastAsia="Arial" w:hAnsi="Arial"/>
          <w:sz w:val="21"/>
          <w:szCs w:val="21"/>
          <w:color w:val="auto"/>
        </w:rPr>
        <w:t xml:space="preserve"> below) shall not be required if in the relevant Lender’s reasonable judgment such completion, execution or submission would subject such Lender to any material unreimbursed cost or expense or would materially prejudice the legal or commercial position of such Lender.</w:t>
      </w:r>
    </w:p>
    <w:p>
      <w:pPr>
        <w:spacing w:after="0" w:line="151" w:lineRule="exact"/>
        <w:rPr>
          <w:rFonts w:ascii="Arial" w:cs="Arial" w:eastAsia="Arial" w:hAnsi="Arial"/>
          <w:sz w:val="21"/>
          <w:szCs w:val="21"/>
          <w:color w:val="auto"/>
        </w:rPr>
      </w:pPr>
    </w:p>
    <w:p>
      <w:pPr>
        <w:ind w:left="2540" w:hanging="600"/>
        <w:spacing w:after="0"/>
        <w:tabs>
          <w:tab w:leader="none" w:pos="254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Without limiting the generality of the foregoing, in the event that the Borrower is a U.S.</w:t>
      </w:r>
    </w:p>
    <w:p>
      <w:pPr>
        <w:spacing w:after="0"/>
        <w:rPr>
          <w:rFonts w:ascii="Arial" w:cs="Arial" w:eastAsia="Arial" w:hAnsi="Arial"/>
          <w:sz w:val="21"/>
          <w:szCs w:val="21"/>
          <w:color w:val="auto"/>
        </w:rPr>
      </w:pPr>
      <w:r>
        <w:rPr>
          <w:rFonts w:ascii="Arial" w:cs="Arial" w:eastAsia="Arial" w:hAnsi="Arial"/>
          <w:sz w:val="22"/>
          <w:szCs w:val="22"/>
          <w:color w:val="auto"/>
        </w:rPr>
        <w:t>Person,</w:t>
      </w:r>
    </w:p>
    <w:p>
      <w:pPr>
        <w:spacing w:after="0" w:line="161" w:lineRule="exact"/>
        <w:rPr>
          <w:rFonts w:ascii="Arial" w:cs="Arial" w:eastAsia="Arial" w:hAnsi="Arial"/>
          <w:sz w:val="21"/>
          <w:szCs w:val="21"/>
          <w:color w:val="auto"/>
        </w:rPr>
      </w:pPr>
    </w:p>
    <w:p>
      <w:pPr>
        <w:jc w:val="both"/>
        <w:ind w:left="640" w:firstLine="1948"/>
        <w:spacing w:after="0" w:line="257" w:lineRule="auto"/>
        <w:tabs>
          <w:tab w:leader="none" w:pos="3130" w:val="left"/>
        </w:tabs>
        <w:numPr>
          <w:ilvl w:val="2"/>
          <w:numId w:val="107"/>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Loan Agreement (and from time to time thereafter upon the reasonable request of the Borrower or the Administrative Agent), executed copies of IRS Form W-9 certifying that such Lender is exempt from U.S. federal backup withholding tax;</w:t>
      </w:r>
    </w:p>
    <w:p>
      <w:pPr>
        <w:spacing w:after="0" w:line="144" w:lineRule="exact"/>
        <w:rPr>
          <w:rFonts w:ascii="Arial" w:cs="Arial" w:eastAsia="Arial" w:hAnsi="Arial"/>
          <w:sz w:val="19"/>
          <w:szCs w:val="19"/>
          <w:color w:val="auto"/>
        </w:rPr>
      </w:pPr>
    </w:p>
    <w:p>
      <w:pPr>
        <w:jc w:val="both"/>
        <w:ind w:left="640" w:firstLine="1948"/>
        <w:spacing w:after="0" w:line="216" w:lineRule="auto"/>
        <w:tabs>
          <w:tab w:leader="none" w:pos="3177" w:val="left"/>
        </w:tabs>
        <w:numPr>
          <w:ilvl w:val="2"/>
          <w:numId w:val="107"/>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Loan Agreement (and from time to time thereafter upon the reasonable request of the Borrower or the Administrative Agent), whichever of the following is applicable:</w:t>
      </w:r>
    </w:p>
    <w:p>
      <w:pPr>
        <w:spacing w:after="0" w:line="157" w:lineRule="exact"/>
        <w:rPr>
          <w:rFonts w:ascii="Arial" w:cs="Arial" w:eastAsia="Arial" w:hAnsi="Arial"/>
          <w:sz w:val="22"/>
          <w:szCs w:val="22"/>
          <w:color w:val="auto"/>
        </w:rPr>
      </w:pPr>
    </w:p>
    <w:p>
      <w:pPr>
        <w:jc w:val="both"/>
        <w:ind w:left="1940" w:firstLine="1296"/>
        <w:spacing w:after="0" w:line="222" w:lineRule="auto"/>
        <w:tabs>
          <w:tab w:leader="none" w:pos="3754" w:val="left"/>
        </w:tabs>
        <w:numPr>
          <w:ilvl w:val="3"/>
          <w:numId w:val="107"/>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(1) with respect to payments of interest under any Loan Document, executed copies of IRS Form W-8BEN or, in the case of an entity, IRS Form W-8BEN-E establishing an exemption from, or reduction of, U.S. federal withholding Tax pursuant to the “interest” article of such tax treaty and (2) with respect to any other applicable payments under any Loan Document, IRS Form W-8BEN or, in the case of an entity, IRS Form W-8BEN-E establishing an exemption from, or reduction of, U.S. federal</w:t>
      </w:r>
    </w:p>
    <w:p>
      <w:pPr>
        <w:sectPr>
          <w:pgSz w:w="11900" w:h="16838" w:orient="portrait"/>
          <w:cols w:equalWidth="0" w:num="1">
            <w:col w:w="10580"/>
          </w:cols>
          <w:pgMar w:left="980" w:top="1440" w:right="339" w:bottom="1440" w:gutter="0" w:footer="0" w:header="0"/>
        </w:sectPr>
      </w:pPr>
    </w:p>
    <w:bookmarkStart w:id="125" w:name="page126"/>
    <w:bookmarkEnd w:id="125"/>
    <w:p>
      <w:pPr>
        <w:ind w:left="1480"/>
        <w:spacing w:after="0"/>
        <w:rPr>
          <w:sz w:val="20"/>
          <w:szCs w:val="20"/>
          <w:color w:val="auto"/>
        </w:rPr>
      </w:pPr>
      <w:r>
        <w:rPr>
          <w:rFonts w:ascii="Arial" w:cs="Arial" w:eastAsia="Arial" w:hAnsi="Arial"/>
          <w:sz w:val="21"/>
          <w:szCs w:val="21"/>
          <w:color w:val="auto"/>
        </w:rPr>
        <w:t>withholding Tax pursuant to the “business profits” or “other income” article of such tax treaty;</w:t>
      </w:r>
    </w:p>
    <w:p>
      <w:pPr>
        <w:spacing w:after="0" w:line="191" w:lineRule="exact"/>
        <w:rPr>
          <w:sz w:val="20"/>
          <w:szCs w:val="20"/>
          <w:color w:val="auto"/>
        </w:rPr>
      </w:pPr>
    </w:p>
    <w:p>
      <w:pPr>
        <w:ind w:left="3240" w:hanging="464"/>
        <w:spacing w:after="0"/>
        <w:tabs>
          <w:tab w:leader="none" w:pos="324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179" w:lineRule="exact"/>
        <w:rPr>
          <w:rFonts w:ascii="Arial" w:cs="Arial" w:eastAsia="Arial" w:hAnsi="Arial"/>
          <w:sz w:val="22"/>
          <w:szCs w:val="22"/>
          <w:color w:val="auto"/>
        </w:rPr>
      </w:pPr>
    </w:p>
    <w:p>
      <w:pPr>
        <w:jc w:val="both"/>
        <w:ind w:left="1480" w:firstLine="1296"/>
        <w:spacing w:after="0" w:line="222" w:lineRule="auto"/>
        <w:tabs>
          <w:tab w:leader="none" w:pos="336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Code, (1)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1"/>
          <w:szCs w:val="21"/>
          <w:u w:val="single" w:color="auto"/>
          <w:color w:val="auto"/>
        </w:rPr>
        <w:t>U.S. Tax</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Compliance Certificate</w:t>
      </w:r>
      <w:r>
        <w:rPr>
          <w:rFonts w:ascii="Arial" w:cs="Arial" w:eastAsia="Arial" w:hAnsi="Arial"/>
          <w:sz w:val="21"/>
          <w:szCs w:val="21"/>
          <w:color w:val="FF0000"/>
          <w:strike w:val="1"/>
        </w:rPr>
        <w:t>”</w:t>
      </w:r>
      <w:r>
        <w:rPr>
          <w:rFonts w:ascii="Arial" w:cs="Arial" w:eastAsia="Arial" w:hAnsi="Arial"/>
          <w:sz w:val="21"/>
          <w:szCs w:val="21"/>
          <w:u w:val="single" w:color="auto"/>
          <w:color w:val="0000FF"/>
        </w:rPr>
        <w:t>“</w:t>
      </w:r>
      <w:r>
        <w:rPr>
          <w:rFonts w:ascii="Arial" w:cs="Arial" w:eastAsia="Arial" w:hAnsi="Arial"/>
          <w:sz w:val="21"/>
          <w:szCs w:val="21"/>
          <w:color w:val="auto"/>
        </w:rPr>
        <w:t>) and (2) executed copies of IRS Form W-8BEN or, in the case of an entity, IRS Form W-8BEN-E; or</w:t>
      </w:r>
    </w:p>
    <w:p>
      <w:pPr>
        <w:spacing w:after="0" w:line="164" w:lineRule="exact"/>
        <w:rPr>
          <w:rFonts w:ascii="Arial" w:cs="Arial" w:eastAsia="Arial" w:hAnsi="Arial"/>
          <w:sz w:val="21"/>
          <w:szCs w:val="21"/>
          <w:color w:val="auto"/>
        </w:rPr>
      </w:pPr>
    </w:p>
    <w:p>
      <w:pPr>
        <w:jc w:val="both"/>
        <w:ind w:left="1480" w:firstLine="1296"/>
        <w:spacing w:after="0" w:line="222" w:lineRule="auto"/>
        <w:tabs>
          <w:tab w:leader="none" w:pos="3285" w:val="left"/>
        </w:tabs>
        <w:numPr>
          <w:ilvl w:val="1"/>
          <w:numId w:val="108"/>
        </w:numPr>
        <w:rPr>
          <w:rFonts w:ascii="Arial" w:cs="Arial" w:eastAsia="Arial" w:hAnsi="Arial"/>
          <w:sz w:val="21"/>
          <w:szCs w:val="21"/>
          <w:color w:val="auto"/>
        </w:rPr>
      </w:pPr>
      <w:r>
        <w:rPr>
          <w:rFonts w:ascii="Arial" w:cs="Arial" w:eastAsia="Arial" w:hAnsi="Arial"/>
          <w:sz w:val="21"/>
          <w:szCs w:val="21"/>
          <w:color w:val="auto"/>
        </w:rPr>
        <w:t xml:space="preserve">to the extent a Foreign Lender is not the beneficial owner, executed copies of IRS Form W-8IMY, accompanied by IRS Form W-8ECI, IRS Form W-8BEN or, in the case of an entity, IRS Form W-8BEN-E, a U.S. Tax Compliance Certificate,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64" w:lineRule="exact"/>
        <w:rPr>
          <w:rFonts w:ascii="Arial" w:cs="Arial" w:eastAsia="Arial" w:hAnsi="Arial"/>
          <w:sz w:val="21"/>
          <w:szCs w:val="21"/>
          <w:color w:val="auto"/>
        </w:rPr>
      </w:pPr>
    </w:p>
    <w:p>
      <w:pPr>
        <w:jc w:val="both"/>
        <w:ind w:left="180" w:firstLine="1948"/>
        <w:spacing w:after="0" w:line="211" w:lineRule="auto"/>
        <w:tabs>
          <w:tab w:leader="none" w:pos="271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Loan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Arial" w:cs="Arial" w:eastAsia="Arial" w:hAnsi="Arial"/>
          <w:sz w:val="22"/>
          <w:szCs w:val="22"/>
          <w:color w:val="auto"/>
        </w:rPr>
      </w:pPr>
    </w:p>
    <w:p>
      <w:pPr>
        <w:jc w:val="both"/>
        <w:ind w:left="180" w:firstLine="1948"/>
        <w:spacing w:after="0" w:line="220" w:lineRule="auto"/>
        <w:tabs>
          <w:tab w:leader="none" w:pos="270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ectPr>
          <w:pgSz w:w="11900" w:h="16838" w:orient="portrait"/>
          <w:cols w:equalWidth="0" w:num="1">
            <w:col w:w="10120"/>
          </w:cols>
          <w:pgMar w:left="1440" w:top="1401" w:right="339" w:bottom="1440" w:gutter="0" w:footer="0" w:header="0"/>
        </w:sectPr>
      </w:pPr>
    </w:p>
    <w:bookmarkStart w:id="126" w:name="page127"/>
    <w:bookmarkEnd w:id="126"/>
    <w:p>
      <w:pPr>
        <w:spacing w:after="0" w:line="177" w:lineRule="exact"/>
        <w:rPr>
          <w:sz w:val="20"/>
          <w:szCs w:val="20"/>
          <w:color w:val="auto"/>
        </w:rPr>
      </w:pPr>
    </w:p>
    <w:p>
      <w:pPr>
        <w:ind w:left="1300"/>
        <w:spacing w:after="0" w:line="232" w:lineRule="auto"/>
        <w:rPr>
          <w:sz w:val="20"/>
          <w:szCs w:val="20"/>
          <w:color w:val="auto"/>
        </w:rPr>
      </w:pPr>
      <w:r>
        <w:rPr>
          <w:rFonts w:ascii="Arial" w:cs="Arial" w:eastAsia="Arial" w:hAnsi="Arial"/>
          <w:sz w:val="22"/>
          <w:szCs w:val="22"/>
          <w:color w:val="auto"/>
        </w:rPr>
        <w:t xml:space="preserve">Solely for purposes of this </w:t>
      </w:r>
      <w:r>
        <w:rPr>
          <w:rFonts w:ascii="Arial" w:cs="Arial" w:eastAsia="Arial" w:hAnsi="Arial"/>
          <w:sz w:val="22"/>
          <w:szCs w:val="22"/>
          <w:u w:val="single" w:color="auto"/>
          <w:color w:val="auto"/>
        </w:rPr>
        <w:t>clause (D)</w:t>
      </w:r>
      <w:r>
        <w:rPr>
          <w:rFonts w:ascii="Arial" w:cs="Arial" w:eastAsia="Arial" w:hAnsi="Arial"/>
          <w:sz w:val="22"/>
          <w:szCs w:val="22"/>
          <w:color w:val="auto"/>
        </w:rPr>
        <w:t>, “FATCA” shall include any amendments made to FATCA after the date of this Loan Agreement.</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9" w:lineRule="exact"/>
        <w:rPr>
          <w:sz w:val="20"/>
          <w:szCs w:val="20"/>
          <w:color w:val="auto"/>
        </w:rPr>
      </w:pPr>
    </w:p>
    <w:p>
      <w:pPr>
        <w:jc w:val="both"/>
        <w:ind w:firstLine="1952"/>
        <w:spacing w:after="0" w:line="241" w:lineRule="auto"/>
        <w:tabs>
          <w:tab w:leader="none" w:pos="245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paragraph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in no event will the indemnified party be required to pay any amount to an indemnifying party pursuant to this paragraph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5" w:lineRule="exact"/>
        <w:rPr>
          <w:rFonts w:ascii="Arial" w:cs="Arial" w:eastAsia="Arial" w:hAnsi="Arial"/>
          <w:sz w:val="19"/>
          <w:szCs w:val="19"/>
          <w:color w:val="auto"/>
        </w:rPr>
      </w:pPr>
    </w:p>
    <w:p>
      <w:pPr>
        <w:jc w:val="both"/>
        <w:ind w:firstLine="1952"/>
        <w:spacing w:after="0" w:line="268" w:lineRule="auto"/>
        <w:tabs>
          <w:tab w:leader="none" w:pos="2417"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shall survive the resignation or replacement of either or both of the Agents or any assignment of rights by, or the replacement of, a Lender, the termination of the Commitments and the repayment, satisfaction or discharge of all obligations under any Loan Document.</w:t>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u w:val="single" w:color="auto"/>
          <w:color w:val="auto"/>
        </w:rPr>
        <w:t>Right to Decline Payments</w:t>
      </w:r>
    </w:p>
    <w:p>
      <w:pPr>
        <w:spacing w:after="0" w:line="179" w:lineRule="exact"/>
        <w:rPr>
          <w:sz w:val="20"/>
          <w:szCs w:val="20"/>
          <w:color w:val="auto"/>
        </w:rPr>
      </w:pPr>
    </w:p>
    <w:p>
      <w:pPr>
        <w:jc w:val="both"/>
        <w:ind w:firstLine="656"/>
        <w:spacing w:after="0" w:line="239" w:lineRule="auto"/>
        <w:tabs>
          <w:tab w:leader="none" w:pos="769"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Borrower shall provide prior written notice of any prepayment under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to the Administrative Agent by 3:00 p.m. at least three (3) Business Days prior to such proposed prepayment date. Any Lender in its sole discretion may decline, in whole or in part, any payment in respect of a mandatory prepayment under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without prejudice to each Lender’s rights hereunder to accept or decline any future mandatory prepayment on behalf of the Lenders. If a Lender chooses to decline, in whole or in part, payment in respect of a mandatory prepayment, (i) the Lender shall promptly notify the Administrative Agent in writing by 3:00 p.m. two (2) Business Days prior to the prepayment date of its election to do so (it being understood that any Lender which does not notify the Administrative Agent of its election to exercise such option in respect of any payment in respect of a mandatory prepayment shall be deemed as of such date not to exercise such option), and (ii) the amount of such declined payment shall be offered ratably to the non-declining Lenders, who shall provide written notice not later than by 3:00 p.m. one</w:t>
      </w:r>
    </w:p>
    <w:p>
      <w:pPr>
        <w:spacing w:after="0" w:line="3" w:lineRule="exact"/>
        <w:rPr>
          <w:rFonts w:ascii="Arial" w:cs="Arial" w:eastAsia="Arial" w:hAnsi="Arial"/>
          <w:sz w:val="19"/>
          <w:szCs w:val="19"/>
          <w:color w:val="auto"/>
        </w:rPr>
      </w:pPr>
    </w:p>
    <w:p>
      <w:pPr>
        <w:jc w:val="both"/>
        <w:ind w:firstLine="8"/>
        <w:spacing w:after="0" w:line="251" w:lineRule="auto"/>
        <w:tabs>
          <w:tab w:leader="none" w:pos="31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Business Day prior to the prepayment date of its acceptance of any declined payment in respect of a mandatory prepayment (it being understood that any Lender who does not notify the Administrative Agent of its election to exercise such option shall be deemed as of such date not to exercise such option), and (iii) if such other Lenders decline the additional repayment amount offered pursuant to clause (ii) above, such declined amounts may be retained by the Loan Parties.</w:t>
      </w:r>
    </w:p>
    <w:p>
      <w:pPr>
        <w:sectPr>
          <w:pgSz w:w="11900" w:h="16838" w:orient="portrait"/>
          <w:cols w:equalWidth="0" w:num="1">
            <w:col w:w="11240"/>
          </w:cols>
          <w:pgMar w:left="320" w:top="1440" w:right="339" w:bottom="1440" w:gutter="0" w:footer="0" w:header="0"/>
        </w:sectPr>
      </w:pPr>
    </w:p>
    <w:bookmarkStart w:id="127" w:name="page128"/>
    <w:bookmarkEnd w:id="127"/>
    <w:p>
      <w:pPr>
        <w:ind w:left="660"/>
        <w:spacing w:after="0"/>
        <w:tabs>
          <w:tab w:leader="none" w:pos="19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u w:val="single" w:color="auto"/>
          <w:color w:val="auto"/>
        </w:rPr>
        <w:t>Computations of Interest and Fees</w:t>
      </w:r>
    </w:p>
    <w:p>
      <w:pPr>
        <w:spacing w:after="0" w:line="179" w:lineRule="exact"/>
        <w:rPr>
          <w:sz w:val="20"/>
          <w:szCs w:val="20"/>
          <w:color w:val="auto"/>
        </w:rPr>
      </w:pPr>
    </w:p>
    <w:p>
      <w:pPr>
        <w:jc w:val="both"/>
        <w:ind w:firstLine="656"/>
        <w:spacing w:after="0" w:line="226" w:lineRule="auto"/>
        <w:tabs>
          <w:tab w:leader="none" w:pos="75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All interest and fees shall be computed on the basis of the actual number of days occurring during the period for which such interest or fee is payable over a year comprised of 360 days; </w:t>
      </w:r>
      <w:r>
        <w:rPr>
          <w:rFonts w:ascii="Arial" w:cs="Arial" w:eastAsia="Arial" w:hAnsi="Arial"/>
          <w:sz w:val="21"/>
          <w:szCs w:val="21"/>
          <w:u w:val="single" w:color="auto"/>
          <w:color w:val="auto"/>
        </w:rPr>
        <w:t>provided</w:t>
      </w:r>
      <w:r>
        <w:rPr>
          <w:rFonts w:ascii="Arial" w:cs="Arial" w:eastAsia="Arial" w:hAnsi="Arial"/>
          <w:sz w:val="21"/>
          <w:szCs w:val="21"/>
          <w:color w:val="auto"/>
        </w:rPr>
        <w:t>, that for any Loan bearing interest with reference to the Prime Rate, a year shall be comprised of 365 or 366 days, as the case may be. Payments due on a day that is not a Business Day shall (except as otherwise required by) be made on the next succeeding Business Day and such extension of time shall be included in computing interest and fees in connection with that payment.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Debt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u w:val="single" w:color="auto"/>
          <w:color w:val="0000FF"/>
        </w:rPr>
        <w:t>Section 4.07 Debt</w:t>
      </w:r>
      <w:r>
        <w:rPr>
          <w:rFonts w:ascii="Arial" w:cs="Arial" w:eastAsia="Arial" w:hAnsi="Arial"/>
          <w:sz w:val="19"/>
          <w:szCs w:val="19"/>
          <w:color w:val="000000"/>
        </w:rPr>
        <w:t>. The Borrower agrees that the Initial Term Loans shall be funded on the Closing Date net of original</w:t>
      </w:r>
      <w:r>
        <w:rPr>
          <w:rFonts w:ascii="Arial" w:cs="Arial" w:eastAsia="Arial" w:hAnsi="Arial"/>
          <w:sz w:val="19"/>
          <w:szCs w:val="19"/>
          <w:color w:val="0000FF"/>
        </w:rPr>
        <w:t xml:space="preserve"> </w:t>
      </w:r>
      <w:r>
        <w:rPr>
          <w:rFonts w:ascii="Arial" w:cs="Arial" w:eastAsia="Arial" w:hAnsi="Arial"/>
          <w:sz w:val="19"/>
          <w:szCs w:val="19"/>
          <w:color w:val="000000"/>
        </w:rPr>
        <w:t xml:space="preserve">issue discount in the amount of the “Upfront Fee” set forth in, and as defined under, the Fee Letter. For the avoidance of doubt, all calculation of interest and fees in respect of the Initial Term Loans shall be calculated on the basis of their full stated principal amount. The Borrower and the Lenders agree that: (i) the Loans are intended as debt for U.S. federal income tax purposes and will be treated as such by the parties; (ii) [reserved]; (iii) such debt instrument is not governed by the rules set out in Treasury Regulations Section 1.1275-4; and (iv) they will adhere to this Loan Agreement for U.S. federal income tax purposes and not take any action or file any tax return, report or declaration inconsistent herewith. The inclusion of this </w:t>
      </w:r>
      <w:r>
        <w:rPr>
          <w:rFonts w:ascii="Arial" w:cs="Arial" w:eastAsia="Arial" w:hAnsi="Arial"/>
          <w:sz w:val="19"/>
          <w:szCs w:val="19"/>
          <w:u w:val="single" w:color="auto"/>
          <w:color w:val="000000"/>
        </w:rPr>
        <w:t>Section 4.07</w:t>
      </w:r>
      <w:r>
        <w:rPr>
          <w:rFonts w:ascii="Arial" w:cs="Arial" w:eastAsia="Arial" w:hAnsi="Arial"/>
          <w:sz w:val="19"/>
          <w:szCs w:val="19"/>
          <w:color w:val="000000"/>
        </w:rPr>
        <w:t xml:space="preserve"> is not an admission by any Lender that it is subject to United States taxation.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 TO THE INITIAL TERM LOANS</w:t>
      </w:r>
    </w:p>
    <w:p>
      <w:pPr>
        <w:spacing w:after="0" w:line="18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The obligation of the Initial Term Loan Lenders to fund the Initial Term Loans under this Loan Agreement is subject to the satisfaction (or waiver by the Administrative Agent) of the following conditions precedent on or before the Closing Date: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Loan Documents</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u w:val="single" w:color="auto"/>
          <w:color w:val="0000FF"/>
        </w:rPr>
        <w:t>Section 5.01 Loan Documents</w:t>
      </w:r>
      <w:r>
        <w:rPr>
          <w:rFonts w:ascii="Arial" w:cs="Arial" w:eastAsia="Arial" w:hAnsi="Arial"/>
          <w:sz w:val="21"/>
          <w:szCs w:val="21"/>
          <w:color w:val="000000"/>
        </w:rPr>
        <w:t>. The Administrative Agent shall have received copies (which shall be originals or in</w:t>
      </w:r>
      <w:r>
        <w:rPr>
          <w:rFonts w:ascii="Arial" w:cs="Arial" w:eastAsia="Arial" w:hAnsi="Arial"/>
          <w:sz w:val="21"/>
          <w:szCs w:val="21"/>
          <w:color w:val="0000FF"/>
        </w:rPr>
        <w:t xml:space="preserve"> </w:t>
      </w:r>
      <w:r>
        <w:rPr>
          <w:rFonts w:ascii="Arial" w:cs="Arial" w:eastAsia="Arial" w:hAnsi="Arial"/>
          <w:sz w:val="21"/>
          <w:szCs w:val="21"/>
          <w:color w:val="000000"/>
        </w:rPr>
        <w:t xml:space="preserve">electronic format; </w:t>
      </w:r>
      <w:r>
        <w:rPr>
          <w:rFonts w:ascii="Arial" w:cs="Arial" w:eastAsia="Arial" w:hAnsi="Arial"/>
          <w:sz w:val="21"/>
          <w:szCs w:val="21"/>
          <w:u w:val="single" w:color="auto"/>
          <w:color w:val="000000"/>
        </w:rPr>
        <w:t>provided</w:t>
      </w:r>
      <w:r>
        <w:rPr>
          <w:rFonts w:ascii="Arial" w:cs="Arial" w:eastAsia="Arial" w:hAnsi="Arial"/>
          <w:sz w:val="21"/>
          <w:szCs w:val="21"/>
          <w:color w:val="000000"/>
        </w:rPr>
        <w:t>, that, in the case of electronic copies, upon the request (on or after the Closing Date) of the Administrative Agent or, in the case of any Note, any applicable Lender, the applicable Loan Parties shall deliver original copies (it being understood, for the avoidance of doubt, that delivery of such original copies shall not be a condition precedent to the funding of the Initial Term Loans)) of the following documents, duly executed and delivered by an Authorized Officer of each applicable Loan Party and each other relevant party thereto:</w:t>
      </w:r>
    </w:p>
    <w:p>
      <w:pPr>
        <w:spacing w:after="0" w:line="160" w:lineRule="exact"/>
        <w:rPr>
          <w:sz w:val="20"/>
          <w:szCs w:val="20"/>
          <w:color w:val="auto"/>
        </w:rPr>
      </w:pPr>
    </w:p>
    <w:p>
      <w:pPr>
        <w:ind w:left="2400" w:hanging="448"/>
        <w:spacing w:after="0"/>
        <w:tabs>
          <w:tab w:leader="none" w:pos="24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this Loan Agreement;</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the Notes, in accordance with </w:t>
      </w:r>
      <w:r>
        <w:rPr>
          <w:rFonts w:ascii="Arial" w:cs="Arial" w:eastAsia="Arial" w:hAnsi="Arial"/>
          <w:sz w:val="22"/>
          <w:szCs w:val="22"/>
          <w:u w:val="single" w:color="auto"/>
          <w:color w:val="auto"/>
        </w:rPr>
        <w:t>Section 2.09</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400" w:hanging="448"/>
        <w:spacing w:after="0"/>
        <w:tabs>
          <w:tab w:leader="none" w:pos="240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the Guaranty and Security Agreement, substantially in the form attached hereto as </w:t>
      </w:r>
      <w:r>
        <w:rPr>
          <w:rFonts w:ascii="Arial" w:cs="Arial" w:eastAsia="Arial" w:hAnsi="Arial"/>
          <w:sz w:val="21"/>
          <w:szCs w:val="21"/>
          <w:u w:val="single" w:color="auto"/>
          <w:color w:val="auto"/>
        </w:rPr>
        <w:t>Exhibit C-1</w:t>
      </w:r>
      <w:r>
        <w:rPr>
          <w:rFonts w:ascii="Arial" w:cs="Arial" w:eastAsia="Arial" w:hAnsi="Arial"/>
          <w:sz w:val="21"/>
          <w:szCs w:val="21"/>
          <w:color w:val="auto"/>
        </w:rPr>
        <w:t>;</w:t>
      </w:r>
    </w:p>
    <w:p>
      <w:pPr>
        <w:spacing w:after="0" w:line="190" w:lineRule="exact"/>
        <w:rPr>
          <w:rFonts w:ascii="Arial" w:cs="Arial" w:eastAsia="Arial" w:hAnsi="Arial"/>
          <w:sz w:val="21"/>
          <w:szCs w:val="21"/>
          <w:color w:val="auto"/>
        </w:rPr>
      </w:pPr>
    </w:p>
    <w:p>
      <w:pPr>
        <w:jc w:val="both"/>
        <w:ind w:firstLine="1952"/>
        <w:spacing w:after="0" w:line="268" w:lineRule="auto"/>
        <w:tabs>
          <w:tab w:leader="none" w:pos="271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such Patent Security Agreements, Trademark Security Agreements and Copyright Security Agreements, each substantially in the form attached hereto as Exhibit </w:t>
      </w:r>
      <w:r>
        <w:rPr>
          <w:rFonts w:ascii="Arial" w:cs="Arial" w:eastAsia="Arial" w:hAnsi="Arial"/>
          <w:sz w:val="19"/>
          <w:szCs w:val="19"/>
          <w:u w:val="single" w:color="auto"/>
          <w:color w:val="auto"/>
        </w:rPr>
        <w:t>C-2</w:t>
      </w:r>
      <w:r>
        <w:rPr>
          <w:rFonts w:ascii="Arial" w:cs="Arial" w:eastAsia="Arial" w:hAnsi="Arial"/>
          <w:sz w:val="19"/>
          <w:szCs w:val="19"/>
          <w:color w:val="auto"/>
        </w:rPr>
        <w:t xml:space="preserve">, </w:t>
      </w:r>
      <w:r>
        <w:rPr>
          <w:rFonts w:ascii="Arial" w:cs="Arial" w:eastAsia="Arial" w:hAnsi="Arial"/>
          <w:sz w:val="19"/>
          <w:szCs w:val="19"/>
          <w:u w:val="single" w:color="auto"/>
          <w:color w:val="auto"/>
        </w:rPr>
        <w:t>C-3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C-4</w:t>
      </w:r>
      <w:r>
        <w:rPr>
          <w:rFonts w:ascii="Arial" w:cs="Arial" w:eastAsia="Arial" w:hAnsi="Arial"/>
          <w:sz w:val="19"/>
          <w:szCs w:val="19"/>
          <w:color w:val="auto"/>
        </w:rPr>
        <w:t>, respectively, as are required to perfect, or convenient to the perfection of, the Liens granted to the Collateral Agent in the IP Rights registered or applied-for in the United</w:t>
      </w:r>
    </w:p>
    <w:p>
      <w:pPr>
        <w:sectPr>
          <w:pgSz w:w="11900" w:h="16838" w:orient="portrait"/>
          <w:cols w:equalWidth="0" w:num="1">
            <w:col w:w="11240"/>
          </w:cols>
          <w:pgMar w:left="320" w:top="1401" w:right="339" w:bottom="1440" w:gutter="0" w:footer="0" w:header="0"/>
        </w:sectPr>
      </w:pPr>
    </w:p>
    <w:bookmarkStart w:id="128" w:name="page129"/>
    <w:bookmarkEnd w:id="128"/>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States Patent and Trademark Office or the United States Copyright Office described on </w:t>
      </w:r>
      <w:r>
        <w:rPr>
          <w:rFonts w:ascii="Arial" w:cs="Arial" w:eastAsia="Arial" w:hAnsi="Arial"/>
          <w:sz w:val="22"/>
          <w:szCs w:val="22"/>
          <w:u w:val="single" w:color="auto"/>
          <w:color w:val="auto"/>
        </w:rPr>
        <w:t>Schedule 7.14</w:t>
      </w:r>
      <w:r>
        <w:rPr>
          <w:rFonts w:ascii="Arial" w:cs="Arial" w:eastAsia="Arial" w:hAnsi="Arial"/>
          <w:sz w:val="22"/>
          <w:szCs w:val="22"/>
          <w:color w:val="auto"/>
        </w:rPr>
        <w:t>; and</w:t>
      </w:r>
    </w:p>
    <w:p>
      <w:pPr>
        <w:spacing w:after="0" w:line="179" w:lineRule="exact"/>
        <w:rPr>
          <w:sz w:val="20"/>
          <w:szCs w:val="20"/>
          <w:color w:val="auto"/>
        </w:rPr>
      </w:pPr>
    </w:p>
    <w:p>
      <w:pPr>
        <w:ind w:left="2400" w:hanging="448"/>
        <w:spacing w:after="0"/>
        <w:tabs>
          <w:tab w:leader="none" w:pos="24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Fee Letter</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Lien and Other Searches; Filings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52" w:lineRule="auto"/>
        <w:tabs>
          <w:tab w:leader="none" w:pos="249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Collateral Agent shall have received the results of a search of the UCC filings (or equivalent filings), tax Liens, judgment Liens, bankruptcies and litigations made with respect to each Loan Party, together with copies of the financing statements and other filings (or similar documents) disclosed by such searches, and accompanied by evidence that the Liens indicated in all such financing statements and other filings (or similar document) either are Permitted Liens or have been released or will be released on the Closing Date concurrently with the funding of the Loans hereunder.</w:t>
      </w:r>
    </w:p>
    <w:p>
      <w:pPr>
        <w:spacing w:after="0" w:line="148" w:lineRule="exact"/>
        <w:rPr>
          <w:rFonts w:ascii="Arial" w:cs="Arial" w:eastAsia="Arial" w:hAnsi="Arial"/>
          <w:sz w:val="19"/>
          <w:szCs w:val="19"/>
          <w:color w:val="auto"/>
        </w:rPr>
      </w:pPr>
    </w:p>
    <w:p>
      <w:pPr>
        <w:ind w:firstLine="1952"/>
        <w:spacing w:after="0" w:line="232" w:lineRule="auto"/>
        <w:tabs>
          <w:tab w:leader="none" w:pos="244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Collateral Agent shall have received the results of searches of ownership of IP Rights registered or applied-for in the United States Patent and Trademark Office and the United States Copyright Office.</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0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Collateral Agent shall have received evidence in form and substance satisfactory to the Collateral Agent that appropriate UCC (or equivalent) financing statements have been provided for filing in such office or offices as may be necessary to perfect and evidence the Collateral Agent’s Liens in and to the Collateral.</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Stock Pledges</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u w:val="single" w:color="auto"/>
          <w:color w:val="0000FF"/>
        </w:rPr>
        <w:t>Section 5.03 Stock Pledges</w:t>
      </w:r>
      <w:r>
        <w:rPr>
          <w:rFonts w:ascii="Arial" w:cs="Arial" w:eastAsia="Arial" w:hAnsi="Arial"/>
          <w:sz w:val="21"/>
          <w:szCs w:val="21"/>
          <w:color w:val="000000"/>
        </w:rPr>
        <w:t>. All Capital Stock of each of the Borrower’s Subsidiaries shall have been pledged pursuant</w:t>
      </w:r>
      <w:r>
        <w:rPr>
          <w:rFonts w:ascii="Arial" w:cs="Arial" w:eastAsia="Arial" w:hAnsi="Arial"/>
          <w:sz w:val="21"/>
          <w:szCs w:val="21"/>
          <w:color w:val="0000FF"/>
        </w:rPr>
        <w:t xml:space="preserve"> </w:t>
      </w:r>
      <w:r>
        <w:rPr>
          <w:rFonts w:ascii="Arial" w:cs="Arial" w:eastAsia="Arial" w:hAnsi="Arial"/>
          <w:sz w:val="21"/>
          <w:szCs w:val="21"/>
          <w:color w:val="000000"/>
        </w:rPr>
        <w:t>to the Guaranty and Security Agreement, and the Collateral Agent shall have received all certificates (if any) representing such Capital Stock accompanied by instruments of transfer and undated stock powers executed in blank.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Legal Opinions</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u w:val="single" w:color="auto"/>
          <w:color w:val="0000FF"/>
        </w:rPr>
        <w:t>Section 5.04 Legal Opinions</w:t>
      </w:r>
      <w:r>
        <w:rPr>
          <w:rFonts w:ascii="Arial" w:cs="Arial" w:eastAsia="Arial" w:hAnsi="Arial"/>
          <w:sz w:val="22"/>
          <w:szCs w:val="22"/>
          <w:color w:val="000000"/>
        </w:rPr>
        <w:t>. The Administrative Agent shall have received on the Closing Date executed legal opinions</w:t>
      </w:r>
      <w:r>
        <w:rPr>
          <w:rFonts w:ascii="Arial" w:cs="Arial" w:eastAsia="Arial" w:hAnsi="Arial"/>
          <w:sz w:val="22"/>
          <w:szCs w:val="22"/>
          <w:color w:val="0000FF"/>
        </w:rPr>
        <w:t xml:space="preserve"> </w:t>
      </w:r>
      <w:r>
        <w:rPr>
          <w:rFonts w:ascii="Arial" w:cs="Arial" w:eastAsia="Arial" w:hAnsi="Arial"/>
          <w:sz w:val="22"/>
          <w:szCs w:val="22"/>
          <w:color w:val="000000"/>
        </w:rPr>
        <w:t>of (i) Sidley Austin LLP, counsel to the Loan Parties, (ii) Stearns Weaver Miller Weissler Alhadeff &amp; Sitterson, P.A., as Florida counsel to the Loan Parties, and Alston &amp; Bird LLP, as Georgia counsel to the Loan Parties, which legal opinions shall be addressed to the Administrative Agent, the Collateral Agent and the Lenders and shall be in form and substance reasonably satisfactory to the Administrative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Secretary’s Certificates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u w:val="single" w:color="auto"/>
          <w:color w:val="0000FF"/>
        </w:rPr>
        <w:t>Section 5.05 Secretary’s Certificates</w:t>
      </w:r>
      <w:r>
        <w:rPr>
          <w:rFonts w:ascii="Arial" w:cs="Arial" w:eastAsia="Arial" w:hAnsi="Arial"/>
          <w:sz w:val="19"/>
          <w:szCs w:val="19"/>
          <w:color w:val="000000"/>
        </w:rPr>
        <w:t>. The Administrative Agent shall have received a certificate for each Loan Party,</w:t>
      </w:r>
      <w:r>
        <w:rPr>
          <w:rFonts w:ascii="Arial" w:cs="Arial" w:eastAsia="Arial" w:hAnsi="Arial"/>
          <w:sz w:val="19"/>
          <w:szCs w:val="19"/>
          <w:color w:val="0000FF"/>
        </w:rPr>
        <w:t xml:space="preserve"> </w:t>
      </w:r>
      <w:r>
        <w:rPr>
          <w:rFonts w:ascii="Arial" w:cs="Arial" w:eastAsia="Arial" w:hAnsi="Arial"/>
          <w:sz w:val="19"/>
          <w:szCs w:val="19"/>
          <w:color w:val="000000"/>
        </w:rPr>
        <w:t>dated the Closing Date, duly executed and delivered by such Loan Party’s secretary or assistant secretary, managing member, general partner, or other appropriate person reasonably acceptable to the Administrative Agent, as applicable, certifying:</w:t>
      </w:r>
    </w:p>
    <w:p>
      <w:pPr>
        <w:spacing w:after="0" w:line="132" w:lineRule="exact"/>
        <w:rPr>
          <w:sz w:val="20"/>
          <w:szCs w:val="20"/>
          <w:color w:val="auto"/>
        </w:rPr>
      </w:pPr>
    </w:p>
    <w:p>
      <w:pPr>
        <w:jc w:val="both"/>
        <w:ind w:firstLine="1952"/>
        <w:spacing w:after="0" w:line="218" w:lineRule="auto"/>
        <w:tabs>
          <w:tab w:leader="none" w:pos="251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that attached thereto is a copy of such Person’s Organization Documents as of the Closing Date, including all amendments, modifications and supplements thereto, further certified, in the case of certificate or articles of incorporation or organization or articles of association or other similar constituting document, as of a recent date by the Secretary of State of the state of organization of such Person;</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7" w:lineRule="exact"/>
        <w:rPr>
          <w:sz w:val="20"/>
          <w:szCs w:val="20"/>
          <w:color w:val="auto"/>
        </w:rPr>
      </w:pPr>
    </w:p>
    <w:p>
      <w:pPr>
        <w:jc w:val="both"/>
        <w:ind w:firstLine="1952"/>
        <w:spacing w:after="0" w:line="216" w:lineRule="auto"/>
        <w:tabs>
          <w:tab w:leader="none" w:pos="26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that attached thereto are resolutions, that have not been amended, supplemented, rescinded or modified, of each such Person’s board of directors (or other managing body, in the case of a Person that is not a corporation) then in full force and effect expressly and specifically authorizing, to the extent relevant, all aspects of the Loan Documents applicable to such Person and the execution, delivery and performance of each Loan Document, in each case to be executed by such Person; and</w:t>
      </w:r>
    </w:p>
    <w:p>
      <w:pPr>
        <w:spacing w:after="0" w:line="157" w:lineRule="exact"/>
        <w:rPr>
          <w:rFonts w:ascii="Arial" w:cs="Arial" w:eastAsia="Arial" w:hAnsi="Arial"/>
          <w:sz w:val="22"/>
          <w:szCs w:val="22"/>
          <w:color w:val="auto"/>
        </w:rPr>
      </w:pPr>
    </w:p>
    <w:p>
      <w:pPr>
        <w:jc w:val="both"/>
        <w:ind w:firstLine="1952"/>
        <w:spacing w:after="0" w:line="223" w:lineRule="auto"/>
        <w:tabs>
          <w:tab w:leader="none" w:pos="241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as to the incumbency and specimen signatures of its Authorized Officers and any other of its officers, managing member or general partner, as applicable, authorized to act with respect to each Loan Document to be executed by such Person, and a list of all officers and directors of the Loan Parties.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u w:val="single" w:color="auto"/>
          <w:color w:val="auto"/>
        </w:rPr>
        <w:t>Other Documents and Certificates</w:t>
      </w:r>
    </w:p>
    <w:p>
      <w:pPr>
        <w:spacing w:after="0" w:line="179" w:lineRule="exact"/>
        <w:rPr>
          <w:sz w:val="20"/>
          <w:szCs w:val="20"/>
          <w:color w:val="auto"/>
        </w:rPr>
      </w:pPr>
    </w:p>
    <w:p>
      <w:pPr>
        <w:jc w:val="both"/>
        <w:ind w:firstLine="656"/>
        <w:spacing w:after="0" w:line="234" w:lineRule="auto"/>
        <w:tabs>
          <w:tab w:leader="none" w:pos="79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Administrative Agent shall have received copies of the following documents and certificates (which shall be originals or in electronic format), each of which shall be dated the Closing Date and duly executed by an Authorized Officer of each applicable Loan Party, in form and substance reasonably satisfactory to the Administrative Agent:</w:t>
      </w:r>
    </w:p>
    <w:p>
      <w:pPr>
        <w:spacing w:after="0" w:line="157" w:lineRule="exact"/>
        <w:rPr>
          <w:rFonts w:ascii="Arial" w:cs="Arial" w:eastAsia="Arial" w:hAnsi="Arial"/>
          <w:sz w:val="21"/>
          <w:szCs w:val="21"/>
          <w:color w:val="auto"/>
        </w:rPr>
      </w:pPr>
    </w:p>
    <w:p>
      <w:pPr>
        <w:ind w:left="2400" w:hanging="448"/>
        <w:spacing w:after="0"/>
        <w:tabs>
          <w:tab w:leader="none" w:pos="24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 certificate of an Authorized Officer of the Borrower, certifying as to:</w:t>
      </w:r>
    </w:p>
    <w:p>
      <w:pPr>
        <w:spacing w:after="0" w:line="179" w:lineRule="exact"/>
        <w:rPr>
          <w:rFonts w:ascii="Arial" w:cs="Arial" w:eastAsia="Arial" w:hAnsi="Arial"/>
          <w:sz w:val="22"/>
          <w:szCs w:val="22"/>
          <w:color w:val="auto"/>
        </w:rPr>
      </w:pPr>
    </w:p>
    <w:p>
      <w:pPr>
        <w:ind w:left="3020" w:hanging="420"/>
        <w:spacing w:after="0"/>
        <w:tabs>
          <w:tab w:leader="none" w:pos="302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 xml:space="preserve">the satisfaction of the conditions set forth in </w:t>
      </w:r>
      <w:r>
        <w:rPr>
          <w:rFonts w:ascii="Arial" w:cs="Arial" w:eastAsia="Arial" w:hAnsi="Arial"/>
          <w:sz w:val="22"/>
          <w:szCs w:val="22"/>
          <w:u w:val="single" w:color="auto"/>
          <w:color w:val="auto"/>
        </w:rPr>
        <w:t>Section 5.18</w:t>
      </w: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660" w:firstLine="1940"/>
        <w:spacing w:after="0" w:line="232" w:lineRule="auto"/>
        <w:tabs>
          <w:tab w:leader="none" w:pos="3168"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that both before and after giving effect to Transactions, and the making of the Initial Term Loans on the Closing Date, no Default or Event of Default has occurred;</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 Perfection Certificate by, and in respect of, each Loan Party;</w:t>
      </w:r>
    </w:p>
    <w:p>
      <w:pPr>
        <w:spacing w:after="0" w:line="179" w:lineRule="exact"/>
        <w:rPr>
          <w:rFonts w:ascii="Arial" w:cs="Arial" w:eastAsia="Arial" w:hAnsi="Arial"/>
          <w:sz w:val="22"/>
          <w:szCs w:val="22"/>
          <w:color w:val="auto"/>
        </w:rPr>
      </w:pPr>
    </w:p>
    <w:p>
      <w:pPr>
        <w:jc w:val="both"/>
        <w:ind w:firstLine="1952"/>
        <w:spacing w:after="0" w:line="218" w:lineRule="auto"/>
        <w:tabs>
          <w:tab w:leader="none" w:pos="245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certificates of good standing with respect to each Loan Party, each dated as of a recent date prior to the Closing Date, such certificates to be issued by the appropriate officer or official body of the jurisdiction of organization of such Loan Party, each of which certificates shall indicate that such Loan Party is in good standing in the applicable jurisdiction; and</w:t>
      </w:r>
    </w:p>
    <w:p>
      <w:pPr>
        <w:spacing w:after="0" w:line="160" w:lineRule="exact"/>
        <w:rPr>
          <w:rFonts w:ascii="Arial" w:cs="Arial" w:eastAsia="Arial" w:hAnsi="Arial"/>
          <w:sz w:val="22"/>
          <w:szCs w:val="22"/>
          <w:color w:val="auto"/>
        </w:rPr>
      </w:pPr>
    </w:p>
    <w:p>
      <w:pPr>
        <w:jc w:val="both"/>
        <w:ind w:firstLine="1952"/>
        <w:spacing w:after="0" w:line="234" w:lineRule="auto"/>
        <w:tabs>
          <w:tab w:leader="none" w:pos="2472" w:val="left"/>
        </w:tabs>
        <w:numPr>
          <w:ilvl w:val="1"/>
          <w:numId w:val="118"/>
        </w:numPr>
        <w:rPr>
          <w:rFonts w:ascii="Arial" w:cs="Arial" w:eastAsia="Arial" w:hAnsi="Arial"/>
          <w:sz w:val="21"/>
          <w:szCs w:val="21"/>
          <w:color w:val="auto"/>
        </w:rPr>
      </w:pPr>
      <w:r>
        <w:rPr>
          <w:rFonts w:ascii="Arial" w:cs="Arial" w:eastAsia="Arial" w:hAnsi="Arial"/>
          <w:sz w:val="21"/>
          <w:szCs w:val="21"/>
          <w:color w:val="auto"/>
        </w:rPr>
        <w:t>a calculation or other written statement describing in detail the proposed use of the proceeds of the Loans, including all transaction fees, costs and expenses incurred and estimated as of the Closing Date in connection with this Loan Agreement and the Transactions, whether or not actually paid in cash on the Closing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Solvency</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u w:val="single" w:color="auto"/>
          <w:color w:val="0000FF"/>
        </w:rPr>
        <w:t>Section 5.07 Solvency</w:t>
      </w:r>
      <w:r>
        <w:rPr>
          <w:rFonts w:ascii="Arial" w:cs="Arial" w:eastAsia="Arial" w:hAnsi="Arial"/>
          <w:sz w:val="22"/>
          <w:szCs w:val="22"/>
          <w:color w:val="000000"/>
        </w:rPr>
        <w:t>. The Administrative Agent shall have received a Solvency Certificate in the form of</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Exhibit G</w:t>
      </w:r>
      <w:r>
        <w:rPr>
          <w:rFonts w:ascii="Arial" w:cs="Arial" w:eastAsia="Arial" w:hAnsi="Arial"/>
          <w:sz w:val="22"/>
          <w:szCs w:val="22"/>
          <w:color w:val="0000FF"/>
        </w:rPr>
        <w:t xml:space="preserve"> </w:t>
      </w:r>
      <w:r>
        <w:rPr>
          <w:rFonts w:ascii="Arial" w:cs="Arial" w:eastAsia="Arial" w:hAnsi="Arial"/>
          <w:sz w:val="22"/>
          <w:szCs w:val="22"/>
          <w:color w:val="000000"/>
        </w:rPr>
        <w:t>duly executed by the chief financial officer of the Borrower confirming the Solvency of the Borrower and of each of the other Loan Parties and their Subsidiaries, taken as a whole, after giving effect to the Transactions.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Borrowing Notice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5.08 Borrowing Notice</w:t>
      </w:r>
      <w:r>
        <w:rPr>
          <w:rFonts w:ascii="Arial" w:cs="Arial" w:eastAsia="Arial" w:hAnsi="Arial"/>
          <w:sz w:val="22"/>
          <w:szCs w:val="22"/>
          <w:color w:val="000000"/>
        </w:rPr>
        <w:t>. The Administrative Agent shall have received a timely Borrowing Notice in accordance</w:t>
      </w:r>
      <w:r>
        <w:rPr>
          <w:rFonts w:ascii="Arial" w:cs="Arial" w:eastAsia="Arial" w:hAnsi="Arial"/>
          <w:sz w:val="22"/>
          <w:szCs w:val="22"/>
          <w:color w:val="0000FF"/>
        </w:rPr>
        <w:t xml:space="preserve"> </w:t>
      </w:r>
      <w:r>
        <w:rPr>
          <w:rFonts w:ascii="Arial" w:cs="Arial" w:eastAsia="Arial" w:hAnsi="Arial"/>
          <w:sz w:val="22"/>
          <w:szCs w:val="22"/>
          <w:color w:val="000000"/>
        </w:rPr>
        <w:t xml:space="preserve">with </w:t>
      </w:r>
      <w:r>
        <w:rPr>
          <w:rFonts w:ascii="Arial" w:cs="Arial" w:eastAsia="Arial" w:hAnsi="Arial"/>
          <w:sz w:val="22"/>
          <w:szCs w:val="22"/>
          <w:u w:val="single" w:color="auto"/>
          <w:color w:val="000000"/>
        </w:rPr>
        <w:t>Section 2.02(a)</w:t>
      </w:r>
      <w:r>
        <w:rPr>
          <w:rFonts w:ascii="Arial" w:cs="Arial" w:eastAsia="Arial" w:hAnsi="Arial"/>
          <w:sz w:val="22"/>
          <w:szCs w:val="22"/>
          <w:color w:val="000000"/>
        </w:rPr>
        <w:t>.</w:t>
      </w:r>
    </w:p>
    <w:p>
      <w:pPr>
        <w:sectPr>
          <w:pgSz w:w="11900" w:h="16838" w:orient="portrait"/>
          <w:cols w:equalWidth="0" w:num="1">
            <w:col w:w="11240"/>
          </w:cols>
          <w:pgMar w:left="320" w:top="1440"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2"/>
          <w:szCs w:val="22"/>
          <w:u w:val="single" w:color="auto"/>
          <w:color w:val="FF0000"/>
          <w:strike w:val="1"/>
        </w:rPr>
        <w:t>Refinancing</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0000FF"/>
        </w:rPr>
        <w:t xml:space="preserve">Section 5.09 </w:t>
      </w:r>
      <w:r>
        <w:rPr>
          <w:rFonts w:ascii="Arial" w:cs="Arial" w:eastAsia="Arial" w:hAnsi="Arial"/>
          <w:sz w:val="22"/>
          <w:szCs w:val="22"/>
          <w:u w:val="single" w:color="auto"/>
          <w:color w:val="FF0000"/>
          <w:strike w:val="1"/>
        </w:rPr>
        <w:t>.</w:t>
      </w:r>
      <w:r>
        <w:rPr>
          <w:rFonts w:ascii="Arial" w:cs="Arial" w:eastAsia="Arial" w:hAnsi="Arial"/>
          <w:sz w:val="22"/>
          <w:szCs w:val="22"/>
          <w:u w:val="single" w:color="auto"/>
          <w:color w:val="0000FF"/>
        </w:rPr>
        <w:t>Refinancing.</w:t>
      </w:r>
      <w:r>
        <w:rPr>
          <w:rFonts w:ascii="Arial" w:cs="Arial" w:eastAsia="Arial" w:hAnsi="Arial"/>
          <w:sz w:val="22"/>
          <w:szCs w:val="22"/>
          <w:color w:val="0000FF"/>
        </w:rPr>
        <w:t xml:space="preserve"> </w:t>
      </w:r>
      <w:r>
        <w:rPr>
          <w:rFonts w:ascii="Arial" w:cs="Arial" w:eastAsia="Arial" w:hAnsi="Arial"/>
          <w:sz w:val="22"/>
          <w:szCs w:val="22"/>
          <w:color w:val="000000"/>
        </w:rPr>
        <w:t>Prior to or substantially concurrently with the funding of Initial Term Loans hereunder, the</w:t>
      </w:r>
      <w:r>
        <w:rPr>
          <w:rFonts w:ascii="Arial" w:cs="Arial" w:eastAsia="Arial" w:hAnsi="Arial"/>
          <w:sz w:val="22"/>
          <w:szCs w:val="22"/>
          <w:color w:val="0000FF"/>
        </w:rPr>
        <w:t xml:space="preserve"> </w:t>
      </w:r>
      <w:r>
        <w:rPr>
          <w:rFonts w:ascii="Arial" w:cs="Arial" w:eastAsia="Arial" w:hAnsi="Arial"/>
          <w:sz w:val="22"/>
          <w:szCs w:val="22"/>
          <w:color w:val="000000"/>
        </w:rPr>
        <w:t>Refinancing shall have been consummated and the Administrative Agent shall have received, in form and substance satisfactory to the Administrative Agent, payoff letter and other lien release documentation for the Existing Credit Agreement which confirms the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-440690</wp:posOffset>
            </wp:positionV>
            <wp:extent cx="8629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4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u w:val="single" w:color="auto"/>
          <w:color w:val="auto"/>
        </w:rPr>
        <w:t>Financial and Other Information</w:t>
      </w:r>
    </w:p>
    <w:p>
      <w:pPr>
        <w:spacing w:after="0" w:line="179" w:lineRule="exact"/>
        <w:rPr>
          <w:sz w:val="20"/>
          <w:szCs w:val="20"/>
          <w:color w:val="auto"/>
        </w:rPr>
      </w:pPr>
    </w:p>
    <w:p>
      <w:pPr>
        <w:jc w:val="both"/>
        <w:ind w:firstLine="656"/>
        <w:spacing w:after="0" w:line="221" w:lineRule="auto"/>
        <w:tabs>
          <w:tab w:leader="none" w:pos="77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in form and substance satisfactory to it, dated the Closing Date and duly executed by the chief financial officer of the Borrower, attaching the following documents and reports (each in form and substance reasonably satisfactory to the Administrative Agent) and certifying that such documents and reports (other than any forecasts or Projections) are true and complete in all material respects as of the Closing Date and that all forecasts and Projections were prepared by the Loan Parties in good faith based upon reasonable assumptions at the time delivered (it being understood that forecasts and Projections are subject to uncertainties and contingencies, many of which are beyond the Loan Parties’ control, and no assurance can be given that any forecast or Projection will be realized and that actual results may differ and such differences may be material):</w:t>
      </w:r>
    </w:p>
    <w:p>
      <w:pPr>
        <w:spacing w:after="0" w:line="165" w:lineRule="exact"/>
        <w:rPr>
          <w:rFonts w:ascii="Arial" w:cs="Arial" w:eastAsia="Arial" w:hAnsi="Arial"/>
          <w:sz w:val="21"/>
          <w:szCs w:val="21"/>
          <w:color w:val="auto"/>
        </w:rPr>
      </w:pPr>
    </w:p>
    <w:p>
      <w:pPr>
        <w:ind w:left="2400" w:hanging="448"/>
        <w:spacing w:after="0"/>
        <w:tabs>
          <w:tab w:leader="none" w:pos="24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Model; and</w:t>
      </w:r>
    </w:p>
    <w:p>
      <w:pPr>
        <w:spacing w:after="0" w:line="179" w:lineRule="exact"/>
        <w:rPr>
          <w:rFonts w:ascii="Arial" w:cs="Arial" w:eastAsia="Arial" w:hAnsi="Arial"/>
          <w:sz w:val="22"/>
          <w:szCs w:val="22"/>
          <w:color w:val="auto"/>
        </w:rPr>
      </w:pPr>
    </w:p>
    <w:p>
      <w:pPr>
        <w:jc w:val="both"/>
        <w:ind w:firstLine="1952"/>
        <w:spacing w:after="0" w:line="222" w:lineRule="auto"/>
        <w:tabs>
          <w:tab w:leader="none" w:pos="2427" w:val="left"/>
        </w:tabs>
        <w:numPr>
          <w:ilvl w:val="1"/>
          <w:numId w:val="119"/>
        </w:numPr>
        <w:rPr>
          <w:rFonts w:ascii="Arial" w:cs="Arial" w:eastAsia="Arial" w:hAnsi="Arial"/>
          <w:sz w:val="21"/>
          <w:szCs w:val="21"/>
          <w:color w:val="auto"/>
        </w:rPr>
      </w:pPr>
      <w:r>
        <w:rPr>
          <w:rFonts w:ascii="Arial" w:cs="Arial" w:eastAsia="Arial" w:hAnsi="Arial"/>
          <w:sz w:val="21"/>
          <w:szCs w:val="21"/>
          <w:color w:val="auto"/>
        </w:rPr>
        <w:t>calculations in form and substance reasonably satisfactory to the Administrative Agent demonstrating to the Administrative Agent’s reasonable satisfaction that (A) the Total Net Leverage Ratio for the twelve-month period ending on the last day of the most recently completed twelve-month period ended not more than forty-five (45) days prior to the Closing Date does not exceed 5.00:1.00 and (B) Liquidity as of the Closing Date is at least $10,000,000, in each case, on a pro forma basis after giving effect to the execution and delivery of this Loan Agreement, the incurrence of the Indebtedness hereunder, and the consummation of the other Transactions including the payment of all fees expenses related to the foregoing and calculated in a manner reasonably satisfactory to Administrative Agent.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Insurance</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u w:val="single" w:color="auto"/>
          <w:color w:val="0000FF"/>
        </w:rPr>
        <w:t>Section 5.11 Insurance</w:t>
      </w:r>
      <w:r>
        <w:rPr>
          <w:rFonts w:ascii="Arial" w:cs="Arial" w:eastAsia="Arial" w:hAnsi="Arial"/>
          <w:sz w:val="21"/>
          <w:szCs w:val="21"/>
          <w:color w:val="000000"/>
        </w:rPr>
        <w:t>. The Collateral Agent shall have received certificates of insurance naming the Agents, the</w:t>
      </w:r>
      <w:r>
        <w:rPr>
          <w:rFonts w:ascii="Arial" w:cs="Arial" w:eastAsia="Arial" w:hAnsi="Arial"/>
          <w:sz w:val="21"/>
          <w:szCs w:val="21"/>
          <w:color w:val="0000FF"/>
        </w:rPr>
        <w:t xml:space="preserve"> </w:t>
      </w:r>
      <w:r>
        <w:rPr>
          <w:rFonts w:ascii="Arial" w:cs="Arial" w:eastAsia="Arial" w:hAnsi="Arial"/>
          <w:sz w:val="21"/>
          <w:szCs w:val="21"/>
          <w:color w:val="000000"/>
        </w:rPr>
        <w:t xml:space="preserve">Lenders and the other Secured Parties as additional insureds and naming the Collateral Agent on behalf of the Secured Parties as loss payee (or in the case of real property, lender’s loss payee), in each case with regard to the insurance required by </w:t>
      </w:r>
      <w:r>
        <w:rPr>
          <w:rFonts w:ascii="Arial" w:cs="Arial" w:eastAsia="Arial" w:hAnsi="Arial"/>
          <w:sz w:val="21"/>
          <w:szCs w:val="21"/>
          <w:u w:val="single" w:color="auto"/>
          <w:color w:val="000000"/>
        </w:rPr>
        <w:t>Section 8.03</w:t>
      </w:r>
      <w:r>
        <w:rPr>
          <w:rFonts w:ascii="Arial" w:cs="Arial" w:eastAsia="Arial" w:hAnsi="Arial"/>
          <w:sz w:val="21"/>
          <w:szCs w:val="21"/>
          <w:color w:val="000000"/>
        </w:rPr>
        <w:t>, in form and substance reasonably satisfactory to the Collateral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PIPE Transaction</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u w:val="single" w:color="auto"/>
          <w:color w:val="0000FF"/>
        </w:rPr>
        <w:t>Section 5.12 PIPE Transaction</w:t>
      </w:r>
      <w:r>
        <w:rPr>
          <w:rFonts w:ascii="Arial" w:cs="Arial" w:eastAsia="Arial" w:hAnsi="Arial"/>
          <w:sz w:val="22"/>
          <w:szCs w:val="22"/>
          <w:color w:val="000000"/>
        </w:rPr>
        <w:t>. The PIPE Transaction shall have been consummated in full, in accordance with the</w:t>
      </w:r>
      <w:r>
        <w:rPr>
          <w:rFonts w:ascii="Arial" w:cs="Arial" w:eastAsia="Arial" w:hAnsi="Arial"/>
          <w:sz w:val="22"/>
          <w:szCs w:val="22"/>
          <w:color w:val="0000FF"/>
        </w:rPr>
        <w:t xml:space="preserve"> </w:t>
      </w:r>
      <w:r>
        <w:rPr>
          <w:rFonts w:ascii="Arial" w:cs="Arial" w:eastAsia="Arial" w:hAnsi="Arial"/>
          <w:sz w:val="22"/>
          <w:szCs w:val="22"/>
          <w:color w:val="000000"/>
        </w:rPr>
        <w:t>terms and conditions of the PIPE SPA, prior to or substantially concurrently with the funding of the Initial Term Loans and such consummation shall have occurred on or before July 7, 2020.</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8"/>
          <w:szCs w:val="18"/>
          <w:u w:val="single" w:color="auto"/>
          <w:color w:val="auto"/>
        </w:rPr>
        <w:t>Fees and Expenses</w:t>
      </w:r>
    </w:p>
    <w:p>
      <w:pPr>
        <w:spacing w:after="0" w:line="179" w:lineRule="exact"/>
        <w:rPr>
          <w:sz w:val="20"/>
          <w:szCs w:val="20"/>
          <w:color w:val="auto"/>
        </w:rPr>
      </w:pPr>
    </w:p>
    <w:p>
      <w:pPr>
        <w:jc w:val="both"/>
        <w:ind w:firstLine="656"/>
        <w:spacing w:after="0" w:line="268" w:lineRule="auto"/>
        <w:tabs>
          <w:tab w:leader="none" w:pos="75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The Administrative Agent and each Lender shall have received, for its own respective account, (a) all fees and expenses due and payable on the Closing Date to such Person under the Fee Letter and (b) the reasonable fees, costs and expenses due and payable to such Person pursuant to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12.05</w:t>
      </w:r>
      <w:r>
        <w:rPr>
          <w:rFonts w:ascii="Arial" w:cs="Arial" w:eastAsia="Arial" w:hAnsi="Arial"/>
          <w:sz w:val="19"/>
          <w:szCs w:val="19"/>
          <w:color w:val="auto"/>
        </w:rPr>
        <w:t xml:space="preserve"> (including the reasonable and documented fees,</w:t>
      </w:r>
    </w:p>
    <w:p>
      <w:pPr>
        <w:sectPr>
          <w:pgSz w:w="11900" w:h="16838" w:orient="portrait"/>
          <w:cols w:equalWidth="0" w:num="1">
            <w:col w:w="11240"/>
          </w:cols>
          <w:pgMar w:left="320" w:top="1401" w:right="339" w:bottom="1440" w:gutter="0" w:footer="0" w:header="0"/>
        </w:sectPr>
      </w:pPr>
    </w:p>
    <w:bookmarkStart w:id="131" w:name="page132"/>
    <w:bookmarkEnd w:id="131"/>
    <w:p>
      <w:pPr>
        <w:spacing w:after="0" w:line="232" w:lineRule="auto"/>
        <w:rPr>
          <w:sz w:val="20"/>
          <w:szCs w:val="20"/>
          <w:color w:val="auto"/>
        </w:rPr>
      </w:pPr>
      <w:r>
        <w:rPr>
          <w:rFonts w:ascii="Arial" w:cs="Arial" w:eastAsia="Arial" w:hAnsi="Arial"/>
          <w:sz w:val="22"/>
          <w:szCs w:val="22"/>
          <w:color w:val="auto"/>
        </w:rPr>
        <w:t>disbursements and other charges of counsel) due as of the Closing Date (in each case, to the extent invoiced one (1) Business Day prior to the Closing Date).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5.14</w:t>
      </w:r>
      <w:r>
        <w:rPr>
          <w:sz w:val="20"/>
          <w:szCs w:val="20"/>
          <w:color w:val="auto"/>
        </w:rPr>
        <w:tab/>
      </w:r>
      <w:r>
        <w:rPr>
          <w:rFonts w:ascii="Arial" w:cs="Arial" w:eastAsia="Arial" w:hAnsi="Arial"/>
          <w:sz w:val="19"/>
          <w:szCs w:val="19"/>
          <w:u w:val="single" w:color="auto"/>
          <w:color w:val="auto"/>
        </w:rPr>
        <w:t>Patriot Act Compliance and Reference Checks</w:t>
      </w:r>
    </w:p>
    <w:p>
      <w:pPr>
        <w:spacing w:after="0" w:line="179" w:lineRule="exact"/>
        <w:rPr>
          <w:sz w:val="20"/>
          <w:szCs w:val="20"/>
          <w:color w:val="auto"/>
        </w:rPr>
      </w:pPr>
    </w:p>
    <w:p>
      <w:pPr>
        <w:jc w:val="both"/>
        <w:ind w:firstLine="656"/>
        <w:spacing w:after="0" w:line="244" w:lineRule="auto"/>
        <w:tabs>
          <w:tab w:leader="none" w:pos="80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The Administrative Agent shall have received, at least two (2) Business Days prior to the Closing Date, all documentation and other information with respect to the Loan Parties required by regulatory authorities under applicable “know your customer” and anti-money laundering rules and regulations, including the PATRIOT Act, that has been reasonably requested in writing by the Administrative Agent at least five (5) Business Days prior to the Closing Date and (b) to the extent any Loan Party qualifies as a “legal entity customer” under the Beneficial Ownership Regulation, at least two (2) Business Days prior to the Closing Date, any Lender that has requested, in a written notice to the Company at least five (5) Business Days prior to the Closing Date, a Beneficial Ownership Certification in relation to such Loan Party, shall have received such Beneficial Ownership Certification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execution and delivery by such Lender of its signature page to this Loan Agreement, the condition set forth in this sub clause (ii) shall be deemed to be satisfied).</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Subsidiaries</w:t>
      </w:r>
      <w:r>
        <w:rPr>
          <w:rFonts w:ascii="Arial" w:cs="Arial" w:eastAsia="Arial" w:hAnsi="Arial"/>
          <w:sz w:val="22"/>
          <w:szCs w:val="22"/>
          <w:color w:val="FF0000"/>
          <w:strike w:val="1"/>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u w:val="single" w:color="auto"/>
          <w:color w:val="0000FF"/>
        </w:rPr>
        <w:t>Section 5.16 Subsidiaries.</w:t>
      </w:r>
      <w:r>
        <w:rPr>
          <w:rFonts w:ascii="Arial" w:cs="Arial" w:eastAsia="Arial" w:hAnsi="Arial"/>
          <w:sz w:val="22"/>
          <w:szCs w:val="22"/>
          <w:color w:val="0000FF"/>
        </w:rPr>
        <w:t xml:space="preserve"> </w:t>
      </w:r>
      <w:r>
        <w:rPr>
          <w:rFonts w:ascii="Arial" w:cs="Arial" w:eastAsia="Arial" w:hAnsi="Arial"/>
          <w:sz w:val="22"/>
          <w:szCs w:val="22"/>
          <w:color w:val="000000"/>
        </w:rPr>
        <w:t>As of the Closing Date, the Loan Parties and each of their respective Subsidiaries shall have</w:t>
      </w:r>
      <w:r>
        <w:rPr>
          <w:rFonts w:ascii="Arial" w:cs="Arial" w:eastAsia="Arial" w:hAnsi="Arial"/>
          <w:sz w:val="22"/>
          <w:szCs w:val="22"/>
          <w:color w:val="0000FF"/>
        </w:rPr>
        <w:t xml:space="preserve"> </w:t>
      </w:r>
      <w:r>
        <w:rPr>
          <w:rFonts w:ascii="Arial" w:cs="Arial" w:eastAsia="Arial" w:hAnsi="Arial"/>
          <w:sz w:val="22"/>
          <w:szCs w:val="22"/>
          <w:color w:val="000000"/>
        </w:rPr>
        <w:t xml:space="preserve">no Subsidiaries other than as set forth on </w:t>
      </w:r>
      <w:r>
        <w:rPr>
          <w:rFonts w:ascii="Arial" w:cs="Arial" w:eastAsia="Arial" w:hAnsi="Arial"/>
          <w:sz w:val="22"/>
          <w:szCs w:val="22"/>
          <w:u w:val="single" w:color="auto"/>
          <w:color w:val="000000"/>
        </w:rPr>
        <w:t>Schedule 7.36</w:t>
      </w:r>
      <w:r>
        <w:rPr>
          <w:rFonts w:ascii="Arial" w:cs="Arial" w:eastAsia="Arial" w:hAnsi="Arial"/>
          <w:sz w:val="22"/>
          <w:szCs w:val="22"/>
          <w:color w:val="000000"/>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 Default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u w:val="single" w:color="auto"/>
          <w:color w:val="0000FF"/>
        </w:rPr>
        <w:t>Section 5.17 No Default</w:t>
      </w:r>
      <w:r>
        <w:rPr>
          <w:rFonts w:ascii="Arial" w:cs="Arial" w:eastAsia="Arial" w:hAnsi="Arial"/>
          <w:sz w:val="22"/>
          <w:szCs w:val="22"/>
          <w:color w:val="000000"/>
        </w:rPr>
        <w:t>. Both before and after giving effect to Transactions and the making of the Initial Term Loans</w:t>
      </w:r>
      <w:r>
        <w:rPr>
          <w:rFonts w:ascii="Arial" w:cs="Arial" w:eastAsia="Arial" w:hAnsi="Arial"/>
          <w:sz w:val="22"/>
          <w:szCs w:val="22"/>
          <w:color w:val="0000FF"/>
        </w:rPr>
        <w:t xml:space="preserve"> </w:t>
      </w:r>
      <w:r>
        <w:rPr>
          <w:rFonts w:ascii="Arial" w:cs="Arial" w:eastAsia="Arial" w:hAnsi="Arial"/>
          <w:sz w:val="22"/>
          <w:szCs w:val="22"/>
          <w:color w:val="000000"/>
        </w:rPr>
        <w:t>on the Closing Date, no Default or Event of Default shall have occurred and be continuing.</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5.18</w:t>
      </w:r>
      <w:r>
        <w:rPr>
          <w:sz w:val="20"/>
          <w:szCs w:val="20"/>
          <w:color w:val="auto"/>
        </w:rPr>
        <w:tab/>
      </w:r>
      <w:r>
        <w:rPr>
          <w:rFonts w:ascii="Arial" w:cs="Arial" w:eastAsia="Arial" w:hAnsi="Arial"/>
          <w:sz w:val="18"/>
          <w:szCs w:val="18"/>
          <w:u w:val="single" w:color="auto"/>
          <w:color w:val="auto"/>
        </w:rPr>
        <w:t>Representations and Warranties</w:t>
      </w:r>
    </w:p>
    <w:p>
      <w:pPr>
        <w:spacing w:after="0" w:line="179" w:lineRule="exact"/>
        <w:rPr>
          <w:sz w:val="20"/>
          <w:szCs w:val="20"/>
          <w:color w:val="auto"/>
        </w:rPr>
      </w:pPr>
    </w:p>
    <w:p>
      <w:pPr>
        <w:jc w:val="both"/>
        <w:ind w:firstLine="656"/>
        <w:spacing w:after="0" w:line="224" w:lineRule="auto"/>
        <w:tabs>
          <w:tab w:leader="none" w:pos="7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Loan Parties set forth in this Loan Document and each other Loan Document, shall be true and correct in all material respects on and as of the Closing Date (except to the extent that any such representation or warranty is expressly stated to have been made as of an earlier date, in which case, such representation or warranty shall be true and correct in all material respects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 Injunctions</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0000FF"/>
        </w:rPr>
        <w:t>Section 5.19 No Injunctions</w:t>
      </w:r>
      <w:r>
        <w:rPr>
          <w:rFonts w:ascii="Arial" w:cs="Arial" w:eastAsia="Arial" w:hAnsi="Arial"/>
          <w:sz w:val="22"/>
          <w:szCs w:val="22"/>
          <w:color w:val="000000"/>
        </w:rPr>
        <w:t>. No injunction, writ, restraining order, or other order of any nature (other than an</w:t>
      </w:r>
      <w:r>
        <w:rPr>
          <w:rFonts w:ascii="Arial" w:cs="Arial" w:eastAsia="Arial" w:hAnsi="Arial"/>
          <w:sz w:val="22"/>
          <w:szCs w:val="22"/>
          <w:color w:val="0000FF"/>
        </w:rPr>
        <w:t xml:space="preserve"> </w:t>
      </w:r>
      <w:r>
        <w:rPr>
          <w:rFonts w:ascii="Arial" w:cs="Arial" w:eastAsia="Arial" w:hAnsi="Arial"/>
          <w:sz w:val="22"/>
          <w:szCs w:val="22"/>
          <w:color w:val="000000"/>
        </w:rPr>
        <w:t>injunction, writ, restraining order, or other order resulting from the actions of a Lender for purposes of avoiding its Commitments hereunder, as determined by a final non-appealable judgment from a court of competent jurisdiction) restricting or prohibiting, directly or indirectly, the Transactions shall have been issued and remain in force against the Loan Parties, any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-579755</wp:posOffset>
            </wp:positionV>
            <wp:extent cx="1825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2" w:name="page133"/>
    <w:bookmarkEnd w:id="132"/>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 TO THE DDTLS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obligation of the DDTL Lenders to fund any DDTL under this Loan Agreement after the Closing Date is subject to the satisfaction (or waiver by (x) each DDTL Lender with an unfunded DDTL Commitment and (y) the Required Lenders) of the following conditions precedent on or before date of each such Borrowing of DDTL:</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 Defaults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6.02 No Defaults</w:t>
      </w:r>
      <w:r>
        <w:rPr>
          <w:rFonts w:ascii="Arial" w:cs="Arial" w:eastAsia="Arial" w:hAnsi="Arial"/>
          <w:sz w:val="22"/>
          <w:szCs w:val="22"/>
          <w:color w:val="000000"/>
        </w:rPr>
        <w:t>. Subject to</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Section 1.12</w:t>
      </w:r>
      <w:r>
        <w:rPr>
          <w:rFonts w:ascii="Arial" w:cs="Arial" w:eastAsia="Arial" w:hAnsi="Arial"/>
          <w:sz w:val="22"/>
          <w:szCs w:val="22"/>
          <w:color w:val="000000"/>
        </w:rPr>
        <w:t>, both before and after giving effect to the making of such DDTL on</w:t>
      </w:r>
      <w:r>
        <w:rPr>
          <w:rFonts w:ascii="Arial" w:cs="Arial" w:eastAsia="Arial" w:hAnsi="Arial"/>
          <w:sz w:val="22"/>
          <w:szCs w:val="22"/>
          <w:color w:val="0000FF"/>
        </w:rPr>
        <w:t xml:space="preserve"> </w:t>
      </w:r>
      <w:r>
        <w:rPr>
          <w:rFonts w:ascii="Arial" w:cs="Arial" w:eastAsia="Arial" w:hAnsi="Arial"/>
          <w:sz w:val="22"/>
          <w:szCs w:val="22"/>
          <w:color w:val="000000"/>
        </w:rPr>
        <w:t>the proposed Borrowing date, no Default or Event of Default shall have occurred and be continuing.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Solvency</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u w:val="single" w:color="auto"/>
          <w:color w:val="0000FF"/>
        </w:rPr>
        <w:t>Section 6.03 Solvency</w:t>
      </w:r>
      <w:r>
        <w:rPr>
          <w:rFonts w:ascii="Arial" w:cs="Arial" w:eastAsia="Arial" w:hAnsi="Arial"/>
          <w:sz w:val="22"/>
          <w:szCs w:val="22"/>
          <w:color w:val="000000"/>
        </w:rPr>
        <w:t>. The Administrative Agent shall have received a Solvency Certificate substantially in the form of</w:t>
      </w:r>
      <w:r>
        <w:rPr>
          <w:rFonts w:ascii="Arial" w:cs="Arial" w:eastAsia="Arial" w:hAnsi="Arial"/>
          <w:sz w:val="22"/>
          <w:szCs w:val="22"/>
          <w:color w:val="0000FF"/>
        </w:rPr>
        <w:t xml:space="preserve"> </w:t>
      </w:r>
      <w:r>
        <w:rPr>
          <w:rFonts w:ascii="Arial" w:cs="Arial" w:eastAsia="Arial" w:hAnsi="Arial"/>
          <w:sz w:val="22"/>
          <w:szCs w:val="22"/>
          <w:color w:val="000000"/>
        </w:rPr>
        <w:t>Exhibit G duly executed by the chief financial officer of the Borrower confirming the Solvency of the Borrower and of each of the other Loan Parties and their Subsidiaries, taken as a whole, after giving effect to such Borrowing of DDTL and the application of the proceeds thereof.</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8"/>
          <w:szCs w:val="18"/>
          <w:u w:val="single" w:color="auto"/>
          <w:color w:val="auto"/>
        </w:rPr>
        <w:t>Representations and Warranties</w:t>
      </w:r>
    </w:p>
    <w:p>
      <w:pPr>
        <w:spacing w:after="0" w:line="179" w:lineRule="exact"/>
        <w:rPr>
          <w:sz w:val="20"/>
          <w:szCs w:val="20"/>
          <w:color w:val="auto"/>
        </w:rPr>
      </w:pPr>
    </w:p>
    <w:p>
      <w:pPr>
        <w:jc w:val="both"/>
        <w:ind w:firstLine="656"/>
        <w:spacing w:after="0" w:line="249" w:lineRule="auto"/>
        <w:tabs>
          <w:tab w:leader="none" w:pos="76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the representations and warranties of the Loan Parties set forth in this Loan Document and each other Loan Document, shall be true and correct in all material respects on and as of the date of such Borrowing of DDTL (except to the extent that any such representation or warranty is expressly stated to have been made as of an earlier date, in which case, such representation or warranty shall be true and correct in all material respects as of such earlier date); provided that, any representation and warranty that is qualified as to “materiality,” “Material Adverse Effect” or similar language shall be true and correct (after giving effect to any qualification therein) in all respects on such respective dates.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u w:val="single" w:color="auto"/>
          <w:color w:val="auto"/>
        </w:rPr>
        <w:t>Total Net Leverage Ratio</w:t>
      </w:r>
    </w:p>
    <w:p>
      <w:pPr>
        <w:spacing w:after="0" w:line="179" w:lineRule="exact"/>
        <w:rPr>
          <w:sz w:val="20"/>
          <w:szCs w:val="20"/>
          <w:color w:val="auto"/>
        </w:rPr>
      </w:pPr>
    </w:p>
    <w:p>
      <w:pPr>
        <w:ind w:firstLine="656"/>
        <w:spacing w:after="0" w:line="232" w:lineRule="auto"/>
        <w:tabs>
          <w:tab w:leader="none" w:pos="78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Subject to Section 1.12, as of the last day of the most recently completed Test Period, the Total Net Leverage Ratio recomputed on a pro forma basis for the Borrowing of such DDTL shall not exceed 3.50:1.00.</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Borrowing Notice</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u w:val="single" w:color="auto"/>
          <w:color w:val="0000FF"/>
        </w:rPr>
        <w:t>Section 6.06 Borrowing Notice</w:t>
      </w:r>
      <w:r>
        <w:rPr>
          <w:rFonts w:ascii="Arial" w:cs="Arial" w:eastAsia="Arial" w:hAnsi="Arial"/>
          <w:sz w:val="22"/>
          <w:szCs w:val="22"/>
          <w:color w:val="000000"/>
        </w:rPr>
        <w:t>. The Administrative Agent shall have received a Borrowing Notice for such Borrowing</w:t>
      </w:r>
      <w:r>
        <w:rPr>
          <w:rFonts w:ascii="Arial" w:cs="Arial" w:eastAsia="Arial" w:hAnsi="Arial"/>
          <w:sz w:val="22"/>
          <w:szCs w:val="22"/>
          <w:color w:val="0000FF"/>
        </w:rPr>
        <w:t xml:space="preserve"> </w:t>
      </w:r>
      <w:r>
        <w:rPr>
          <w:rFonts w:ascii="Arial" w:cs="Arial" w:eastAsia="Arial" w:hAnsi="Arial"/>
          <w:sz w:val="22"/>
          <w:szCs w:val="22"/>
          <w:color w:val="000000"/>
        </w:rPr>
        <w:t xml:space="preserve">of DDTL in accordance with </w:t>
      </w:r>
      <w:r>
        <w:rPr>
          <w:rFonts w:ascii="Arial" w:cs="Arial" w:eastAsia="Arial" w:hAnsi="Arial"/>
          <w:sz w:val="22"/>
          <w:szCs w:val="22"/>
          <w:u w:val="single" w:color="auto"/>
          <w:color w:val="000000"/>
        </w:rPr>
        <w:t>Section 2.02</w:t>
      </w:r>
      <w:r>
        <w:rPr>
          <w:rFonts w:ascii="Arial" w:cs="Arial" w:eastAsia="Arial" w:hAnsi="Arial"/>
          <w:sz w:val="22"/>
          <w:szCs w:val="22"/>
          <w:color w:val="000000"/>
        </w:rPr>
        <w: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Maximum Number of DDTL Borrowings</w:t>
      </w:r>
    </w:p>
    <w:p>
      <w:pPr>
        <w:spacing w:after="0" w:line="179" w:lineRule="exact"/>
        <w:rPr>
          <w:sz w:val="20"/>
          <w:szCs w:val="20"/>
          <w:color w:val="auto"/>
        </w:rPr>
      </w:pPr>
    </w:p>
    <w:p>
      <w:pPr>
        <w:ind w:left="780" w:hanging="124"/>
        <w:spacing w:after="0"/>
        <w:tabs>
          <w:tab w:leader="none" w:pos="78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Immediately prior to such Borrowing of DDTL, there shall not have been more than five (5) previous Borrowings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DDTLs.</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 MAE</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u w:val="single" w:color="auto"/>
          <w:color w:val="0000FF"/>
        </w:rPr>
        <w:t>Section 6.08 No MAE</w:t>
      </w:r>
      <w:r>
        <w:rPr>
          <w:rFonts w:ascii="Arial" w:cs="Arial" w:eastAsia="Arial" w:hAnsi="Arial"/>
          <w:sz w:val="22"/>
          <w:szCs w:val="22"/>
          <w:color w:val="000000"/>
        </w:rPr>
        <w:t>. Subject to</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Section 1.12</w:t>
      </w:r>
      <w:r>
        <w:rPr>
          <w:rFonts w:ascii="Arial" w:cs="Arial" w:eastAsia="Arial" w:hAnsi="Arial"/>
          <w:sz w:val="22"/>
          <w:szCs w:val="22"/>
          <w:color w:val="000000"/>
        </w:rPr>
        <w:t>, no event, change or condition shall have occurred since December 31,</w:t>
      </w:r>
      <w:r>
        <w:rPr>
          <w:rFonts w:ascii="Arial" w:cs="Arial" w:eastAsia="Arial" w:hAnsi="Arial"/>
          <w:sz w:val="22"/>
          <w:szCs w:val="22"/>
          <w:color w:val="0000FF"/>
        </w:rPr>
        <w:t xml:space="preserve"> </w:t>
      </w:r>
      <w:r>
        <w:rPr>
          <w:rFonts w:ascii="Arial" w:cs="Arial" w:eastAsia="Arial" w:hAnsi="Arial"/>
          <w:sz w:val="22"/>
          <w:szCs w:val="22"/>
          <w:color w:val="000000"/>
        </w:rPr>
        <w:t xml:space="preserve">2019 that has had or could reasonably be expected to have a Material Adverse Effect (it being understood and agreed, for the avoidance of doubt, that this Section 6.08 shall not be satisfied if a Material Adverse Effect shall have resulted from any litigation, investigation or other matter described on </w:t>
      </w:r>
      <w:r>
        <w:rPr>
          <w:rFonts w:ascii="Arial" w:cs="Arial" w:eastAsia="Arial" w:hAnsi="Arial"/>
          <w:sz w:val="22"/>
          <w:szCs w:val="22"/>
          <w:u w:val="single" w:color="auto"/>
          <w:color w:val="000000"/>
        </w:rPr>
        <w:t>Schedule 7.08</w:t>
      </w:r>
      <w:r>
        <w:rPr>
          <w:rFonts w:ascii="Arial" w:cs="Arial" w:eastAsia="Arial" w:hAnsi="Arial"/>
          <w:sz w:val="22"/>
          <w:szCs w:val="22"/>
          <w:color w:val="000000"/>
        </w:rPr>
        <w:t>).</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The delivery of a Borrowing Notice by the Borrower in respect of any DDTL and the acceptance by the Borrower of the proceeds of any DDTL shall each be deemed to constitute, as of the date thereof, a representation and warranty by the Borrower as to the matters specified in </w:t>
      </w:r>
      <w:r>
        <w:rPr>
          <w:rFonts w:ascii="Arial" w:cs="Arial" w:eastAsia="Arial" w:hAnsi="Arial"/>
          <w:sz w:val="22"/>
          <w:szCs w:val="22"/>
          <w:u w:val="single" w:color="auto"/>
          <w:color w:val="auto"/>
        </w:rPr>
        <w:t>Sections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w:t>
      </w:r>
      <w:r>
        <w:rPr>
          <w:rFonts w:ascii="Arial" w:cs="Arial" w:eastAsia="Arial" w:hAnsi="Arial"/>
          <w:sz w:val="22"/>
          <w:szCs w:val="22"/>
          <w:color w:val="auto"/>
        </w:rPr>
        <w:t xml:space="preserve">, </w:t>
      </w:r>
      <w:r>
        <w:rPr>
          <w:rFonts w:ascii="Arial" w:cs="Arial" w:eastAsia="Arial" w:hAnsi="Arial"/>
          <w:sz w:val="22"/>
          <w:szCs w:val="22"/>
          <w:u w:val="single" w:color="auto"/>
          <w:color w:val="auto"/>
        </w:rPr>
        <w:t>6.07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6.08</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To induce the Agents and the Lenders to enter into this Loan Agreement and the Lenders to make the Loans and Commitments hereunder, each of the Loan Parties, jointly and severally, represents and warrants to the Agents and the Lenders as follows: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Status</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u w:val="single" w:color="auto"/>
          <w:color w:val="0000FF"/>
        </w:rPr>
        <w:t>Section 7.01 Status</w:t>
      </w:r>
      <w:r>
        <w:rPr>
          <w:rFonts w:ascii="Arial" w:cs="Arial" w:eastAsia="Arial" w:hAnsi="Arial"/>
          <w:sz w:val="22"/>
          <w:szCs w:val="22"/>
          <w:color w:val="000000"/>
        </w:rPr>
        <w:t>. Each Loan Party (a)(i) is a duly organized or formed and validly existing corporation or other</w:t>
      </w:r>
      <w:r>
        <w:rPr>
          <w:rFonts w:ascii="Arial" w:cs="Arial" w:eastAsia="Arial" w:hAnsi="Arial"/>
          <w:sz w:val="22"/>
          <w:szCs w:val="22"/>
          <w:color w:val="0000FF"/>
        </w:rPr>
        <w:t xml:space="preserve"> </w:t>
      </w:r>
      <w:r>
        <w:rPr>
          <w:rFonts w:ascii="Arial" w:cs="Arial" w:eastAsia="Arial" w:hAnsi="Arial"/>
          <w:sz w:val="22"/>
          <w:szCs w:val="22"/>
          <w:color w:val="000000"/>
        </w:rPr>
        <w:t xml:space="preserve">registered entity, (ii) in good standing under the laws of the jurisdiction of its organization and (iii) has the corporate or other organizational power and authority to own its property and assets and to transact its business as presently conducted and (b) is duly qualified and authorized to do business, and is in good standing, in all jurisdictions where it does business or owns assets, except in the case of </w:t>
      </w:r>
      <w:r>
        <w:rPr>
          <w:rFonts w:ascii="Arial" w:cs="Arial" w:eastAsia="Arial" w:hAnsi="Arial"/>
          <w:sz w:val="22"/>
          <w:szCs w:val="22"/>
          <w:u w:val="single" w:color="auto"/>
          <w:color w:val="000000"/>
        </w:rPr>
        <w:t>clause (a)(iii)</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(b)</w:t>
      </w:r>
      <w:r>
        <w:rPr>
          <w:rFonts w:ascii="Arial" w:cs="Arial" w:eastAsia="Arial" w:hAnsi="Arial"/>
          <w:sz w:val="22"/>
          <w:szCs w:val="22"/>
          <w:color w:val="000000"/>
        </w:rPr>
        <w:t xml:space="preserve"> where the failure to be so qualified could not reasonably be expected to result in a Material Adverse Effect.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Power and Authority; Execution and Delivery</w:t>
      </w:r>
    </w:p>
    <w:p>
      <w:pPr>
        <w:spacing w:after="0" w:line="179" w:lineRule="exact"/>
        <w:rPr>
          <w:sz w:val="20"/>
          <w:szCs w:val="20"/>
          <w:color w:val="auto"/>
        </w:rPr>
      </w:pPr>
    </w:p>
    <w:p>
      <w:pPr>
        <w:jc w:val="both"/>
        <w:ind w:firstLine="656"/>
        <w:spacing w:after="0" w:line="211" w:lineRule="auto"/>
        <w:tabs>
          <w:tab w:leader="none" w:pos="75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Loan Party has the corporate or other organizational power and authority to execute, deliver and carry out the terms and provisions of the Loan Documents to which it is a party (including, in the case of the Borrower, such power and authority to borrow the Loans as contemplated herein, in the case of the Guarantors, to guaranty the Obligations as contemplated by the Guaranty and Security Agreement, and in the case of all Loan Parties, to grant the Liens contemplated by this Loan Agreement and the other Security Documents) and has taken all necessary corporate or other organizational action to authorize the execution, delivery and performance of the Loan Documents to which it is a party. Each Loan Party has duly executed and delivered the Loan Documents to which it is a party. No Loan Party has executed or delivered any Loan Documents in the state of Florida or Tennessee.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Enforceability</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u w:val="single" w:color="auto"/>
          <w:color w:val="0000FF"/>
        </w:rPr>
        <w:t>Section 7.03 Enforceability</w:t>
      </w:r>
      <w:r>
        <w:rPr>
          <w:rFonts w:ascii="Arial" w:cs="Arial" w:eastAsia="Arial" w:hAnsi="Arial"/>
          <w:sz w:val="22"/>
          <w:szCs w:val="22"/>
          <w:color w:val="000000"/>
        </w:rPr>
        <w:t>. This Loan Agreement and the other Loan Documents to which each Loan Party is a party</w:t>
      </w:r>
      <w:r>
        <w:rPr>
          <w:rFonts w:ascii="Arial" w:cs="Arial" w:eastAsia="Arial" w:hAnsi="Arial"/>
          <w:sz w:val="22"/>
          <w:szCs w:val="22"/>
          <w:color w:val="0000FF"/>
        </w:rPr>
        <w:t xml:space="preserve"> </w:t>
      </w:r>
      <w:r>
        <w:rPr>
          <w:rFonts w:ascii="Arial" w:cs="Arial" w:eastAsia="Arial" w:hAnsi="Arial"/>
          <w:sz w:val="22"/>
          <w:szCs w:val="22"/>
          <w:color w:val="000000"/>
        </w:rPr>
        <w:t>constitutes the legal, valid and binding obligation of such Loan Party, enforceable against each such Loan Party in accordance with its terms, subject to the effects of bankruptcy, insolvency, fraudulent conveyance, moratorium, reorganization and other similar laws relating to or affecting creditors’ rights generally.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 Violation</w:t>
      </w:r>
    </w:p>
    <w:p>
      <w:pPr>
        <w:sectPr>
          <w:pgSz w:w="11900" w:h="16838" w:orient="portrait"/>
          <w:cols w:equalWidth="0" w:num="1">
            <w:col w:w="11240"/>
          </w:cols>
          <w:pgMar w:left="320" w:top="1440" w:right="339" w:bottom="1440" w:gutter="0" w:footer="0" w:header="0"/>
        </w:sectPr>
      </w:pPr>
    </w:p>
    <w:bookmarkStart w:id="134" w:name="page135"/>
    <w:bookmarkEnd w:id="134"/>
    <w:p>
      <w:pPr>
        <w:jc w:val="both"/>
        <w:ind w:firstLine="648"/>
        <w:spacing w:after="0" w:line="242" w:lineRule="auto"/>
        <w:rPr>
          <w:sz w:val="20"/>
          <w:szCs w:val="20"/>
          <w:color w:val="auto"/>
        </w:rPr>
      </w:pPr>
      <w:r>
        <w:rPr>
          <w:rFonts w:ascii="Arial" w:cs="Arial" w:eastAsia="Arial" w:hAnsi="Arial"/>
          <w:sz w:val="19"/>
          <w:szCs w:val="19"/>
          <w:u w:val="single" w:color="auto"/>
          <w:color w:val="0000FF"/>
        </w:rPr>
        <w:t>Section 7.04 No Violation</w:t>
      </w:r>
      <w:r>
        <w:rPr>
          <w:rFonts w:ascii="Arial" w:cs="Arial" w:eastAsia="Arial" w:hAnsi="Arial"/>
          <w:sz w:val="19"/>
          <w:szCs w:val="19"/>
          <w:color w:val="000000"/>
        </w:rPr>
        <w:t>. The execution, delivery and performance by the Loan Parties of this Loan Agreement and the</w:t>
      </w:r>
      <w:r>
        <w:rPr>
          <w:rFonts w:ascii="Arial" w:cs="Arial" w:eastAsia="Arial" w:hAnsi="Arial"/>
          <w:sz w:val="19"/>
          <w:szCs w:val="19"/>
          <w:color w:val="0000FF"/>
        </w:rPr>
        <w:t xml:space="preserve"> </w:t>
      </w:r>
      <w:r>
        <w:rPr>
          <w:rFonts w:ascii="Arial" w:cs="Arial" w:eastAsia="Arial" w:hAnsi="Arial"/>
          <w:sz w:val="19"/>
          <w:szCs w:val="19"/>
          <w:color w:val="000000"/>
        </w:rPr>
        <w:t xml:space="preserve">other Loan Documents to which it is a party, the compliance with the terms and provisions hereof and thereof, and the consummation of the Transactions and the other transactions contemplated hereby, do not and will not (a) conflict with, contravene or violate any provision of any Applicable Law, (b) violate any order or decree of, or require any authorization, consent, approval, exemption or other action by or notice to, any Governmental Authority, (c) conflict with, result in a breach of any of the terms, covenants, conditions or provisions of, constitute a default under, otherwise result in the termination of or a termination right under, (i) any material indenture, note, loan agreement, lease agreement, mortgage, deed of trust or other financing or security agreement or (ii) any Material Contract, (d) result in the creation or imposition of (or the obligation to create or impose) any Lien upon any of the property or assets of any Loan Party (other than Liens created under the Loan Documents or Permitted Liens), or (e) violate any provision of the Organization Document or any material Permit of any Loan Party (in the case of </w:t>
      </w:r>
      <w:r>
        <w:rPr>
          <w:rFonts w:ascii="Arial" w:cs="Arial" w:eastAsia="Arial" w:hAnsi="Arial"/>
          <w:sz w:val="19"/>
          <w:szCs w:val="19"/>
          <w:u w:val="single" w:color="auto"/>
          <w:color w:val="000000"/>
        </w:rPr>
        <w:t>clauses (a)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(b)</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(c)</w:t>
      </w:r>
      <w:r>
        <w:rPr>
          <w:rFonts w:ascii="Arial" w:cs="Arial" w:eastAsia="Arial" w:hAnsi="Arial"/>
          <w:sz w:val="19"/>
          <w:szCs w:val="19"/>
          <w:color w:val="000000"/>
        </w:rPr>
        <w:t>, to the extent that such conflict, breach, contravention, payment or violation could not, individually or in the aggregate, reasonably be expected to have a Material Adverse Effect).</w:t>
      </w:r>
    </w:p>
    <w:p>
      <w:pPr>
        <w:spacing w:after="0" w:line="3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u w:val="single" w:color="auto"/>
          <w:color w:val="auto"/>
        </w:rPr>
        <w:t>Approvals, Consents, etc</w:t>
      </w:r>
    </w:p>
    <w:p>
      <w:pPr>
        <w:spacing w:after="0" w:line="179" w:lineRule="exact"/>
        <w:rPr>
          <w:sz w:val="20"/>
          <w:szCs w:val="20"/>
          <w:color w:val="auto"/>
        </w:rPr>
      </w:pPr>
    </w:p>
    <w:p>
      <w:pPr>
        <w:jc w:val="both"/>
        <w:ind w:firstLine="656"/>
        <w:spacing w:after="0" w:line="219" w:lineRule="auto"/>
        <w:tabs>
          <w:tab w:leader="none" w:pos="77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No authorization or approval or other action by, and no notice to or filing with, any Governmental Authority or other Person, and no consent or approval under any contract or instrument (other than (a) those that have been duly obtained or made and which are in full force and effect or, if not obtained or made, individually or in the aggregate could not reasonably be expected to have a Material Adverse Effect, (b) the filing of UCC financing statements, (c) filings in the United States Patent and Trademark Office and the United States Copyright Office, (d) any Hart-Scott-Rodino filing, if any, and (e) the filings or other actions necessary to perfect Liens under the Loan Documents) is required for the consummation of the Transactions or the due execution, delivery or performance by any Loan Party of any Loan Document to which it is a party, or for the due execution, delivery or performance of the Loan Documents, in each case by any of the Loan Parties party thereto. There is no judgment, order, injunction or other restraint issued or filed with respect to the transactions contemplated by the Loan Documents, the consummation of the Transactions, the making of any Loan or the performance by any Loan Party of its Obligations under the Loan Documents.</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u w:val="single" w:color="auto"/>
          <w:color w:val="auto"/>
        </w:rPr>
        <w:t>Use of Proceeds; Regulations T, U and X</w:t>
      </w:r>
    </w:p>
    <w:p>
      <w:pPr>
        <w:spacing w:after="0" w:line="179" w:lineRule="exact"/>
        <w:rPr>
          <w:sz w:val="20"/>
          <w:szCs w:val="20"/>
          <w:color w:val="auto"/>
        </w:rPr>
      </w:pPr>
    </w:p>
    <w:p>
      <w:pPr>
        <w:jc w:val="both"/>
        <w:ind w:firstLine="656"/>
        <w:spacing w:after="0" w:line="216" w:lineRule="auto"/>
        <w:tabs>
          <w:tab w:leader="none" w:pos="75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Borrower will use the proceeds of the Loans solely for the purposes set forth in, as permitted by, and in accordance with </w:t>
      </w:r>
      <w:r>
        <w:rPr>
          <w:rFonts w:ascii="Arial" w:cs="Arial" w:eastAsia="Arial" w:hAnsi="Arial"/>
          <w:sz w:val="22"/>
          <w:szCs w:val="22"/>
          <w:u w:val="single" w:color="auto"/>
          <w:color w:val="auto"/>
        </w:rPr>
        <w:t>Section 8.12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9.18</w:t>
      </w:r>
      <w:r>
        <w:rPr>
          <w:rFonts w:ascii="Arial" w:cs="Arial" w:eastAsia="Arial" w:hAnsi="Arial"/>
          <w:sz w:val="22"/>
          <w:szCs w:val="22"/>
          <w:color w:val="auto"/>
        </w:rPr>
        <w:t>. No Loan Party is engaged in the business of extending credit for the purpose of purchasing or carrying “margin stock” or “margin securities” within the meanings of Regulations T, U or X, and no proceeds of any Loan will be used to purchase or carry any margin stock or margin security or otherwise for a purpose which violates or would be inconsistent with Regulations T, U or Regulation X.</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u w:val="single" w:color="auto"/>
          <w:color w:val="auto"/>
        </w:rPr>
        <w:t>Investment Company Act; etc</w:t>
      </w:r>
    </w:p>
    <w:p>
      <w:pPr>
        <w:spacing w:after="0" w:line="179" w:lineRule="exact"/>
        <w:rPr>
          <w:sz w:val="20"/>
          <w:szCs w:val="20"/>
          <w:color w:val="auto"/>
        </w:rPr>
      </w:pPr>
    </w:p>
    <w:p>
      <w:pPr>
        <w:ind w:firstLine="656"/>
        <w:spacing w:after="0" w:line="232" w:lineRule="auto"/>
        <w:tabs>
          <w:tab w:leader="none" w:pos="78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 Loan Party is, or after giving effect to the Transactions and the other transactions contemplated under the Loan Documents will be, an “investment company” within the meaning of the Investment Company Act of 1940.</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u w:val="single" w:color="auto"/>
          <w:color w:val="auto"/>
        </w:rPr>
        <w:t>Litigation, Labor Controversies, etc</w:t>
      </w:r>
    </w:p>
    <w:p>
      <w:pPr>
        <w:spacing w:after="0" w:line="179" w:lineRule="exact"/>
        <w:rPr>
          <w:sz w:val="20"/>
          <w:szCs w:val="20"/>
          <w:color w:val="auto"/>
        </w:rPr>
      </w:pPr>
    </w:p>
    <w:p>
      <w:pPr>
        <w:jc w:val="both"/>
        <w:ind w:firstLine="656"/>
        <w:spacing w:after="0" w:line="223" w:lineRule="auto"/>
        <w:tabs>
          <w:tab w:leader="none" w:pos="75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There is no pending or, to the knowledge of any Loan Party, threatened in writing, litigation, action, proceeding or labor controversy (including without limitation, strikes, lockouts or slowdowns) against or involving any of the Loan Parties or any of their respective</w:t>
      </w:r>
    </w:p>
    <w:p>
      <w:pPr>
        <w:sectPr>
          <w:pgSz w:w="11900" w:h="16838" w:orient="portrait"/>
          <w:cols w:equalWidth="0" w:num="1">
            <w:col w:w="11240"/>
          </w:cols>
          <w:pgMar w:left="320" w:top="1401" w:right="3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Subsidiaries (i) which purports to affect the legality, validity or enforceability of any Loan Document or any of the Transactions,</w:t>
      </w:r>
    </w:p>
    <w:p>
      <w:pPr>
        <w:spacing w:after="0" w:line="16" w:lineRule="exact"/>
        <w:rPr>
          <w:sz w:val="20"/>
          <w:szCs w:val="20"/>
          <w:color w:val="auto"/>
        </w:rPr>
      </w:pPr>
    </w:p>
    <w:p>
      <w:pPr>
        <w:jc w:val="both"/>
        <w:ind w:firstLine="8"/>
        <w:spacing w:after="0" w:line="222" w:lineRule="auto"/>
        <w:tabs>
          <w:tab w:leader="none" w:pos="32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which seeks specific performance or injunctive relief, or (iii), except as disclosed on </w:t>
      </w:r>
      <w:r>
        <w:rPr>
          <w:rFonts w:ascii="Arial" w:cs="Arial" w:eastAsia="Arial" w:hAnsi="Arial"/>
          <w:sz w:val="21"/>
          <w:szCs w:val="21"/>
          <w:u w:val="single" w:color="auto"/>
          <w:color w:val="auto"/>
        </w:rPr>
        <w:t>Schedule 7.08</w:t>
      </w:r>
      <w:r>
        <w:rPr>
          <w:rFonts w:ascii="Arial" w:cs="Arial" w:eastAsia="Arial" w:hAnsi="Arial"/>
          <w:sz w:val="21"/>
          <w:szCs w:val="21"/>
          <w:color w:val="auto"/>
        </w:rPr>
        <w:t xml:space="preserve">, which would reasonably be expected to have a Material Adverse Effect. There are no collective bargaining or similar agreements entered into by, between or applicable to any Loan Party or any of its Subsidiaries and any union, labor organization or other bargaining agent in respect of the employees of any Loan Party or any of its Subsidiaries. </w:t>
      </w:r>
      <w:r>
        <w:rPr>
          <w:rFonts w:ascii="Arial" w:cs="Arial" w:eastAsia="Arial" w:hAnsi="Arial"/>
          <w:sz w:val="21"/>
          <w:szCs w:val="21"/>
          <w:u w:val="single" w:color="auto"/>
          <w:color w:val="auto"/>
        </w:rPr>
        <w:t>Schedule 7.08</w:t>
      </w:r>
      <w:r>
        <w:rPr>
          <w:rFonts w:ascii="Arial" w:cs="Arial" w:eastAsia="Arial" w:hAnsi="Arial"/>
          <w:sz w:val="21"/>
          <w:szCs w:val="21"/>
          <w:color w:val="auto"/>
        </w:rPr>
        <w:t xml:space="preserve"> sets forth the insurance policies of the Borrower and its Subsidiaries applicable to the matters described in this </w:t>
      </w:r>
      <w:r>
        <w:rPr>
          <w:rFonts w:ascii="Arial" w:cs="Arial" w:eastAsia="Arial" w:hAnsi="Arial"/>
          <w:sz w:val="21"/>
          <w:szCs w:val="21"/>
          <w:u w:val="single" w:color="auto"/>
          <w:color w:val="auto"/>
        </w:rPr>
        <w:t>Section 7.08</w:t>
      </w:r>
      <w:r>
        <w:rPr>
          <w:rFonts w:ascii="Arial" w:cs="Arial" w:eastAsia="Arial" w:hAnsi="Arial"/>
          <w:sz w:val="21"/>
          <w:szCs w:val="21"/>
          <w:color w:val="auto"/>
        </w:rPr>
        <w:t>.</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19"/>
          <w:szCs w:val="19"/>
          <w:u w:val="single" w:color="auto"/>
          <w:color w:val="auto"/>
        </w:rPr>
        <w:t>Capitalization; Subsidiaries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1" w:lineRule="auto"/>
        <w:tabs>
          <w:tab w:leader="none" w:pos="242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“Capitalization and Subsidiaries Schedule” attached hereto as </w:t>
      </w:r>
      <w:r>
        <w:rPr>
          <w:rFonts w:ascii="Arial" w:cs="Arial" w:eastAsia="Arial" w:hAnsi="Arial"/>
          <w:sz w:val="19"/>
          <w:szCs w:val="19"/>
          <w:u w:val="single" w:color="auto"/>
          <w:color w:val="auto"/>
        </w:rPr>
        <w:t>Schedule 7.09</w:t>
      </w:r>
      <w:r>
        <w:rPr>
          <w:rFonts w:ascii="Arial" w:cs="Arial" w:eastAsia="Arial" w:hAnsi="Arial"/>
          <w:sz w:val="19"/>
          <w:szCs w:val="19"/>
          <w:color w:val="auto"/>
        </w:rPr>
        <w:t xml:space="preserve"> sets forth all issued and outstanding Capital Stock of each Loan Party (other than the Borrower), including the number of authorized, issued and outstanding shares or other units of Capital Stock of each Loan Party (other than the Borrower) and the holders of such Capital Stock, all on and as of the Closing Date. Each outstanding share or unit of Capital Stock of each Loan Party (other than the Borrower) have been duly authorized, validly issued, are fully paid and non-assessable and have not been issued in violation of any preemptive or similar rights created by applicable Law, any Loan Party’s (other than the Borrower) Organization Documents or by any agreement to which such Loan Party is a party or by which it is bound, and have been issued in compliance with applicable federal and state securities or “blue sky” Laws. All issued and outstanding Capital Stock of each Loan Party (other than the Borrower) is free and clear of all Liens (except for the benefit of the Secured Parties and Permitted Liens). Except as set forth on </w:t>
      </w:r>
      <w:r>
        <w:rPr>
          <w:rFonts w:ascii="Arial" w:cs="Arial" w:eastAsia="Arial" w:hAnsi="Arial"/>
          <w:sz w:val="19"/>
          <w:szCs w:val="19"/>
          <w:u w:val="single" w:color="auto"/>
          <w:color w:val="auto"/>
        </w:rPr>
        <w:t>Schedule 7.09</w:t>
      </w:r>
      <w:r>
        <w:rPr>
          <w:rFonts w:ascii="Arial" w:cs="Arial" w:eastAsia="Arial" w:hAnsi="Arial"/>
          <w:sz w:val="19"/>
          <w:szCs w:val="19"/>
          <w:color w:val="auto"/>
        </w:rPr>
        <w:t xml:space="preserve">, no Loan Party (other than the Borrower) has outstanding any Capital Stock convertible or exchangeable for any shares of its Capital Stock or any rights or options to subscribe for or to purchase its Capital Stock convertible into or exchangeable for its Capital Stock. Except as set forth on </w:t>
      </w:r>
      <w:r>
        <w:rPr>
          <w:rFonts w:ascii="Arial" w:cs="Arial" w:eastAsia="Arial" w:hAnsi="Arial"/>
          <w:sz w:val="19"/>
          <w:szCs w:val="19"/>
          <w:u w:val="single" w:color="auto"/>
          <w:color w:val="auto"/>
        </w:rPr>
        <w:t>Schedule 7.09</w:t>
      </w:r>
      <w:r>
        <w:rPr>
          <w:rFonts w:ascii="Arial" w:cs="Arial" w:eastAsia="Arial" w:hAnsi="Arial"/>
          <w:sz w:val="19"/>
          <w:szCs w:val="19"/>
          <w:color w:val="auto"/>
        </w:rPr>
        <w:t>, no Loan Party is subject to any obligation (contingent or otherwise) to repurchase or acquire or retire any of its Capital Stock, other than stock repurchases otherwise permitted hereunder and other than any such obligations set forth in the Certificate of Amendment filed by the Borrower in connection with the PIPE Transactions. None of the Loan Parties has violated any applicable federal or state securities Laws in connection with the offer, sale or issuance of any of its Capital Stock.</w:t>
      </w:r>
    </w:p>
    <w:p>
      <w:pPr>
        <w:spacing w:after="0" w:line="381" w:lineRule="exact"/>
        <w:rPr>
          <w:rFonts w:ascii="Arial" w:cs="Arial" w:eastAsia="Arial" w:hAnsi="Arial"/>
          <w:sz w:val="19"/>
          <w:szCs w:val="19"/>
          <w:color w:val="auto"/>
        </w:rPr>
      </w:pPr>
    </w:p>
    <w:p>
      <w:pPr>
        <w:jc w:val="both"/>
        <w:ind w:firstLine="1952"/>
        <w:spacing w:after="0" w:line="223" w:lineRule="auto"/>
        <w:tabs>
          <w:tab w:leader="none" w:pos="250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As of the Closing Date, none of the Loan Parties has any Subsidiaries other than the Subsidiaries listed on </w:t>
      </w:r>
      <w:r>
        <w:rPr>
          <w:rFonts w:ascii="Arial" w:cs="Arial" w:eastAsia="Arial" w:hAnsi="Arial"/>
          <w:sz w:val="22"/>
          <w:szCs w:val="22"/>
          <w:u w:val="single" w:color="auto"/>
          <w:color w:val="auto"/>
        </w:rPr>
        <w:t>Schedule 7.09</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7.09</w:t>
      </w:r>
      <w:r>
        <w:rPr>
          <w:rFonts w:ascii="Arial" w:cs="Arial" w:eastAsia="Arial" w:hAnsi="Arial"/>
          <w:sz w:val="22"/>
          <w:szCs w:val="22"/>
          <w:color w:val="auto"/>
        </w:rPr>
        <w:t xml:space="preserve"> describes the direct and indirect ownership interest of each of the Loan Parties in each Subsidiary as of the Closing Date.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u w:val="single" w:color="auto"/>
          <w:color w:val="auto"/>
        </w:rPr>
        <w:t>Accuracy of Information</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21" w:lineRule="auto"/>
        <w:tabs>
          <w:tab w:leader="none" w:pos="2402"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All written factual information and data furnished by any Loan Party, any of their respective Affiliates or any of their respective representatives to any Agent or any Lender prior to the Closing Date for purposes of or in connection with this Loan Agreement or any of the Transactions (other than (i) the Inaccurate Information and other information or data derived therefrom and (ii) financial estimates, forecast, models and Projections, other forward looking information and underlying assumptions relating to any of the foregoing and information of an industry specific on general economic nature), taken as a whole, is, and all such written factual information and data hereafter furnished in writing by any Loan Party, any of their respective Affiliates or any of their respective representatives to any Agent or any Lender will (taken as a whole) be, true, correct and complete in all material respects on the date as of</w:t>
      </w:r>
    </w:p>
    <w:p>
      <w:pPr>
        <w:sectPr>
          <w:pgSz w:w="11900" w:h="16838" w:orient="portrait"/>
          <w:cols w:equalWidth="0" w:num="1">
            <w:col w:w="11240"/>
          </w:cols>
          <w:pgMar w:left="320" w:top="1401" w:right="339" w:bottom="1440" w:gutter="0" w:footer="0" w:header="0"/>
        </w:sectPr>
      </w:pPr>
    </w:p>
    <w:bookmarkStart w:id="136" w:name="page137"/>
    <w:bookmarkEnd w:id="136"/>
    <w:p>
      <w:pPr>
        <w:spacing w:after="0" w:line="177"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 xml:space="preserve">which such information or data is furnished, and none of such factual information and data at the time furnished by any Loan Party, any of their respective Affiliates or any of their respective representatives to any Agent or any Lender prior to the Closing Date for purposes of or in connection with this Loan Agreement or any of the Transactions contains (taken as a whole) any untrue statement of a material fact or omits to state any material fact necessary to make such information and data, taken as a whole, not materially misleading, in each case, at the time such information and data was furnished in light of the circumstances under which such information or data was furnished;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any such information or data was based upon or constitutes a forecast or Projections (or other forward-looking information), the Loan Parties represent only that such forecast or Projections was prepared by the Loan Parties in good faith based upon assumptions believed to be reasonable by the Loan Parties at the time furnished, it being understood that forecasts and Projections (or other forward-looking information) are subject to uncertainties and contingencies, many of which are beyond the Loan Parties’ control, and no assurance can be given that any forecast or Projections (or other forward-looking information) will be realized and that actual results may differ and such differences may be material.</w:t>
      </w:r>
    </w:p>
    <w:p>
      <w:pPr>
        <w:spacing w:after="0" w:line="164" w:lineRule="exact"/>
        <w:rPr>
          <w:sz w:val="20"/>
          <w:szCs w:val="20"/>
          <w:color w:val="auto"/>
        </w:rPr>
      </w:pPr>
    </w:p>
    <w:p>
      <w:pPr>
        <w:jc w:val="both"/>
        <w:ind w:firstLine="1952"/>
        <w:spacing w:after="0" w:line="226" w:lineRule="auto"/>
        <w:tabs>
          <w:tab w:leader="none" w:pos="24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Budget, Model and other pro forma financial information provided to the Administrative Agent on or prior to the Closing Date were prepared in good faith based upon assumptions believed to be reasonable by the Loan Parties at the time made, it being recognized by the Administrative Agent and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59" w:lineRule="exact"/>
        <w:rPr>
          <w:rFonts w:ascii="Arial" w:cs="Arial" w:eastAsia="Arial" w:hAnsi="Arial"/>
          <w:sz w:val="21"/>
          <w:szCs w:val="21"/>
          <w:color w:val="auto"/>
        </w:rPr>
      </w:pPr>
    </w:p>
    <w:p>
      <w:pPr>
        <w:jc w:val="both"/>
        <w:ind w:firstLine="1952"/>
        <w:spacing w:after="0" w:line="257" w:lineRule="auto"/>
        <w:tabs>
          <w:tab w:leader="none" w:pos="250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The financial statements most recently provided pursuant to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present fairly, in all material respects, the financial position and results of operations and cash flows of the Loan Parties and their Subsidiaries on a consolidated basis as of such dates and for such periods in accordance with GAAP, subject, in the case of financial statements provided pursuant to </w:t>
      </w:r>
      <w:r>
        <w:rPr>
          <w:rFonts w:ascii="Arial" w:cs="Arial" w:eastAsia="Arial" w:hAnsi="Arial"/>
          <w:sz w:val="19"/>
          <w:szCs w:val="19"/>
          <w:u w:val="single" w:color="auto"/>
          <w:color w:val="auto"/>
        </w:rPr>
        <w:t>Section 8.01(c)</w:t>
      </w:r>
      <w:r>
        <w:rPr>
          <w:rFonts w:ascii="Arial" w:cs="Arial" w:eastAsia="Arial" w:hAnsi="Arial"/>
          <w:sz w:val="19"/>
          <w:szCs w:val="19"/>
          <w:color w:val="auto"/>
        </w:rPr>
        <w:t>, to the absence of footnotes and normal year-end adjustments.</w:t>
      </w:r>
    </w:p>
    <w:p>
      <w:pPr>
        <w:spacing w:after="0" w:line="14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Beneficial Ownership Certification</w:t>
      </w:r>
    </w:p>
    <w:p>
      <w:pPr>
        <w:spacing w:after="0" w:line="179" w:lineRule="exact"/>
        <w:rPr>
          <w:sz w:val="20"/>
          <w:szCs w:val="20"/>
          <w:color w:val="auto"/>
        </w:rPr>
      </w:pPr>
    </w:p>
    <w:p>
      <w:pPr>
        <w:jc w:val="both"/>
        <w:ind w:firstLine="656"/>
        <w:spacing w:after="0" w:line="223" w:lineRule="auto"/>
        <w:tabs>
          <w:tab w:leader="none" w:pos="74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As of the Closing Date, to the best knowledge of each Borrower, the information included in each Beneficial Ownership Certification provided on or prior to the Closing Date to any Lender in connection with this Loan Agreement is true and correct in all respects.</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7.12</w:t>
      </w:r>
      <w:r>
        <w:rPr>
          <w:sz w:val="20"/>
          <w:szCs w:val="20"/>
          <w:color w:val="auto"/>
        </w:rPr>
        <w:tab/>
      </w:r>
      <w:r>
        <w:rPr>
          <w:rFonts w:ascii="Arial" w:cs="Arial" w:eastAsia="Arial" w:hAnsi="Arial"/>
          <w:sz w:val="18"/>
          <w:szCs w:val="18"/>
          <w:u w:val="single" w:color="auto"/>
          <w:color w:val="auto"/>
        </w:rPr>
        <w:t>Tax Returns and Payments</w:t>
      </w:r>
    </w:p>
    <w:p>
      <w:pPr>
        <w:spacing w:after="0" w:line="179" w:lineRule="exact"/>
        <w:rPr>
          <w:sz w:val="20"/>
          <w:szCs w:val="20"/>
          <w:color w:val="auto"/>
        </w:rPr>
      </w:pPr>
    </w:p>
    <w:p>
      <w:pPr>
        <w:jc w:val="both"/>
        <w:ind w:firstLine="656"/>
        <w:spacing w:after="0" w:line="244" w:lineRule="auto"/>
        <w:tabs>
          <w:tab w:leader="none" w:pos="77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Each Loan Party has filed all applicable federal, state and local income Tax returns, and all other material Tax returns, domestic and foreign, required to be filed by them, and has paid all Taxes and assessments payable by them that have become due (whether or not reflected on a Tax return) other than those not yet delinquent or contested in good faith by appropriate proceedings in accordance with </w:t>
      </w:r>
      <w:r>
        <w:rPr>
          <w:rFonts w:ascii="Arial" w:cs="Arial" w:eastAsia="Arial" w:hAnsi="Arial"/>
          <w:sz w:val="19"/>
          <w:szCs w:val="19"/>
          <w:u w:val="single" w:color="auto"/>
          <w:color w:val="auto"/>
        </w:rPr>
        <w:t>Section 9.02(i)</w:t>
      </w:r>
      <w:r>
        <w:rPr>
          <w:rFonts w:ascii="Arial" w:cs="Arial" w:eastAsia="Arial" w:hAnsi="Arial"/>
          <w:sz w:val="19"/>
          <w:szCs w:val="19"/>
          <w:color w:val="auto"/>
        </w:rPr>
        <w:t xml:space="preserve"> and with respect to which the applicable Loan Party has maintained adequate reserves, which reserves shall be in conformity with GAAP, consistently applied. Each Loan Party and its Subsidiaries has paid, or has provided adequate reserves for the payment of, all applicable federal, state, local and foreign income Taxes applicable for all prior fiscal years and for the current fiscal year, which reserves shall be in conformity with GAAP, consistently applied. No Lien in respect of Taxes has been filed, and, except as set forth on </w:t>
      </w:r>
      <w:r>
        <w:rPr>
          <w:rFonts w:ascii="Arial" w:cs="Arial" w:eastAsia="Arial" w:hAnsi="Arial"/>
          <w:sz w:val="19"/>
          <w:szCs w:val="19"/>
          <w:u w:val="single" w:color="auto"/>
          <w:color w:val="auto"/>
        </w:rPr>
        <w:t>Schedule 7.12</w:t>
      </w:r>
      <w:r>
        <w:rPr>
          <w:rFonts w:ascii="Arial" w:cs="Arial" w:eastAsia="Arial" w:hAnsi="Arial"/>
          <w:sz w:val="19"/>
          <w:szCs w:val="19"/>
          <w:color w:val="auto"/>
        </w:rPr>
        <w:t>, no claim is being asserted, with respect to any such Tax, fee, or other charge in any case in excess of $100,000.</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Compliance with ERISA</w:t>
      </w:r>
    </w:p>
    <w:p>
      <w:pPr>
        <w:sectPr>
          <w:pgSz w:w="11900" w:h="16838" w:orient="portrait"/>
          <w:cols w:equalWidth="0" w:num="1">
            <w:col w:w="11240"/>
          </w:cols>
          <w:pgMar w:left="320" w:top="1440" w:right="339" w:bottom="1440" w:gutter="0" w:footer="0" w:header="0"/>
        </w:sectPr>
      </w:pPr>
    </w:p>
    <w:bookmarkStart w:id="137" w:name="page138"/>
    <w:bookmarkEnd w:id="137"/>
    <w:p>
      <w:pPr>
        <w:jc w:val="both"/>
        <w:ind w:left="-656" w:firstLine="656"/>
        <w:spacing w:after="0"/>
        <w:tabs>
          <w:tab w:leader="none" w:pos="12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Each Employee Benefit Plan (and each related trust, insurance contract or fund), and with respect to each Employee Benefit Plan, each of the Loan Parties, is in compliance with its terms and with ERISA, the Code and all Applicable Laws, except for instances of noncompliance which, individually or in the aggregate, have not or could not reasonably be expected to result in a Material Adverse Effect. No ERISA Event has occurred or is reasonably expected to occur, which, individually or in the aggregate, has resulted or could reasonably be expected to result in a Material Adverse Effect. Each Employee Benefit Plan (and each related trust, if any) that is intended to qualify under Section 401(a) of the Code has received a favorable determination, advisory or opinion letter from the IRS, including for all required amendments, regarding its qualification thereunder that considers the law changes incorporated in the Employee Benefit Plan sponsor’s most recently expired remedial amendment cycle determined under the provisions of Rev. Proc. 2007-44 (or any successor thereto). No action, suit, proceeding, hearing, audit or investigation with respect to the administration, operation or the investment of assets of any Employee Benefit Plan (other than routine claims for benefits) is pending, or to the knowledge of any Loan Party, expected or threatened, and anticipated to result in a Material Adverse Effect. No Plan has an Unfunded Current Liability that has resulted or could reasonably be expected to result in a Material Adverse Effect. No employee welfare benefit plan within the meaning of §3(1) or §3(2)(B) of ERISA of any Loan Party or any of their respective Subsidiaries provides benefit coverage subsequent to termination of employment except as required by Title I, Part 6 of ERISA or applicable state insurance laws or except which would not result in unfunded benefit obligations that could reasonably be expected to have a Material Adverse Effect. No Withdrawal Liability has been, or is reasonably expected to be, incurred for any Multiemployer Plan by any Loan Party or any of their respective Subsidiaries or ERISA Affiliates.</w:t>
      </w:r>
    </w:p>
    <w:p>
      <w:pPr>
        <w:spacing w:after="0" w:line="390"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7.14</w:t>
      </w:r>
      <w:r>
        <w:rPr>
          <w:sz w:val="20"/>
          <w:szCs w:val="20"/>
          <w:color w:val="auto"/>
        </w:rPr>
        <w:tab/>
      </w:r>
      <w:r>
        <w:rPr>
          <w:rFonts w:ascii="Arial" w:cs="Arial" w:eastAsia="Arial" w:hAnsi="Arial"/>
          <w:sz w:val="19"/>
          <w:szCs w:val="19"/>
          <w:u w:val="single" w:color="auto"/>
          <w:color w:val="auto"/>
        </w:rPr>
        <w:t>Intellectual Property; Licenses, etc</w:t>
      </w:r>
    </w:p>
    <w:p>
      <w:pPr>
        <w:spacing w:after="0" w:line="179" w:lineRule="exact"/>
        <w:rPr>
          <w:sz w:val="20"/>
          <w:szCs w:val="20"/>
          <w:color w:val="auto"/>
        </w:rPr>
      </w:pPr>
    </w:p>
    <w:p>
      <w:pPr>
        <w:ind w:left="-656" w:firstLine="656"/>
        <w:spacing w:after="0" w:line="232" w:lineRule="auto"/>
        <w:tabs>
          <w:tab w:leader="none" w:pos="10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Each Loan Party and each Subsidiary of each Loan Party owns, licenses or otherwise possesses the right to use, all of the IP Rights material to such Loan Party’s business (including all Key IP) as currently conducted.</w:t>
      </w:r>
    </w:p>
    <w:p>
      <w:pPr>
        <w:spacing w:after="0" w:line="158" w:lineRule="exact"/>
        <w:rPr>
          <w:rFonts w:ascii="Arial" w:cs="Arial" w:eastAsia="Arial" w:hAnsi="Arial"/>
          <w:sz w:val="22"/>
          <w:szCs w:val="22"/>
          <w:color w:val="auto"/>
        </w:rPr>
      </w:pPr>
    </w:p>
    <w:p>
      <w:pPr>
        <w:jc w:val="both"/>
        <w:ind w:left="-656" w:firstLine="1952"/>
        <w:spacing w:after="0" w:line="223" w:lineRule="auto"/>
        <w:tabs>
          <w:tab w:leader="none" w:pos="1797" w:val="left"/>
        </w:tabs>
        <w:numPr>
          <w:ilvl w:val="1"/>
          <w:numId w:val="138"/>
        </w:numPr>
        <w:rPr>
          <w:rFonts w:ascii="Arial" w:cs="Arial" w:eastAsia="Arial" w:hAnsi="Arial"/>
          <w:sz w:val="22"/>
          <w:szCs w:val="22"/>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The conduct and operations of the businesses of each Loan Party and each of its Subsidiaries as</w:t>
      </w:r>
      <w:r>
        <w:rPr>
          <w:rFonts w:ascii="Arial" w:cs="Arial" w:eastAsia="Arial" w:hAnsi="Arial"/>
          <w:sz w:val="22"/>
          <w:szCs w:val="22"/>
          <w:color w:val="FF0000"/>
        </w:rPr>
        <w:t xml:space="preserve"> </w:t>
      </w:r>
      <w:r>
        <w:rPr>
          <w:rFonts w:ascii="Arial" w:cs="Arial" w:eastAsia="Arial" w:hAnsi="Arial"/>
          <w:sz w:val="22"/>
          <w:szCs w:val="22"/>
          <w:color w:val="000000"/>
        </w:rPr>
        <w:t>currently conducted does not, to the knowledge of any Loan Party, infringe, misappropriate, dilute, or otherwise violate any IP Rights owned by any other Person.</w:t>
      </w:r>
    </w:p>
    <w:p>
      <w:pPr>
        <w:spacing w:after="0" w:line="158" w:lineRule="exact"/>
        <w:rPr>
          <w:rFonts w:ascii="Arial" w:cs="Arial" w:eastAsia="Arial" w:hAnsi="Arial"/>
          <w:sz w:val="22"/>
          <w:szCs w:val="22"/>
          <w:color w:val="0000FF"/>
        </w:rPr>
      </w:pPr>
    </w:p>
    <w:p>
      <w:pPr>
        <w:jc w:val="both"/>
        <w:ind w:left="-656" w:firstLine="1952"/>
        <w:spacing w:after="0" w:line="214" w:lineRule="auto"/>
        <w:tabs>
          <w:tab w:leader="none" w:pos="1804" w:val="left"/>
        </w:tabs>
        <w:numPr>
          <w:ilvl w:val="1"/>
          <w:numId w:val="138"/>
        </w:numPr>
        <w:rPr>
          <w:rFonts w:ascii="Arial" w:cs="Arial" w:eastAsia="Arial" w:hAnsi="Arial"/>
          <w:sz w:val="22"/>
          <w:szCs w:val="22"/>
          <w:color w:val="0000FF"/>
        </w:rPr>
      </w:pPr>
      <w:r>
        <w:rPr>
          <w:rFonts w:ascii="Arial" w:cs="Arial" w:eastAsia="Arial" w:hAnsi="Arial"/>
          <w:sz w:val="22"/>
          <w:szCs w:val="22"/>
          <w:color w:val="FF0000"/>
          <w:strike w:val="1"/>
        </w:rPr>
        <w:t>(c)</w:t>
      </w:r>
      <w:r>
        <w:rPr>
          <w:rFonts w:ascii="Arial" w:cs="Arial" w:eastAsia="Arial" w:hAnsi="Arial"/>
          <w:sz w:val="22"/>
          <w:szCs w:val="22"/>
          <w:color w:val="FF0000"/>
        </w:rPr>
        <w:t xml:space="preserve"> </w:t>
      </w:r>
      <w:r>
        <w:rPr>
          <w:rFonts w:ascii="Arial" w:cs="Arial" w:eastAsia="Arial" w:hAnsi="Arial"/>
          <w:sz w:val="22"/>
          <w:szCs w:val="22"/>
          <w:color w:val="000000"/>
        </w:rPr>
        <w:t>Except as set forth on</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Schedule 7.14(a)</w:t>
      </w:r>
      <w:r>
        <w:rPr>
          <w:rFonts w:ascii="Arial" w:cs="Arial" w:eastAsia="Arial" w:hAnsi="Arial"/>
          <w:sz w:val="22"/>
          <w:szCs w:val="22"/>
          <w:color w:val="FF0000"/>
        </w:rPr>
        <w:t xml:space="preserve"> </w:t>
      </w:r>
      <w:r>
        <w:rPr>
          <w:rFonts w:ascii="Arial" w:cs="Arial" w:eastAsia="Arial" w:hAnsi="Arial"/>
          <w:sz w:val="22"/>
          <w:szCs w:val="22"/>
          <w:color w:val="000000"/>
        </w:rPr>
        <w:t>or</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Schedule 7.08</w:t>
      </w:r>
      <w:r>
        <w:rPr>
          <w:rFonts w:ascii="Arial" w:cs="Arial" w:eastAsia="Arial" w:hAnsi="Arial"/>
          <w:sz w:val="22"/>
          <w:szCs w:val="22"/>
          <w:color w:val="000000"/>
        </w:rPr>
        <w:t>, there is no material claim or litigation</w:t>
      </w:r>
      <w:r>
        <w:rPr>
          <w:rFonts w:ascii="Arial" w:cs="Arial" w:eastAsia="Arial" w:hAnsi="Arial"/>
          <w:sz w:val="22"/>
          <w:szCs w:val="22"/>
          <w:color w:val="FF0000"/>
        </w:rPr>
        <w:t xml:space="preserve"> </w:t>
      </w:r>
      <w:r>
        <w:rPr>
          <w:rFonts w:ascii="Arial" w:cs="Arial" w:eastAsia="Arial" w:hAnsi="Arial"/>
          <w:sz w:val="22"/>
          <w:szCs w:val="22"/>
          <w:color w:val="000000"/>
        </w:rPr>
        <w:t>pending or, to the knowledge of any Loan Party, threatened in writing against any Loan Party or any of its Subsidiaries, (i) challenging any right, title or interest of any Loan Party or any of its Subsidiaries in any IP Rights of such Loan Party or Subsidiary, (ii) contesting the use of any IP Rights owned by such Loan Party or Subsidiary, (iii) contesting the validity or enforceability of such IP Rights, or (iv) alleging infringement, misappropriation, dilution, or other violation by a Loan Party or any of its Subsidiaries of any IP Rights owned by any other Person.</w:t>
      </w:r>
    </w:p>
    <w:p>
      <w:pPr>
        <w:spacing w:after="0" w:line="158" w:lineRule="exact"/>
        <w:rPr>
          <w:rFonts w:ascii="Arial" w:cs="Arial" w:eastAsia="Arial" w:hAnsi="Arial"/>
          <w:sz w:val="22"/>
          <w:szCs w:val="22"/>
          <w:color w:val="0000FF"/>
        </w:rPr>
      </w:pPr>
    </w:p>
    <w:p>
      <w:pPr>
        <w:jc w:val="both"/>
        <w:ind w:left="-656" w:firstLine="1952"/>
        <w:spacing w:after="0" w:line="249" w:lineRule="auto"/>
        <w:tabs>
          <w:tab w:leader="none" w:pos="1892" w:val="left"/>
        </w:tabs>
        <w:numPr>
          <w:ilvl w:val="1"/>
          <w:numId w:val="138"/>
        </w:numPr>
        <w:rPr>
          <w:rFonts w:ascii="Arial" w:cs="Arial" w:eastAsia="Arial" w:hAnsi="Arial"/>
          <w:sz w:val="19"/>
          <w:szCs w:val="19"/>
          <w:color w:val="0000FF"/>
        </w:rPr>
      </w:pPr>
      <w:r>
        <w:rPr>
          <w:rFonts w:ascii="Arial" w:cs="Arial" w:eastAsia="Arial" w:hAnsi="Arial"/>
          <w:sz w:val="19"/>
          <w:szCs w:val="19"/>
          <w:u w:val="single" w:color="auto"/>
          <w:color w:val="auto"/>
        </w:rPr>
        <w:t>Schedule 7.14(d)</w:t>
      </w:r>
      <w:r>
        <w:rPr>
          <w:rFonts w:ascii="Arial" w:cs="Arial" w:eastAsia="Arial" w:hAnsi="Arial"/>
          <w:sz w:val="19"/>
          <w:szCs w:val="19"/>
          <w:color w:val="auto"/>
        </w:rPr>
        <w:t xml:space="preserve"> sets forth a complete and accurate list of (A) all IP Rights registered or pending registration with the United States Patent and Trademark Office, the United States Copyright Office or any foreign equivalent of either thereof and owned by each Loan Party and each of its Subsidiaries as of the Closing Date and (B) all material license agreements or similar arrangements pursuant to which any Loan Party or any of its Subsidiaries (1) receives rights to IP Rights of another Person (excluding any “shrink wrap” licenses and third-party software licenses generally available to the public at a cost of less than $50,000) or (2) grants rights to IP Rights to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-2229485</wp:posOffset>
            </wp:positionV>
            <wp:extent cx="3232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23215" cy="8255"/>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-1680845</wp:posOffset>
            </wp:positionV>
            <wp:extent cx="3276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27660"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-720725</wp:posOffset>
            </wp:positionV>
            <wp:extent cx="3371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37185" cy="825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-772160</wp:posOffset>
            </wp:positionV>
            <wp:extent cx="463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46355" cy="8255"/>
                    </a:xfrm>
                    <a:prstGeom prst="rect">
                      <a:avLst/>
                    </a:prstGeom>
                    <a:noFill/>
                  </pic:spPr>
                </pic:pic>
              </a:graphicData>
            </a:graphic>
          </wp:anchor>
        </w:drawing>
      </w:r>
    </w:p>
    <w:p>
      <w:pPr>
        <w:sectPr>
          <w:pgSz w:w="11900" w:h="16838" w:orient="portrait"/>
          <w:cols w:equalWidth="0" w:num="1">
            <w:col w:w="10584"/>
          </w:cols>
          <w:pgMar w:left="976" w:top="1401" w:right="339" w:bottom="1440" w:gutter="0" w:footer="0" w:header="0"/>
        </w:sectPr>
      </w:pPr>
    </w:p>
    <w:bookmarkStart w:id="138" w:name="page139"/>
    <w:bookmarkEnd w:id="138"/>
    <w:p>
      <w:pPr>
        <w:jc w:val="both"/>
        <w:ind w:firstLine="1952"/>
        <w:spacing w:after="0" w:line="211" w:lineRule="auto"/>
        <w:tabs>
          <w:tab w:leader="none" w:pos="2498" w:val="left"/>
        </w:tabs>
        <w:numPr>
          <w:ilvl w:val="0"/>
          <w:numId w:val="139"/>
        </w:numPr>
        <w:rPr>
          <w:rFonts w:ascii="Arial" w:cs="Arial" w:eastAsia="Arial" w:hAnsi="Arial"/>
          <w:sz w:val="22"/>
          <w:szCs w:val="22"/>
          <w:color w:val="0000FF"/>
        </w:rPr>
      </w:pPr>
      <w:r>
        <w:rPr>
          <w:rFonts w:ascii="Arial" w:cs="Arial" w:eastAsia="Arial" w:hAnsi="Arial"/>
          <w:sz w:val="22"/>
          <w:szCs w:val="22"/>
          <w:color w:val="auto"/>
        </w:rPr>
        <w:t xml:space="preserve">As of the Closing Date, none of the material IP Rights (it being understood and agreed that the Key IP is material) owned by any Loan Party or any of its Subsidiaries is subject to any material licensing agreement or similar arrangement except as set forth on </w:t>
      </w:r>
      <w:r>
        <w:rPr>
          <w:rFonts w:ascii="Arial" w:cs="Arial" w:eastAsia="Arial" w:hAnsi="Arial"/>
          <w:sz w:val="22"/>
          <w:szCs w:val="22"/>
          <w:u w:val="single" w:color="auto"/>
          <w:color w:val="auto"/>
        </w:rPr>
        <w:t>Schedule 7.14(d)</w:t>
      </w:r>
      <w:r>
        <w:rPr>
          <w:rFonts w:ascii="Arial" w:cs="Arial" w:eastAsia="Arial" w:hAnsi="Arial"/>
          <w:sz w:val="22"/>
          <w:szCs w:val="22"/>
          <w:color w:val="auto"/>
        </w:rPr>
        <w:t>. Except as could not, individually or in the aggregate, reasonably be expected to have a Material Adverse Effect, for the past two (2) years, each Loan Party and, to such Loan Party’s knowledge, any Person acting for or on such Loan Party’s behalf have complied with (i) all applicable Laws relating to information that identifies, could be used to identify or is otherwise associated with an individual person or device (“</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To the knowledge of each Loan Party, there have been no material breaches, security incidents, misuse of or unauthorized access to or disclosure of any Personal Information in the possession or control of such Loan Party or collected, used or processed by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-1128395</wp:posOffset>
            </wp:positionV>
            <wp:extent cx="3194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19405" cy="8255"/>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-1179830</wp:posOffset>
            </wp:positionV>
            <wp:extent cx="323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13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7.15</w:t>
      </w:r>
      <w:r>
        <w:rPr>
          <w:sz w:val="20"/>
          <w:szCs w:val="20"/>
          <w:color w:val="auto"/>
        </w:rPr>
        <w:tab/>
      </w:r>
      <w:r>
        <w:rPr>
          <w:rFonts w:ascii="Arial" w:cs="Arial" w:eastAsia="Arial" w:hAnsi="Arial"/>
          <w:sz w:val="19"/>
          <w:szCs w:val="19"/>
          <w:u w:val="single" w:color="auto"/>
          <w:color w:val="auto"/>
        </w:rPr>
        <w:t>Ownership of Properties; Title; Real Property; Leases</w:t>
      </w:r>
    </w:p>
    <w:p>
      <w:pPr>
        <w:spacing w:after="0" w:line="179" w:lineRule="exact"/>
        <w:rPr>
          <w:sz w:val="20"/>
          <w:szCs w:val="20"/>
          <w:color w:val="auto"/>
        </w:rPr>
      </w:pPr>
    </w:p>
    <w:p>
      <w:pPr>
        <w:jc w:val="both"/>
        <w:ind w:firstLine="656"/>
        <w:spacing w:after="0" w:line="246" w:lineRule="auto"/>
        <w:tabs>
          <w:tab w:leader="none" w:pos="78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No Loan Party owns any interest in Real Property on the Closing Date.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lists all of the material Real Property leased by any of the Loan Parties or their respective Subsidiaries as of the Closing Date and each other location leased from or otherwise owned by a third party at which a Loan Party stores any material Collateral as of the Closing Date, indicating the identity of the lessor and the location of the material Real Property or material Collateral. Each Loan Party (x) in the case of material owned personal property, owns good and valid title to such personal property, and (y) in the case of material leased Real Property or personal property, has valid and enforceable (except as may be limited by bankruptcy, insolvency, moratorium, fraudulent conveyance or other laws applicable to creditors’ rights generally and by generally applicable equitable principles) leasehold interests in such leased property, in each case, free and clear of all Liens except for Permitted Liens.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Environmental Matters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u w:val="single" w:color="auto"/>
          <w:color w:val="0000FF"/>
        </w:rPr>
        <w:t>Section 7.16</w:t>
      </w:r>
      <w:r>
        <w:rPr>
          <w:sz w:val="20"/>
          <w:szCs w:val="20"/>
          <w:color w:val="auto"/>
        </w:rPr>
        <w:tab/>
      </w:r>
      <w:r>
        <w:rPr>
          <w:rFonts w:ascii="Arial" w:cs="Arial" w:eastAsia="Arial" w:hAnsi="Arial"/>
          <w:sz w:val="19"/>
          <w:szCs w:val="19"/>
          <w:u w:val="single" w:color="auto"/>
          <w:color w:val="0000FF"/>
        </w:rPr>
        <w:t>Environmental Matters</w:t>
      </w:r>
      <w:r>
        <w:rPr>
          <w:rFonts w:ascii="Arial" w:cs="Arial" w:eastAsia="Arial" w:hAnsi="Arial"/>
          <w:sz w:val="19"/>
          <w:szCs w:val="19"/>
          <w:color w:val="000000"/>
        </w:rPr>
        <w:t>. Except as would not be expected, individually or in the aggregate, to have a</w:t>
      </w:r>
    </w:p>
    <w:p>
      <w:pPr>
        <w:spacing w:after="0"/>
        <w:rPr>
          <w:sz w:val="20"/>
          <w:szCs w:val="20"/>
          <w:color w:val="auto"/>
        </w:rPr>
      </w:pPr>
      <w:r>
        <w:rPr>
          <w:rFonts w:ascii="Arial" w:cs="Arial" w:eastAsia="Arial" w:hAnsi="Arial"/>
          <w:sz w:val="22"/>
          <w:szCs w:val="22"/>
          <w:color w:val="auto"/>
        </w:rPr>
        <w:t>Material Adverse Effect:</w:t>
      </w:r>
    </w:p>
    <w:p>
      <w:pPr>
        <w:spacing w:after="0" w:line="161" w:lineRule="exact"/>
        <w:rPr>
          <w:sz w:val="20"/>
          <w:szCs w:val="20"/>
          <w:color w:val="auto"/>
        </w:rPr>
      </w:pPr>
    </w:p>
    <w:p>
      <w:pPr>
        <w:jc w:val="both"/>
        <w:ind w:firstLine="1952"/>
        <w:spacing w:after="0" w:line="252" w:lineRule="auto"/>
        <w:tabs>
          <w:tab w:leader="none" w:pos="256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Loan Parties, each of their respective Subsidiaries, and each of their respective businesses, operations and Real Property (i) are in compliance with all Environmental Laws in all jurisdictions in which the Loan Parties or such Subsidiary, as the case may be, are currently doing business, and (ii) have obtained and are in compliance with all permits required under Environmental Laws. None of the Loan Parties or any of their respective Subsidiaries has become subject to any pending or, to the knowledge of such Loan Party, threatened in writing, Environmental Claim;</w:t>
      </w:r>
    </w:p>
    <w:p>
      <w:pPr>
        <w:spacing w:after="0" w:line="148" w:lineRule="exact"/>
        <w:rPr>
          <w:rFonts w:ascii="Arial" w:cs="Arial" w:eastAsia="Arial" w:hAnsi="Arial"/>
          <w:sz w:val="19"/>
          <w:szCs w:val="19"/>
          <w:color w:val="auto"/>
        </w:rPr>
      </w:pPr>
    </w:p>
    <w:p>
      <w:pPr>
        <w:jc w:val="both"/>
        <w:ind w:firstLine="1952"/>
        <w:spacing w:after="0" w:line="216" w:lineRule="auto"/>
        <w:tabs>
          <w:tab w:leader="none" w:pos="250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none of the Loan Parties or any of their respective Subsidiaries or, to the knowledge of any Loan Party, any other Person, has used, managed, handled, generated, treated, stored, transported, Released or disposed of Hazardous Materials in, on, at, under, to or from any currently or formerly owned or leased Real Property or facility relating to its business in a manner that requires or is reasonably expected to require corrective, investigative, monitoring, remedial or cleanup actions under any Environmental Law;</w:t>
      </w:r>
    </w:p>
    <w:p>
      <w:pPr>
        <w:spacing w:after="0" w:line="157" w:lineRule="exact"/>
        <w:rPr>
          <w:rFonts w:ascii="Arial" w:cs="Arial" w:eastAsia="Arial" w:hAnsi="Arial"/>
          <w:sz w:val="22"/>
          <w:szCs w:val="22"/>
          <w:color w:val="auto"/>
        </w:rPr>
      </w:pPr>
    </w:p>
    <w:p>
      <w:pPr>
        <w:jc w:val="both"/>
        <w:ind w:firstLine="1952"/>
        <w:spacing w:after="0" w:line="268" w:lineRule="auto"/>
        <w:tabs>
          <w:tab w:leader="none" w:pos="241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the knowledge of the Loan Parties, there are no actions, activities, circumstances, facts, conditions, events or incidents, including the presence of any Hazardous Materials, which would be reasonably be expected to form the basis of any Environmental Claim against any Loan Party or any of their respective Subsidiaries; and</w:t>
      </w:r>
    </w:p>
    <w:p>
      <w:pPr>
        <w:spacing w:after="0" w:line="132" w:lineRule="exact"/>
        <w:rPr>
          <w:rFonts w:ascii="Arial" w:cs="Arial" w:eastAsia="Arial" w:hAnsi="Arial"/>
          <w:sz w:val="19"/>
          <w:szCs w:val="19"/>
          <w:color w:val="auto"/>
        </w:rPr>
      </w:pPr>
    </w:p>
    <w:p>
      <w:pPr>
        <w:jc w:val="both"/>
        <w:ind w:firstLine="1952"/>
        <w:spacing w:after="0" w:line="223" w:lineRule="auto"/>
        <w:tabs>
          <w:tab w:leader="none" w:pos="252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Loan Parties have delivered or otherwise made available for inspection to the Administrative Agent copies and results of all reports, data, investigations, audits, assessments (including Phase I environmental site assessments and Phase II</w:t>
      </w:r>
    </w:p>
    <w:p>
      <w:pPr>
        <w:sectPr>
          <w:pgSz w:w="11900" w:h="16838" w:orient="portrait"/>
          <w:cols w:equalWidth="0" w:num="1">
            <w:col w:w="11240"/>
          </w:cols>
          <w:pgMar w:left="320" w:top="1401" w:right="339" w:bottom="1440" w:gutter="0" w:footer="0" w:header="0"/>
        </w:sectPr>
      </w:pPr>
    </w:p>
    <w:bookmarkStart w:id="139" w:name="page140"/>
    <w:bookmarkEnd w:id="139"/>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environmental site assessments), studies in the custody or possession of the Loan Parties or any of their Subsidiaries pertaining to: (i) any Environmental Claims involving any Loan Party or any of their Subsidiaries; (ii) any Hazardous Materials in, on, beneath or adjacent to any property currently or formerly owned, operated or leased by any Loan Party or any of their Subsidiaries; or (iii) any Loan Party’s or any of their Subsidiaries’ compliance with applicable Environmental Laws.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Solvency</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7.17 Solvency</w:t>
      </w:r>
      <w:r>
        <w:rPr>
          <w:rFonts w:ascii="Arial" w:cs="Arial" w:eastAsia="Arial" w:hAnsi="Arial"/>
          <w:sz w:val="22"/>
          <w:szCs w:val="22"/>
          <w:color w:val="000000"/>
        </w:rPr>
        <w:t>. On the Closing Date after giving effect to the Transactions and the other transactions related</w:t>
      </w:r>
      <w:r>
        <w:rPr>
          <w:rFonts w:ascii="Arial" w:cs="Arial" w:eastAsia="Arial" w:hAnsi="Arial"/>
          <w:sz w:val="22"/>
          <w:szCs w:val="22"/>
          <w:color w:val="0000FF"/>
        </w:rPr>
        <w:t xml:space="preserve"> </w:t>
      </w:r>
      <w:r>
        <w:rPr>
          <w:rFonts w:ascii="Arial" w:cs="Arial" w:eastAsia="Arial" w:hAnsi="Arial"/>
          <w:sz w:val="22"/>
          <w:szCs w:val="22"/>
          <w:color w:val="000000"/>
        </w:rPr>
        <w:t>thereto, the Loan Parties on a consolidated basis are, Solvent.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7.19</w:t>
      </w:r>
      <w:r>
        <w:rPr>
          <w:sz w:val="20"/>
          <w:szCs w:val="20"/>
          <w:color w:val="auto"/>
        </w:rPr>
        <w:tab/>
      </w:r>
      <w:r>
        <w:rPr>
          <w:rFonts w:ascii="Arial" w:cs="Arial" w:eastAsia="Arial" w:hAnsi="Arial"/>
          <w:sz w:val="19"/>
          <w:szCs w:val="19"/>
          <w:u w:val="single" w:color="auto"/>
          <w:color w:val="auto"/>
        </w:rPr>
        <w:t>Security Documents; Perfection</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1" w:lineRule="auto"/>
        <w:tabs>
          <w:tab w:leader="none" w:pos="25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Subject to (i) applicable bankruptcy, insolvency, reorganization, moratorium, capital impairment, recognition of judgments, recognition of choice of law, enforcement of judgments or other similar laws or other laws affecting creditors’ rights generally and subject to general principles of equity, regardless of whether considered in a proceeding in equity or at law, (ii) the Perfection Requirements and (iii) the provisions of this Loan Agreement and the other relevant Loan Documents, the Guaranty and Security Agreement is effective to create in favor of the Collateral Agent, for the benefit of the Secured Parties, a legal, valid and enforceable first-priority security interest (subject only to Permitted Liens which, pursuant to the terms of this Loan Agreement, are permitted to have priority over Collateral Agent’s Liens thereon) in the Collateral described therein and proceeds thereof. The recordation of (x) the grant of security interest in Patents and (y) the grant of security interest in Trademarks in the respective form attached to the Security Agreement, in each case in the United States Patent and Trademark Office, together with filings on Form UCC-1, made pursuant to the applicable intellectual property security agreements in the form attached to the Guaranty and Security Agreement as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thereto, will create, as may be perfected by such filings and recordation, a first-priority perfected security interest in the Trademarks and Patents covered by such applicable intellectual property security agreement, and the recordation of the grant of security interest in Copyrights, made pursuant to the applicable intellectual property security agreements in the form attached to the Guaranty and Security Agreement as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thereto, with the United States Copyright Office, together with filings on Form UCC-1, will create, as may be perfected by such filings and recordation, a first-priority perfected security interest in the Copyrights covered by such intellectual property security agreement.</w:t>
      </w:r>
    </w:p>
    <w:p>
      <w:pPr>
        <w:spacing w:after="0" w:line="161" w:lineRule="exact"/>
        <w:rPr>
          <w:rFonts w:ascii="Arial" w:cs="Arial" w:eastAsia="Arial" w:hAnsi="Arial"/>
          <w:sz w:val="19"/>
          <w:szCs w:val="19"/>
          <w:color w:val="auto"/>
        </w:rPr>
      </w:pPr>
    </w:p>
    <w:p>
      <w:pPr>
        <w:jc w:val="both"/>
        <w:ind w:firstLine="1952"/>
        <w:spacing w:after="0" w:line="221" w:lineRule="auto"/>
        <w:tabs>
          <w:tab w:leader="none" w:pos="252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In the case of the Pledged Stock described in the Guaranty and Security Agreement, when stock certificates representing such Pledged Stock are delivered to the Collateral Agent; in the case of deposit accounts and securities accounts, when Account Control Agreements are executed and delivered by the Loan Parties owning such accounts, the Collateral Agent and the applicable depository bank or securities intermediary; and in the case of the other Collateral described in the Guaranty and Security Agreement, when financing statements and other filings specified on </w:t>
      </w:r>
      <w:r>
        <w:rPr>
          <w:rFonts w:ascii="Arial" w:cs="Arial" w:eastAsia="Arial" w:hAnsi="Arial"/>
          <w:sz w:val="21"/>
          <w:szCs w:val="21"/>
          <w:u w:val="single" w:color="auto"/>
          <w:color w:val="auto"/>
        </w:rPr>
        <w:t>Schedule 7.19</w:t>
      </w:r>
      <w:r>
        <w:rPr>
          <w:rFonts w:ascii="Arial" w:cs="Arial" w:eastAsia="Arial" w:hAnsi="Arial"/>
          <w:sz w:val="21"/>
          <w:szCs w:val="21"/>
          <w:color w:val="auto"/>
        </w:rPr>
        <w:t xml:space="preserve"> in appropriate form are filed in the offices specified on </w:t>
      </w:r>
      <w:r>
        <w:rPr>
          <w:rFonts w:ascii="Arial" w:cs="Arial" w:eastAsia="Arial" w:hAnsi="Arial"/>
          <w:sz w:val="21"/>
          <w:szCs w:val="21"/>
          <w:u w:val="single" w:color="auto"/>
          <w:color w:val="auto"/>
        </w:rPr>
        <w:t>Schedule 7.19</w:t>
      </w:r>
      <w:r>
        <w:rPr>
          <w:rFonts w:ascii="Arial" w:cs="Arial" w:eastAsia="Arial" w:hAnsi="Arial"/>
          <w:sz w:val="21"/>
          <w:szCs w:val="21"/>
          <w:color w:val="auto"/>
        </w:rPr>
        <w:t>, the Lien granted under the Guaranty and Security Agreement shall constitute a fully perfected (to the extent perfection is required under the Loan Documents) Lien on, and first-priority security interest (subject only to Permitted Liens which, pursuant to the terms of this Loan Agreement, are permitted to have priority over Collateral Agent’s Liens thereon) in, all</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right, title and interest of the Loan Parties in such Collateral and the proceeds thereof (to the extent such proceeds can be perfected by a filing), as security for the Obligations.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7.20</w:t>
      </w:r>
      <w:r>
        <w:rPr>
          <w:sz w:val="20"/>
          <w:szCs w:val="20"/>
          <w:color w:val="auto"/>
        </w:rPr>
        <w:tab/>
      </w:r>
      <w:r>
        <w:rPr>
          <w:rFonts w:ascii="Arial" w:cs="Arial" w:eastAsia="Arial" w:hAnsi="Arial"/>
          <w:sz w:val="19"/>
          <w:szCs w:val="19"/>
          <w:u w:val="single" w:color="auto"/>
          <w:color w:val="auto"/>
        </w:rPr>
        <w:t>Compliance with Laws and Permits; Authorizations</w:t>
      </w:r>
    </w:p>
    <w:p>
      <w:pPr>
        <w:spacing w:after="0" w:line="179" w:lineRule="exact"/>
        <w:rPr>
          <w:sz w:val="20"/>
          <w:szCs w:val="20"/>
          <w:color w:val="auto"/>
        </w:rPr>
      </w:pPr>
    </w:p>
    <w:p>
      <w:pPr>
        <w:jc w:val="both"/>
        <w:ind w:firstLine="656"/>
        <w:spacing w:after="0" w:line="224" w:lineRule="auto"/>
        <w:tabs>
          <w:tab w:leader="none" w:pos="762"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7.08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7.35</w:t>
      </w:r>
      <w:r>
        <w:rPr>
          <w:rFonts w:ascii="Arial" w:cs="Arial" w:eastAsia="Arial" w:hAnsi="Arial"/>
          <w:sz w:val="21"/>
          <w:szCs w:val="21"/>
          <w:color w:val="auto"/>
        </w:rPr>
        <w:t>, each Loan Party and each of its Subsidiaries (a) is in compliance with all Applicable Laws and Permits and (b) has all requisite governmental licenses, Permits, authorizations, consents and approvals to operate its business as currently conducted, except in the case of clauses (a) and (b), such instances in which (x) such requirement of Applicable Laws, Permits, government licenses, authorizations or approvals are being contested in good faith by appropriate proceedings diligently conducted or (y) the failure to have or comply therewith, either individually or in the aggregate, could not reasonably be expected to have a Material Adverse Effect.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7.22</w:t>
      </w:r>
      <w:r>
        <w:rPr>
          <w:sz w:val="20"/>
          <w:szCs w:val="20"/>
          <w:color w:val="auto"/>
        </w:rPr>
        <w:tab/>
      </w:r>
      <w:r>
        <w:rPr>
          <w:rFonts w:ascii="Arial" w:cs="Arial" w:eastAsia="Arial" w:hAnsi="Arial"/>
          <w:sz w:val="19"/>
          <w:szCs w:val="19"/>
          <w:u w:val="single" w:color="auto"/>
          <w:color w:val="auto"/>
        </w:rPr>
        <w:t>Contractual or Other Restrictions</w:t>
      </w:r>
    </w:p>
    <w:p>
      <w:pPr>
        <w:spacing w:after="0" w:line="179" w:lineRule="exact"/>
        <w:rPr>
          <w:sz w:val="20"/>
          <w:szCs w:val="20"/>
          <w:color w:val="auto"/>
        </w:rPr>
      </w:pPr>
    </w:p>
    <w:p>
      <w:pPr>
        <w:jc w:val="both"/>
        <w:ind w:firstLine="656"/>
        <w:spacing w:after="0" w:line="218" w:lineRule="auto"/>
        <w:tabs>
          <w:tab w:leader="none" w:pos="76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Other than the Loan Documents, no Loan Party or any of its Subsidiaries is a party to any agreement or arrangement or subject to any Applicable Law that (a) limits its ability to pay dividends to, or otherwise make Investments in or other payments to, any Loan Party, (b) limits its ability to grant Liens in favor of the Collateral Agent or (c) otherwise limits its ability to perform the terms of the Loan Documents.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No Brokers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7.23 No Brokers</w:t>
      </w:r>
      <w:r>
        <w:rPr>
          <w:rFonts w:ascii="Arial" w:cs="Arial" w:eastAsia="Arial" w:hAnsi="Arial"/>
          <w:sz w:val="22"/>
          <w:szCs w:val="22"/>
          <w:color w:val="000000"/>
        </w:rPr>
        <w:t>. Except as set forth on</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Schedule 7.23</w:t>
      </w:r>
      <w:r>
        <w:rPr>
          <w:rFonts w:ascii="Arial" w:cs="Arial" w:eastAsia="Arial" w:hAnsi="Arial"/>
          <w:sz w:val="22"/>
          <w:szCs w:val="22"/>
          <w:color w:val="000000"/>
        </w:rPr>
        <w:t>, there is no broker’s or finder’s fee or commission will</w:t>
      </w:r>
      <w:r>
        <w:rPr>
          <w:rFonts w:ascii="Arial" w:cs="Arial" w:eastAsia="Arial" w:hAnsi="Arial"/>
          <w:sz w:val="22"/>
          <w:szCs w:val="22"/>
          <w:color w:val="0000FF"/>
        </w:rPr>
        <w:t xml:space="preserve"> </w:t>
      </w:r>
      <w:r>
        <w:rPr>
          <w:rFonts w:ascii="Arial" w:cs="Arial" w:eastAsia="Arial" w:hAnsi="Arial"/>
          <w:sz w:val="22"/>
          <w:szCs w:val="22"/>
          <w:color w:val="000000"/>
        </w:rPr>
        <w:t>be payable with respect hereto or any of the transactions contemplated hereby.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Insurance</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u w:val="single" w:color="auto"/>
          <w:color w:val="0000FF"/>
        </w:rPr>
        <w:t>Section 7.24 Insurance</w:t>
      </w:r>
      <w:r>
        <w:rPr>
          <w:rFonts w:ascii="Arial" w:cs="Arial" w:eastAsia="Arial" w:hAnsi="Arial"/>
          <w:sz w:val="19"/>
          <w:szCs w:val="19"/>
          <w:color w:val="000000"/>
        </w:rPr>
        <w:t>. The properties of each Loan Party are insured with reputable insurance companies that the Loan</w:t>
      </w:r>
      <w:r>
        <w:rPr>
          <w:rFonts w:ascii="Arial" w:cs="Arial" w:eastAsia="Arial" w:hAnsi="Arial"/>
          <w:sz w:val="19"/>
          <w:szCs w:val="19"/>
          <w:color w:val="0000FF"/>
        </w:rPr>
        <w:t xml:space="preserve"> </w:t>
      </w:r>
      <w:r>
        <w:rPr>
          <w:rFonts w:ascii="Arial" w:cs="Arial" w:eastAsia="Arial" w:hAnsi="Arial"/>
          <w:sz w:val="19"/>
          <w:szCs w:val="19"/>
          <w:color w:val="000000"/>
        </w:rPr>
        <w:t xml:space="preserve">Parties reasonably believe to be financially sound and that are not Affiliates of any Loan Party against loss and damage in such amounts, with such deductibles and covering such risks, as are customarily carried by Persons of comparable size and of established reputation engaged in the same or similar businesses and owning similar properties in the general locations where such Loan Party operates, in each case as described on </w:t>
      </w:r>
      <w:r>
        <w:rPr>
          <w:rFonts w:ascii="Arial" w:cs="Arial" w:eastAsia="Arial" w:hAnsi="Arial"/>
          <w:sz w:val="19"/>
          <w:szCs w:val="19"/>
          <w:u w:val="single" w:color="auto"/>
          <w:color w:val="000000"/>
        </w:rPr>
        <w:t>Schedule 7.24</w:t>
      </w:r>
      <w:r>
        <w:rPr>
          <w:rFonts w:ascii="Arial" w:cs="Arial" w:eastAsia="Arial" w:hAnsi="Arial"/>
          <w:sz w:val="19"/>
          <w:szCs w:val="19"/>
          <w:color w:val="000000"/>
        </w:rPr>
        <w:t>. As of the Closing Date, all premiums with respect thereto that are due and payable have been duly paid and no Loan Party has received or is aware of any notice of any material violation or cancellation thereof and each Loan Party has complied in all material respects with the requirements of each such policy.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7.25</w:t>
      </w:r>
      <w:r>
        <w:rPr>
          <w:sz w:val="20"/>
          <w:szCs w:val="20"/>
          <w:color w:val="auto"/>
        </w:rPr>
        <w:tab/>
      </w:r>
      <w:r>
        <w:rPr>
          <w:rFonts w:ascii="Arial" w:cs="Arial" w:eastAsia="Arial" w:hAnsi="Arial"/>
          <w:sz w:val="19"/>
          <w:szCs w:val="19"/>
          <w:u w:val="single" w:color="auto"/>
          <w:color w:val="auto"/>
        </w:rPr>
        <w:t>Evidence of Other Indebtedness</w:t>
      </w:r>
    </w:p>
    <w:p>
      <w:pPr>
        <w:spacing w:after="0" w:line="179" w:lineRule="exact"/>
        <w:rPr>
          <w:sz w:val="20"/>
          <w:szCs w:val="20"/>
          <w:color w:val="auto"/>
        </w:rPr>
      </w:pPr>
    </w:p>
    <w:p>
      <w:pPr>
        <w:jc w:val="both"/>
        <w:ind w:firstLine="656"/>
        <w:spacing w:after="0" w:line="216" w:lineRule="auto"/>
        <w:tabs>
          <w:tab w:leader="none" w:pos="793"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Schedule 7.25</w:t>
      </w:r>
      <w:r>
        <w:rPr>
          <w:rFonts w:ascii="Arial" w:cs="Arial" w:eastAsia="Arial" w:hAnsi="Arial"/>
          <w:sz w:val="22"/>
          <w:szCs w:val="22"/>
          <w:color w:val="auto"/>
        </w:rPr>
        <w:t xml:space="preserve"> is a complete and correct list of each credit agreement, loan agreement, promissory note, indenture, purchase agreement, guaranty, letter of credit or other arrangement providing for or otherwise relating to any Indebtedness or any extension of credit (or commitment for any extension of credit) to any Loan Party outstanding on the Closing Date which will remain outstanding after the Closing Date (other than this Loan Agreement and the other Loan Documents). The aggregate principal or face amount outstanding or that may</w:t>
      </w:r>
    </w:p>
    <w:p>
      <w:pPr>
        <w:sectPr>
          <w:pgSz w:w="11900" w:h="16838" w:orient="portrait"/>
          <w:cols w:equalWidth="0" w:num="1">
            <w:col w:w="11240"/>
          </w:cols>
          <w:pgMar w:left="320" w:top="1440"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 xml:space="preserve">become outstanding under each such arrangement as of the Closing Date is correctly described in </w:t>
      </w:r>
      <w:r>
        <w:rPr>
          <w:rFonts w:ascii="Arial" w:cs="Arial" w:eastAsia="Arial" w:hAnsi="Arial"/>
          <w:sz w:val="22"/>
          <w:szCs w:val="22"/>
          <w:u w:val="single" w:color="auto"/>
          <w:color w:val="auto"/>
        </w:rPr>
        <w:t>Schedule 7.25</w:t>
      </w:r>
      <w:r>
        <w:rPr>
          <w:rFonts w:ascii="Arial" w:cs="Arial" w:eastAsia="Arial" w:hAnsi="Arial"/>
          <w:sz w:val="22"/>
          <w:szCs w:val="22"/>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7.26</w:t>
      </w:r>
      <w:r>
        <w:rPr>
          <w:sz w:val="20"/>
          <w:szCs w:val="20"/>
          <w:color w:val="auto"/>
        </w:rPr>
        <w:tab/>
      </w:r>
      <w:r>
        <w:rPr>
          <w:rFonts w:ascii="Arial" w:cs="Arial" w:eastAsia="Arial" w:hAnsi="Arial"/>
          <w:sz w:val="19"/>
          <w:szCs w:val="19"/>
          <w:u w:val="single" w:color="auto"/>
          <w:color w:val="auto"/>
        </w:rPr>
        <w:t>Deposit Accounts, Securities Accounts and Commodity Accounts</w:t>
      </w:r>
    </w:p>
    <w:p>
      <w:pPr>
        <w:spacing w:after="0" w:line="179" w:lineRule="exact"/>
        <w:rPr>
          <w:sz w:val="20"/>
          <w:szCs w:val="20"/>
          <w:color w:val="auto"/>
        </w:rPr>
      </w:pPr>
    </w:p>
    <w:p>
      <w:pPr>
        <w:jc w:val="both"/>
        <w:ind w:firstLine="656"/>
        <w:spacing w:after="0" w:line="214" w:lineRule="auto"/>
        <w:tabs>
          <w:tab w:leader="none" w:pos="762"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Schedule 7.26</w:t>
      </w:r>
      <w:r>
        <w:rPr>
          <w:rFonts w:ascii="Arial" w:cs="Arial" w:eastAsia="Arial" w:hAnsi="Arial"/>
          <w:sz w:val="22"/>
          <w:szCs w:val="22"/>
          <w:color w:val="auto"/>
        </w:rPr>
        <w:t xml:space="preserve"> lists all of the deposit accounts, securities accounts and commodity accounts of each Loan Party as of the Closing Date, including, with respect to each depository bank, securities intermediary or commodity intermediary at which such accounts are maintained by such Loan Party, (a) the name and location of such Person (b) the account numbers of the deposit accounts, securities accounts and commodity accounts maintained with such Person and (c) whether each such account constitutes an Excluded Deposit Account (and a description of the reasoning for such account qualifying as an Excluded Deposit Account).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Principal Business</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0000FF"/>
        </w:rPr>
        <w:t xml:space="preserve">Section 7.27 </w:t>
      </w:r>
      <w:r>
        <w:rPr>
          <w:rFonts w:ascii="Arial" w:cs="Arial" w:eastAsia="Arial" w:hAnsi="Arial"/>
          <w:sz w:val="22"/>
          <w:szCs w:val="22"/>
          <w:u w:val="single" w:color="auto"/>
          <w:color w:val="FF0000"/>
          <w:strike w:val="1"/>
        </w:rPr>
        <w:t>.</w:t>
      </w:r>
      <w:r>
        <w:rPr>
          <w:rFonts w:ascii="Arial" w:cs="Arial" w:eastAsia="Arial" w:hAnsi="Arial"/>
          <w:sz w:val="22"/>
          <w:szCs w:val="22"/>
          <w:u w:val="single" w:color="auto"/>
          <w:color w:val="0000FF"/>
        </w:rPr>
        <w:t>Principal Business.</w:t>
      </w:r>
      <w:r>
        <w:rPr>
          <w:rFonts w:ascii="Arial" w:cs="Arial" w:eastAsia="Arial" w:hAnsi="Arial"/>
          <w:sz w:val="22"/>
          <w:szCs w:val="22"/>
          <w:color w:val="0000FF"/>
        </w:rPr>
        <w:t xml:space="preserve"> </w:t>
      </w:r>
      <w:r>
        <w:rPr>
          <w:rFonts w:ascii="Arial" w:cs="Arial" w:eastAsia="Arial" w:hAnsi="Arial"/>
          <w:sz w:val="22"/>
          <w:szCs w:val="22"/>
          <w:color w:val="000000"/>
        </w:rPr>
        <w:t>As of the Closing Date and at all times thereafter each Loan Party is engaged solely in</w:t>
      </w:r>
      <w:r>
        <w:rPr>
          <w:rFonts w:ascii="Arial" w:cs="Arial" w:eastAsia="Arial" w:hAnsi="Arial"/>
          <w:sz w:val="22"/>
          <w:szCs w:val="22"/>
          <w:color w:val="0000FF"/>
        </w:rPr>
        <w:t xml:space="preserve"> </w:t>
      </w:r>
      <w:r>
        <w:rPr>
          <w:rFonts w:ascii="Arial" w:cs="Arial" w:eastAsia="Arial" w:hAnsi="Arial"/>
          <w:sz w:val="22"/>
          <w:szCs w:val="22"/>
          <w:color w:val="000000"/>
        </w:rPr>
        <w:t>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-167640</wp:posOffset>
            </wp:positionV>
            <wp:extent cx="8350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7.28</w:t>
      </w:r>
      <w:r>
        <w:rPr>
          <w:sz w:val="20"/>
          <w:szCs w:val="20"/>
          <w:color w:val="auto"/>
        </w:rPr>
        <w:tab/>
      </w:r>
      <w:r>
        <w:rPr>
          <w:rFonts w:ascii="Arial" w:cs="Arial" w:eastAsia="Arial" w:hAnsi="Arial"/>
          <w:sz w:val="19"/>
          <w:szCs w:val="19"/>
          <w:u w:val="single" w:color="auto"/>
          <w:color w:val="auto"/>
        </w:rPr>
        <w:t>Absence of any Undisclosed Liabilities</w:t>
      </w:r>
    </w:p>
    <w:p>
      <w:pPr>
        <w:spacing w:after="0" w:line="179" w:lineRule="exact"/>
        <w:rPr>
          <w:sz w:val="20"/>
          <w:szCs w:val="20"/>
          <w:color w:val="auto"/>
        </w:rPr>
      </w:pPr>
    </w:p>
    <w:p>
      <w:pPr>
        <w:jc w:val="both"/>
        <w:ind w:firstLine="656"/>
        <w:spacing w:after="0" w:line="216" w:lineRule="auto"/>
        <w:tabs>
          <w:tab w:leader="none" w:pos="7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Other than the Obligations and other liabilities permitted by the terms of this Loan Agreement, there are no material liabilities of any Loan Party of any kind whatsoever, whether accrued, contingent, absolute, determined, determinable or otherwise, and there is no existing condition, situation or set of circumstances which could reasonably be expected to result in any such liabilities, other than those liabilities disclosed in writing to the Administrative Agent prior to the Closing Date and identified as a disclosure under this </w:t>
      </w:r>
      <w:r>
        <w:rPr>
          <w:rFonts w:ascii="Arial" w:cs="Arial" w:eastAsia="Arial" w:hAnsi="Arial"/>
          <w:sz w:val="22"/>
          <w:szCs w:val="22"/>
          <w:u w:val="single" w:color="auto"/>
          <w:color w:val="auto"/>
        </w:rPr>
        <w:t>Section 7.28</w:t>
      </w:r>
      <w:r>
        <w:rPr>
          <w:rFonts w:ascii="Arial" w:cs="Arial" w:eastAsia="Arial" w:hAnsi="Arial"/>
          <w:sz w:val="22"/>
          <w:szCs w:val="22"/>
          <w:color w:val="auto"/>
        </w:rPr>
        <w: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7.29</w:t>
      </w:r>
      <w:r>
        <w:rPr>
          <w:sz w:val="20"/>
          <w:szCs w:val="20"/>
          <w:color w:val="auto"/>
        </w:rPr>
        <w:tab/>
      </w:r>
      <w:r>
        <w:rPr>
          <w:rFonts w:ascii="Arial" w:cs="Arial" w:eastAsia="Arial" w:hAnsi="Arial"/>
          <w:sz w:val="19"/>
          <w:szCs w:val="19"/>
          <w:u w:val="single" w:color="auto"/>
          <w:color w:val="auto"/>
        </w:rPr>
        <w:t>Anti-Terrorism Laws; the Patriot Act</w:t>
      </w:r>
    </w:p>
    <w:p>
      <w:pPr>
        <w:spacing w:after="0" w:line="179" w:lineRule="exact"/>
        <w:rPr>
          <w:sz w:val="20"/>
          <w:szCs w:val="20"/>
          <w:color w:val="auto"/>
        </w:rPr>
      </w:pPr>
    </w:p>
    <w:p>
      <w:pPr>
        <w:jc w:val="both"/>
        <w:ind w:firstLine="656"/>
        <w:spacing w:after="0" w:line="239" w:lineRule="auto"/>
        <w:tabs>
          <w:tab w:leader="none" w:pos="763"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To the knowledge of each Loan Party, each Loan Party is in compliance with, and no Loan Party is in violation of, any Applicable Law concerning or relating to terrorism or money laundering (“Anti-Terrorism Laws</w:t>
      </w:r>
      <w:r>
        <w:rPr>
          <w:rFonts w:ascii="Arial" w:cs="Arial" w:eastAsia="Arial" w:hAnsi="Arial"/>
          <w:sz w:val="19"/>
          <w:szCs w:val="19"/>
          <w:u w:val="single" w:color="auto"/>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including the Patriot Act, the Trading with the Enemy Act of the United States of America (50 U.S.C. App. §§1 </w:t>
      </w:r>
      <w:r>
        <w:rPr>
          <w:rFonts w:ascii="Arial" w:cs="Arial" w:eastAsia="Arial" w:hAnsi="Arial"/>
          <w:sz w:val="19"/>
          <w:szCs w:val="19"/>
          <w:i w:val="1"/>
          <w:iCs w:val="1"/>
          <w:color w:val="auto"/>
        </w:rPr>
        <w:t>et seq.</w:t>
      </w:r>
      <w:r>
        <w:rPr>
          <w:rFonts w:ascii="Arial" w:cs="Arial" w:eastAsia="Arial" w:hAnsi="Arial"/>
          <w:sz w:val="19"/>
          <w:szCs w:val="19"/>
          <w:color w:val="auto"/>
        </w:rPr>
        <w:t>), as amended (the “Trading with the Enemy Act</w:t>
      </w:r>
      <w:r>
        <w:rPr>
          <w:rFonts w:ascii="Arial" w:cs="Arial" w:eastAsia="Arial" w:hAnsi="Arial"/>
          <w:sz w:val="19"/>
          <w:szCs w:val="19"/>
          <w:u w:val="single" w:color="auto"/>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the foreign assets control regulations of the United States Treasury Department (31 CFR, Subtitle B, Chapter V, as amended), and Executive Order No. 13224 on Terrorism Financing, effective September 24, 2001 (the “Executive Order</w:t>
      </w:r>
      <w:r>
        <w:rPr>
          <w:rFonts w:ascii="Arial" w:cs="Arial" w:eastAsia="Arial" w:hAnsi="Arial"/>
          <w:sz w:val="19"/>
          <w:szCs w:val="19"/>
          <w:u w:val="single" w:color="auto"/>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No Loan Party or other agents acting or benefiting in any capacity in connection with the Loans is (i) a Person that is listed in the Annex to, or is otherwise subject to the provisions of, the Executive Order, (ii) a Person owned or controlled by, or acting for or on behalf of, any Person that is listed in the Annex to, or is otherwise subject to the provisions of, the Executive Order, (iii) a Person with whom any Lender is prohibited from dealing or otherwise engaging in any transaction by any Anti-Terrorism Law,</w:t>
      </w:r>
    </w:p>
    <w:p>
      <w:pPr>
        <w:spacing w:after="0" w:line="3" w:lineRule="exact"/>
        <w:rPr>
          <w:rFonts w:ascii="Arial" w:cs="Arial" w:eastAsia="Arial" w:hAnsi="Arial"/>
          <w:sz w:val="19"/>
          <w:szCs w:val="19"/>
          <w:color w:val="auto"/>
        </w:rPr>
      </w:pPr>
    </w:p>
    <w:p>
      <w:pPr>
        <w:jc w:val="both"/>
        <w:ind w:firstLine="8"/>
        <w:spacing w:after="0" w:line="218" w:lineRule="auto"/>
        <w:tabs>
          <w:tab w:leader="none" w:pos="38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 Person who commits, threatens or conspires to commit or supports “terrorism” as defined in the Executive Order, (v) an “enemy” or an “ally of the enemy” within the meaning of Section 2 of the Trading with the Enemy Act, or (vi) a Person that is named as a “specially designated national and blocked person” on the most current list published by the United States Treasury Department Office of Foreign Asset Control at its official website or any replacement website or other replacement official publication of such list. No Loan Party or other agents acting or benefiting in any capacity in connection with the Loans (i) conducts any business or engages in making or receiving any contribution of funds, goods or services to or for the benefit of any Person described in the preceding sentence, (ii) deals in, or otherwise engages in any transaction relating to, any property or interests in any property blocked pursuant to the Executive Order, or (iii) engages in or conspires to engage in any transaction that evades or avoids, or has the purpose of evading or avoiding, or attempts to violate, any of the prohibitions set forth in the Anti-Terrorism Laws.</w:t>
      </w:r>
    </w:p>
    <w:p>
      <w:pPr>
        <w:sectPr>
          <w:pgSz w:w="11900" w:h="16838" w:orient="portrait"/>
          <w:cols w:equalWidth="0" w:num="1">
            <w:col w:w="11240"/>
          </w:cols>
          <w:pgMar w:left="320" w:top="1401" w:right="339" w:bottom="1440" w:gutter="0" w:footer="0" w:header="0"/>
        </w:sectPr>
      </w:pPr>
    </w:p>
    <w:bookmarkStart w:id="142" w:name="page143"/>
    <w:bookmarkEnd w:id="142"/>
    <w:p>
      <w:pPr>
        <w:ind w:left="660"/>
        <w:spacing w:after="0"/>
        <w:tabs>
          <w:tab w:leader="none" w:pos="1940" w:val="left"/>
        </w:tabs>
        <w:rPr>
          <w:sz w:val="20"/>
          <w:szCs w:val="20"/>
          <w:color w:val="auto"/>
        </w:rPr>
      </w:pPr>
      <w:r>
        <w:rPr>
          <w:rFonts w:ascii="Arial" w:cs="Arial" w:eastAsia="Arial" w:hAnsi="Arial"/>
          <w:sz w:val="22"/>
          <w:szCs w:val="22"/>
          <w:color w:val="auto"/>
        </w:rPr>
        <w:t>Section 7.30</w:t>
      </w:r>
      <w:r>
        <w:rPr>
          <w:sz w:val="20"/>
          <w:szCs w:val="20"/>
          <w:color w:val="auto"/>
        </w:rPr>
        <w:tab/>
      </w:r>
      <w:r>
        <w:rPr>
          <w:rFonts w:ascii="Arial" w:cs="Arial" w:eastAsia="Arial" w:hAnsi="Arial"/>
          <w:sz w:val="19"/>
          <w:szCs w:val="19"/>
          <w:u w:val="single" w:color="auto"/>
          <w:color w:val="auto"/>
        </w:rPr>
        <w:t>Economic Sanctions/OFAC</w:t>
      </w:r>
    </w:p>
    <w:p>
      <w:pPr>
        <w:spacing w:after="0" w:line="179" w:lineRule="exact"/>
        <w:rPr>
          <w:sz w:val="20"/>
          <w:szCs w:val="20"/>
          <w:color w:val="auto"/>
        </w:rPr>
      </w:pPr>
    </w:p>
    <w:p>
      <w:pPr>
        <w:jc w:val="both"/>
        <w:ind w:firstLine="656"/>
        <w:spacing w:after="0" w:line="246" w:lineRule="auto"/>
        <w:tabs>
          <w:tab w:leader="none" w:pos="78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 Loan Party or any director, officer, or employee of any Loan Party, and to the knowledge of any Loan Party no Affiliate, agent, representative, or other Person acting for or on behalf of any Loan Party, is, or is owned 50% or more by one or more Persons that are, (i) the subject of any economic or financial sanctions or trade embargoes imposed, administered or enforced by any relevant Governmental Authority (“Sanctions”), including without limitation those administered by the U.S. Department of Treasury’s Office of Foreign Assets Control (“OFAC Sanctions”), the United Nations Security Council, the European Union, or Her Majesty’s Treasury of the United Kingdom, or (ii) located, organized or conducting business in a country, region or territory that is the subject of broad Sanctions (at the time of this Loan Agreement, Crimea, Cuba, Iran, North Korea and Syria, each, a “Sanctioned Country”) (any such Person referred to in clause (i) or (ii), a “Sanctioned Person”).</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7.31</w:t>
      </w:r>
      <w:r>
        <w:rPr>
          <w:sz w:val="20"/>
          <w:szCs w:val="20"/>
          <w:color w:val="auto"/>
        </w:rPr>
        <w:tab/>
      </w:r>
      <w:r>
        <w:rPr>
          <w:rFonts w:ascii="Arial" w:cs="Arial" w:eastAsia="Arial" w:hAnsi="Arial"/>
          <w:sz w:val="19"/>
          <w:szCs w:val="19"/>
          <w:u w:val="single" w:color="auto"/>
          <w:color w:val="auto"/>
        </w:rPr>
        <w:t>Foreign Corrupt Practices Act</w:t>
      </w:r>
    </w:p>
    <w:p>
      <w:pPr>
        <w:spacing w:after="0" w:line="179" w:lineRule="exact"/>
        <w:rPr>
          <w:sz w:val="20"/>
          <w:szCs w:val="20"/>
          <w:color w:val="auto"/>
        </w:rPr>
      </w:pPr>
    </w:p>
    <w:p>
      <w:pPr>
        <w:jc w:val="both"/>
        <w:ind w:firstLine="656"/>
        <w:spacing w:after="0" w:line="211" w:lineRule="auto"/>
        <w:tabs>
          <w:tab w:leader="none" w:pos="78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No Loan Party or any director, officer, or employee of any Loan Party, and to the knowledge of any Loan Party no Affiliate, agent, representative, or other Person acting for or on behalf of any Loan Party, has taken any action in violation of Applicable Law in furtherance of an offer, payment, promise to pay or authorization or approval of the payment or giving of money, property, gifts or anything else of value, directly or indirectly, to any “government official” (including any officer or employee of a government or a government-owned, government-controlled or other quasi-governmental entity or of a public international organization, or any Person acting in an official capacity for or on behalf of any of the foregoing, or any political party or party official or candidate for political office) to influence official action or secure an improper advantage, and each Loan Party has conducted its businesses in compliance with the Foreign Corrupt Practices Act (15 U.S.C. § 78dd-1 </w:t>
      </w:r>
      <w:r>
        <w:rPr>
          <w:rFonts w:ascii="Arial" w:cs="Arial" w:eastAsia="Arial" w:hAnsi="Arial"/>
          <w:sz w:val="22"/>
          <w:szCs w:val="22"/>
          <w:i w:val="1"/>
          <w:iCs w:val="1"/>
          <w:color w:val="auto"/>
        </w:rPr>
        <w:t>et seq.</w:t>
      </w:r>
      <w:r>
        <w:rPr>
          <w:rFonts w:ascii="Arial" w:cs="Arial" w:eastAsia="Arial" w:hAnsi="Arial"/>
          <w:sz w:val="22"/>
          <w:szCs w:val="22"/>
          <w:color w:val="auto"/>
        </w:rPr>
        <w:t>) and other applicable anti-corruption laws.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7.32</w:t>
      </w:r>
      <w:r>
        <w:rPr>
          <w:sz w:val="20"/>
          <w:szCs w:val="20"/>
          <w:color w:val="auto"/>
        </w:rPr>
        <w:tab/>
      </w:r>
      <w:r>
        <w:rPr>
          <w:rFonts w:ascii="Arial" w:cs="Arial" w:eastAsia="Arial" w:hAnsi="Arial"/>
          <w:sz w:val="19"/>
          <w:szCs w:val="19"/>
          <w:u w:val="single" w:color="auto"/>
          <w:color w:val="auto"/>
        </w:rPr>
        <w:t>Material Contracts; Customer Contracts; No Hedging Contracts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firstLine="1952"/>
        <w:spacing w:after="0" w:line="232" w:lineRule="auto"/>
        <w:tabs>
          <w:tab w:leader="none" w:pos="253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As of the Closing Date, </w:t>
      </w:r>
      <w:r>
        <w:rPr>
          <w:rFonts w:ascii="Arial" w:cs="Arial" w:eastAsia="Arial" w:hAnsi="Arial"/>
          <w:sz w:val="22"/>
          <w:szCs w:val="22"/>
          <w:u w:val="single" w:color="auto"/>
          <w:color w:val="auto"/>
        </w:rPr>
        <w:t>Schedule 7.32</w:t>
      </w:r>
      <w:r>
        <w:rPr>
          <w:rFonts w:ascii="Arial" w:cs="Arial" w:eastAsia="Arial" w:hAnsi="Arial"/>
          <w:sz w:val="22"/>
          <w:szCs w:val="22"/>
          <w:color w:val="auto"/>
        </w:rPr>
        <w:t xml:space="preserve"> sets forth all Material Contracts, and each such Material Contract is in full force and effect and no defaults or breaches currently exist thereunder.</w:t>
      </w:r>
    </w:p>
    <w:p>
      <w:pPr>
        <w:spacing w:after="0" w:line="158" w:lineRule="exact"/>
        <w:rPr>
          <w:rFonts w:ascii="Arial" w:cs="Arial" w:eastAsia="Arial" w:hAnsi="Arial"/>
          <w:sz w:val="22"/>
          <w:szCs w:val="22"/>
          <w:color w:val="auto"/>
        </w:rPr>
      </w:pPr>
    </w:p>
    <w:p>
      <w:pPr>
        <w:jc w:val="both"/>
        <w:ind w:firstLine="1952"/>
        <w:spacing w:after="0" w:line="268" w:lineRule="auto"/>
        <w:tabs>
          <w:tab w:leader="none" w:pos="241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As of the Closing Date, to the knowledge (in management’s reasonable judgment after due inquiry) of the Loan Parties, there is no pending or threatened termination of or adverse amendment or modification to any Material Contract that could reasonably be expected to result in a material reduction of the Consolidated Adjusted EBITDA of the Loan Parties.</w:t>
      </w:r>
    </w:p>
    <w:p>
      <w:pPr>
        <w:spacing w:after="0" w:line="132" w:lineRule="exact"/>
        <w:rPr>
          <w:rFonts w:ascii="Arial" w:cs="Arial" w:eastAsia="Arial" w:hAnsi="Arial"/>
          <w:sz w:val="19"/>
          <w:szCs w:val="19"/>
          <w:color w:val="auto"/>
        </w:rPr>
      </w:pPr>
    </w:p>
    <w:p>
      <w:pPr>
        <w:ind w:firstLine="1952"/>
        <w:spacing w:after="0" w:line="232" w:lineRule="auto"/>
        <w:tabs>
          <w:tab w:leader="none" w:pos="251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As of the Closing Date, there are no Hedging Agreements or similar agreements entered into by, between or applicable to any Loan Party or any of its Subsidiaries.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Affiliate Transactions</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u w:val="single" w:color="auto"/>
          <w:color w:val="0000FF"/>
        </w:rPr>
        <w:t>Section 7.33 Affiliate Transactions</w:t>
      </w:r>
      <w:r>
        <w:rPr>
          <w:rFonts w:ascii="Arial" w:cs="Arial" w:eastAsia="Arial" w:hAnsi="Arial"/>
          <w:sz w:val="21"/>
          <w:szCs w:val="21"/>
          <w:color w:val="000000"/>
        </w:rPr>
        <w:t>. Except as set forth on</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Schedule 7.33</w:t>
      </w:r>
      <w:r>
        <w:rPr>
          <w:rFonts w:ascii="Arial" w:cs="Arial" w:eastAsia="Arial" w:hAnsi="Arial"/>
          <w:sz w:val="21"/>
          <w:szCs w:val="21"/>
          <w:color w:val="000000"/>
        </w:rPr>
        <w:t>, no Loan Party is a party to any contracts or</w:t>
      </w:r>
      <w:r>
        <w:rPr>
          <w:rFonts w:ascii="Arial" w:cs="Arial" w:eastAsia="Arial" w:hAnsi="Arial"/>
          <w:sz w:val="21"/>
          <w:szCs w:val="21"/>
          <w:color w:val="0000FF"/>
        </w:rPr>
        <w:t xml:space="preserve"> </w:t>
      </w:r>
      <w:r>
        <w:rPr>
          <w:rFonts w:ascii="Arial" w:cs="Arial" w:eastAsia="Arial" w:hAnsi="Arial"/>
          <w:sz w:val="21"/>
          <w:szCs w:val="21"/>
          <w:color w:val="000000"/>
        </w:rPr>
        <w:t>agreements with any of its Affiliates on terms and conditions which are less favorable to such Loan Party than would be usual and customary in similar contracts or agreements between Persons not affiliated with each other.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7.34</w:t>
      </w:r>
      <w:r>
        <w:rPr>
          <w:sz w:val="20"/>
          <w:szCs w:val="20"/>
          <w:color w:val="auto"/>
        </w:rPr>
        <w:tab/>
      </w:r>
      <w:r>
        <w:rPr>
          <w:rFonts w:ascii="Arial" w:cs="Arial" w:eastAsia="Arial" w:hAnsi="Arial"/>
          <w:sz w:val="19"/>
          <w:szCs w:val="19"/>
          <w:u w:val="single" w:color="auto"/>
          <w:color w:val="auto"/>
        </w:rPr>
        <w:t>Collective Bargaining Agreements</w:t>
      </w:r>
    </w:p>
    <w:p>
      <w:pPr>
        <w:sectPr>
          <w:pgSz w:w="11900" w:h="16838" w:orient="portrait"/>
          <w:cols w:equalWidth="0" w:num="1">
            <w:col w:w="11240"/>
          </w:cols>
          <w:pgMar w:left="320" w:top="1401" w:right="339" w:bottom="1440" w:gutter="0" w:footer="0" w:header="0"/>
        </w:sectPr>
      </w:pPr>
    </w:p>
    <w:bookmarkStart w:id="143" w:name="page144"/>
    <w:bookmarkEnd w:id="143"/>
    <w:p>
      <w:pPr>
        <w:jc w:val="both"/>
        <w:ind w:left="-656" w:firstLine="656"/>
        <w:spacing w:after="0" w:line="268" w:lineRule="auto"/>
        <w:tabs>
          <w:tab w:leader="none" w:pos="103"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Schedule 7.34</w:t>
      </w:r>
      <w:r>
        <w:rPr>
          <w:rFonts w:ascii="Arial" w:cs="Arial" w:eastAsia="Arial" w:hAnsi="Arial"/>
          <w:sz w:val="19"/>
          <w:szCs w:val="19"/>
          <w:color w:val="auto"/>
        </w:rPr>
        <w:t xml:space="preserve"> is a complete and correct list and description (including dates of termination) as of the Closing Date of all collective bargaining or similar agreements between or applicable to any Loan Party or any of its Subsidiaries and any union, labor organization or other bargaining agent in respect of the employees of any Loan Party or any of its Subsidiaries.</w:t>
      </w:r>
    </w:p>
    <w:p>
      <w:pPr>
        <w:spacing w:after="0" w:line="132"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7.35</w:t>
      </w:r>
      <w:r>
        <w:rPr>
          <w:sz w:val="20"/>
          <w:szCs w:val="20"/>
          <w:color w:val="auto"/>
        </w:rPr>
        <w:tab/>
      </w:r>
      <w:r>
        <w:rPr>
          <w:rFonts w:ascii="Arial" w:cs="Arial" w:eastAsia="Arial" w:hAnsi="Arial"/>
          <w:sz w:val="19"/>
          <w:szCs w:val="19"/>
          <w:u w:val="single" w:color="auto"/>
          <w:color w:val="auto"/>
        </w:rPr>
        <w:t>Health Care Regulatory Matters</w:t>
      </w:r>
      <w:r>
        <w:rPr>
          <w:rFonts w:ascii="Arial" w:cs="Arial" w:eastAsia="Arial" w:hAnsi="Arial"/>
          <w:sz w:val="19"/>
          <w:szCs w:val="19"/>
          <w:color w:val="auto"/>
        </w:rPr>
        <w:t>.</w:t>
      </w:r>
    </w:p>
    <w:p>
      <w:pPr>
        <w:spacing w:after="0" w:line="179" w:lineRule="exact"/>
        <w:rPr>
          <w:sz w:val="20"/>
          <w:szCs w:val="20"/>
          <w:color w:val="auto"/>
        </w:rPr>
      </w:pPr>
    </w:p>
    <w:p>
      <w:pPr>
        <w:jc w:val="both"/>
        <w:ind w:left="-656" w:firstLine="1952"/>
        <w:spacing w:after="0" w:line="218" w:lineRule="auto"/>
        <w:tabs>
          <w:tab w:leader="none" w:pos="177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Except or otherwise disclosed on </w:t>
      </w:r>
      <w:r>
        <w:rPr>
          <w:rFonts w:ascii="Arial" w:cs="Arial" w:eastAsia="Arial" w:hAnsi="Arial"/>
          <w:sz w:val="22"/>
          <w:szCs w:val="22"/>
          <w:u w:val="single" w:color="auto"/>
          <w:color w:val="auto"/>
        </w:rPr>
        <w:t>Schedule 7.08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7.35</w:t>
      </w:r>
      <w:r>
        <w:rPr>
          <w:rFonts w:ascii="Arial" w:cs="Arial" w:eastAsia="Arial" w:hAnsi="Arial"/>
          <w:sz w:val="22"/>
          <w:szCs w:val="22"/>
          <w:color w:val="auto"/>
        </w:rPr>
        <w:t xml:space="preserve"> as could not, individually or in the aggregate, reasonably be expected to have a Material Adverse Effect, each Loan Party is, and for the past five (5) years has been in compliance with all Health Care Laws applicable to the Loan Party’s business or by which any property, business product or other asset of the Loan Party is bound or affected.</w:t>
      </w:r>
    </w:p>
    <w:p>
      <w:pPr>
        <w:spacing w:after="0" w:line="160" w:lineRule="exact"/>
        <w:rPr>
          <w:rFonts w:ascii="Arial" w:cs="Arial" w:eastAsia="Arial" w:hAnsi="Arial"/>
          <w:sz w:val="22"/>
          <w:szCs w:val="22"/>
          <w:color w:val="auto"/>
        </w:rPr>
      </w:pPr>
    </w:p>
    <w:p>
      <w:pPr>
        <w:jc w:val="both"/>
        <w:ind w:left="-656" w:firstLine="1952"/>
        <w:spacing w:after="0" w:line="218" w:lineRule="auto"/>
        <w:tabs>
          <w:tab w:leader="none" w:pos="187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Except as could not, individually or in the aggregate, reasonably be expected to have a Material Adverse Effect or otherwise disclosed on </w:t>
      </w:r>
      <w:r>
        <w:rPr>
          <w:rFonts w:ascii="Arial" w:cs="Arial" w:eastAsia="Arial" w:hAnsi="Arial"/>
          <w:sz w:val="22"/>
          <w:szCs w:val="22"/>
          <w:u w:val="single" w:color="auto"/>
          <w:color w:val="auto"/>
        </w:rPr>
        <w:t>Schedule 7.08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7.35</w:t>
      </w:r>
      <w:r>
        <w:rPr>
          <w:rFonts w:ascii="Arial" w:cs="Arial" w:eastAsia="Arial" w:hAnsi="Arial"/>
          <w:sz w:val="22"/>
          <w:szCs w:val="22"/>
          <w:color w:val="auto"/>
        </w:rPr>
        <w:t>, no Loan Party is a party to any corporate integrity agreements, monitoring agreements, consent decrees, settlement orders with governmental entities, or similar agreements with or imposed by any Governmental Authority.</w:t>
      </w:r>
    </w:p>
    <w:p>
      <w:pPr>
        <w:spacing w:after="0" w:line="160" w:lineRule="exact"/>
        <w:rPr>
          <w:rFonts w:ascii="Arial" w:cs="Arial" w:eastAsia="Arial" w:hAnsi="Arial"/>
          <w:sz w:val="22"/>
          <w:szCs w:val="22"/>
          <w:color w:val="auto"/>
        </w:rPr>
      </w:pPr>
    </w:p>
    <w:p>
      <w:pPr>
        <w:jc w:val="both"/>
        <w:ind w:left="-656" w:firstLine="1952"/>
        <w:spacing w:after="0" w:line="247" w:lineRule="auto"/>
        <w:tabs>
          <w:tab w:leader="none" w:pos="181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No Loan Party, nor its current officers or employees, nor to the knowledge of any Loan Party , all agents acting on its behalf, has been convicted of any crime or, to any Loan Party’s knowledge, engaged in any conduct, that could result in a material debarment or exclusion under 21 U.S.C. § 335a, 42 U.S.C. § 1320a-7, or any similar state or foreign law, rule or regulation that, individually or in the aggregate, could reasonably be expected to have a Material Adverse Effect. As of the date hereof, except as otherwise disclosed on Schedule 7.08 or Schedule 7.35, no claims, actions, proceedings or investigations that would reasonably be expected to result in such a material debarment or exclusion are, to the Loan Party’s knowledge, pending or threatened against any Loan Party or its officers or employees, or any agents acting on its behalf.</w:t>
      </w:r>
    </w:p>
    <w:p>
      <w:pPr>
        <w:spacing w:after="0" w:line="153" w:lineRule="exact"/>
        <w:rPr>
          <w:rFonts w:ascii="Arial" w:cs="Arial" w:eastAsia="Arial" w:hAnsi="Arial"/>
          <w:sz w:val="19"/>
          <w:szCs w:val="19"/>
          <w:color w:val="auto"/>
        </w:rPr>
      </w:pPr>
    </w:p>
    <w:p>
      <w:pPr>
        <w:jc w:val="both"/>
        <w:ind w:left="-656" w:firstLine="1952"/>
        <w:spacing w:after="0" w:line="242" w:lineRule="auto"/>
        <w:tabs>
          <w:tab w:leader="none" w:pos="187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Except as could not, individually or in the aggregate, reasonably be expected to have a Material Adverse Effect or otherwise disclosed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7.35</w:t>
      </w:r>
      <w:r>
        <w:rPr>
          <w:rFonts w:ascii="Arial" w:cs="Arial" w:eastAsia="Arial" w:hAnsi="Arial"/>
          <w:sz w:val="19"/>
          <w:szCs w:val="19"/>
          <w:color w:val="auto"/>
        </w:rPr>
        <w:t>: (i) each Loan Party possesses and is operating in compliance with Permits issued by, and have made all declarations and filings with, the appropriate Governmental Authorities reasonably necessary to conduct its business, including without limitation all those that may be required by FDA or any other Governmental Authority engaged in the regulation of pharmaceuticals, medical devices, biologics, cosmetics or biohazardous materials; (ii) all such Permits are valid and in full force and effect; (iii) all applications, notifications, submissions, information, claims, reports and statistics, and other data and conclusions derived therefrom, utilized as the basis for or submitted in connection with any and all requests for a Permit, when submitted to the Governmental Authority were true, complete and correct in all material respects as of the date of submission and any necessary or required updates, changes, corrections or modification to such applications, submissions, information and data have been submitted to the Governmental Authority; and (iv) there is no Governmental Authority action pending or, to any Loan Party’s knowledge, threatened which could reasonably be expected to limit, revoke, suspend or materially modify any Permit.</w:t>
      </w:r>
    </w:p>
    <w:p>
      <w:pPr>
        <w:spacing w:after="0" w:line="164" w:lineRule="exact"/>
        <w:rPr>
          <w:rFonts w:ascii="Arial" w:cs="Arial" w:eastAsia="Arial" w:hAnsi="Arial"/>
          <w:sz w:val="19"/>
          <w:szCs w:val="19"/>
          <w:color w:val="auto"/>
        </w:rPr>
      </w:pPr>
    </w:p>
    <w:p>
      <w:pPr>
        <w:jc w:val="both"/>
        <w:ind w:left="-656" w:firstLine="1952"/>
        <w:spacing w:after="0" w:line="216" w:lineRule="auto"/>
        <w:tabs>
          <w:tab w:leader="none" w:pos="186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Except as could not, individually or in the aggregate, reasonably be expected to have a Material Adverse Effect or otherwise disclosed on </w:t>
      </w:r>
      <w:r>
        <w:rPr>
          <w:rFonts w:ascii="Arial" w:cs="Arial" w:eastAsia="Arial" w:hAnsi="Arial"/>
          <w:sz w:val="22"/>
          <w:szCs w:val="22"/>
          <w:u w:val="single" w:color="auto"/>
          <w:color w:val="auto"/>
        </w:rPr>
        <w:t>Schedule 7.08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7.35</w:t>
      </w:r>
      <w:r>
        <w:rPr>
          <w:rFonts w:ascii="Arial" w:cs="Arial" w:eastAsia="Arial" w:hAnsi="Arial"/>
          <w:sz w:val="22"/>
          <w:szCs w:val="22"/>
          <w:color w:val="auto"/>
        </w:rPr>
        <w:t>, for the past five (5) years, no Loan Party has received from the FDA or any other Governmental Authority any inspection reports, notices of adverse findings, warning or untitled letters, or other correspondence concerning any drugs, biologics or medical devices manufactured or sold by or on behalf of a Loan Party (“</w:t>
      </w:r>
      <w:r>
        <w:rPr>
          <w:rFonts w:ascii="Arial" w:cs="Arial" w:eastAsia="Arial" w:hAnsi="Arial"/>
          <w:sz w:val="22"/>
          <w:szCs w:val="22"/>
          <w:u w:val="single" w:color="auto"/>
          <w:color w:val="auto"/>
        </w:rPr>
        <w:t>Loan Party Products</w:t>
      </w:r>
      <w:r>
        <w:rPr>
          <w:rFonts w:ascii="Arial" w:cs="Arial" w:eastAsia="Arial" w:hAnsi="Arial"/>
          <w:sz w:val="22"/>
          <w:szCs w:val="22"/>
          <w:color w:val="auto"/>
        </w:rPr>
        <w:t>”) in which any</w:t>
      </w:r>
    </w:p>
    <w:p>
      <w:pPr>
        <w:sectPr>
          <w:pgSz w:w="11900" w:h="16838" w:orient="portrait"/>
          <w:cols w:equalWidth="0" w:num="1">
            <w:col w:w="10584"/>
          </w:cols>
          <w:pgMar w:left="976" w:top="1401" w:right="339" w:bottom="1440" w:gutter="0" w:footer="0" w:header="0"/>
        </w:sectPr>
      </w:pPr>
    </w:p>
    <w:bookmarkStart w:id="144" w:name="page145"/>
    <w:bookmarkEnd w:id="144"/>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Governmental Authority alleges or asserts a failure to comply with applicable Health Care Laws, or that such products may not be safe, effective or approvable.</w:t>
      </w:r>
    </w:p>
    <w:p>
      <w:pPr>
        <w:spacing w:after="0" w:line="159" w:lineRule="exact"/>
        <w:rPr>
          <w:sz w:val="20"/>
          <w:szCs w:val="20"/>
          <w:color w:val="auto"/>
        </w:rPr>
      </w:pPr>
    </w:p>
    <w:p>
      <w:pPr>
        <w:jc w:val="both"/>
        <w:ind w:firstLine="1952"/>
        <w:spacing w:after="0" w:line="257" w:lineRule="auto"/>
        <w:tabs>
          <w:tab w:leader="none" w:pos="250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Except as could not, individually or in the aggregate, reasonably be expected to have a Material Adverse Effect, or as otherwise disclosed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7.35</w:t>
      </w:r>
      <w:r>
        <w:rPr>
          <w:rFonts w:ascii="Arial" w:cs="Arial" w:eastAsia="Arial" w:hAnsi="Arial"/>
          <w:sz w:val="19"/>
          <w:szCs w:val="19"/>
          <w:color w:val="auto"/>
        </w:rPr>
        <w:t>, for the past five (5) years, no Loan Party has had any product or manufacturing site (whether owned by the Loan Party or that of a contract manufacturer for Loan Party Products) subject to a Governmental Authority (including FDA) shutdown or import or export prohibition.</w:t>
      </w:r>
    </w:p>
    <w:p>
      <w:pPr>
        <w:spacing w:after="0" w:line="144" w:lineRule="exact"/>
        <w:rPr>
          <w:rFonts w:ascii="Arial" w:cs="Arial" w:eastAsia="Arial" w:hAnsi="Arial"/>
          <w:sz w:val="19"/>
          <w:szCs w:val="19"/>
          <w:color w:val="auto"/>
        </w:rPr>
      </w:pPr>
    </w:p>
    <w:p>
      <w:pPr>
        <w:jc w:val="both"/>
        <w:ind w:firstLine="1952"/>
        <w:spacing w:after="0" w:line="221" w:lineRule="auto"/>
        <w:tabs>
          <w:tab w:leader="none" w:pos="253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Except as could not, individually or in the aggregate, reasonably be expected to have a Material Adverse Effect, or as otherwise disclosed on </w:t>
      </w:r>
      <w:r>
        <w:rPr>
          <w:rFonts w:ascii="Arial" w:cs="Arial" w:eastAsia="Arial" w:hAnsi="Arial"/>
          <w:sz w:val="21"/>
          <w:szCs w:val="21"/>
          <w:u w:val="single" w:color="auto"/>
          <w:color w:val="auto"/>
        </w:rPr>
        <w:t>Schedule 7.08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7.35</w:t>
      </w:r>
      <w:r>
        <w:rPr>
          <w:rFonts w:ascii="Arial" w:cs="Arial" w:eastAsia="Arial" w:hAnsi="Arial"/>
          <w:sz w:val="21"/>
          <w:szCs w:val="21"/>
          <w:color w:val="auto"/>
        </w:rPr>
        <w:t>, for the past five (5) years, no Loan Party has had (i) any recalls, field notifications, field corrections, market withdrawals or replacements, warnings, “dear provider” letters, investigator notices, safety alerts or other notice of action relating to an alleged lack of safety, efficacy, or regulatory compliance of the Loan Party Products issued by the Loan Parties (“</w:t>
      </w:r>
      <w:r>
        <w:rPr>
          <w:rFonts w:ascii="Arial" w:cs="Arial" w:eastAsia="Arial" w:hAnsi="Arial"/>
          <w:sz w:val="21"/>
          <w:szCs w:val="21"/>
          <w:u w:val="single" w:color="auto"/>
          <w:color w:val="auto"/>
        </w:rPr>
        <w:t>Safety Notices</w:t>
      </w:r>
      <w:r>
        <w:rPr>
          <w:rFonts w:ascii="Arial" w:cs="Arial" w:eastAsia="Arial" w:hAnsi="Arial"/>
          <w:sz w:val="21"/>
          <w:szCs w:val="21"/>
          <w:color w:val="auto"/>
        </w:rPr>
        <w:t>”) or (ii) to the Loan Parties’ knowledge, any material complaints with respect to the Loan Party Products that are currently unresolved. Except as could not, individually or in the aggregate, reasonably be expected to have a Material Adverse Effect, to the Loan Parties’ knowledge, there are no facts that would be reasonably likely to result in (A) a Safety Notice with respect to the Loan Party Products; or (B) a termination or suspension of marketing or testing of any of the Loan Party Products.</w:t>
      </w:r>
    </w:p>
    <w:p>
      <w:pPr>
        <w:spacing w:after="0" w:line="158" w:lineRule="exact"/>
        <w:rPr>
          <w:rFonts w:ascii="Arial" w:cs="Arial" w:eastAsia="Arial" w:hAnsi="Arial"/>
          <w:sz w:val="21"/>
          <w:szCs w:val="21"/>
          <w:color w:val="auto"/>
        </w:rPr>
      </w:pPr>
    </w:p>
    <w:p>
      <w:pPr>
        <w:jc w:val="both"/>
        <w:ind w:firstLine="1952"/>
        <w:spacing w:after="0" w:line="249" w:lineRule="auto"/>
        <w:tabs>
          <w:tab w:leader="none" w:pos="253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Except as could not, individually or in the aggregate, reasonably be expected to have a Material Adverse Effect, or as otherwise disclosed on Schedule 7.08 or Schedule 7.35, for the past five (5) years, no Loan Party, nor, to the knowledge of any Loan Party, any employee or agent of any Loan Party,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could reasonably be expected to constitute a violation of any Health Care Law.</w:t>
      </w:r>
    </w:p>
    <w:p>
      <w:pPr>
        <w:spacing w:after="0" w:line="151" w:lineRule="exact"/>
        <w:rPr>
          <w:rFonts w:ascii="Arial" w:cs="Arial" w:eastAsia="Arial" w:hAnsi="Arial"/>
          <w:sz w:val="19"/>
          <w:szCs w:val="19"/>
          <w:color w:val="auto"/>
        </w:rPr>
      </w:pPr>
    </w:p>
    <w:p>
      <w:pPr>
        <w:jc w:val="both"/>
        <w:ind w:firstLine="1952"/>
        <w:spacing w:after="0" w:line="219" w:lineRule="auto"/>
        <w:tabs>
          <w:tab w:leader="none" w:pos="2492"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Except as could not, individually or in the aggregate, reasonably be expected to have a Material Adverse Effect, or as otherwise disclosed on </w:t>
      </w:r>
      <w:r>
        <w:rPr>
          <w:rFonts w:ascii="Arial" w:cs="Arial" w:eastAsia="Arial" w:hAnsi="Arial"/>
          <w:sz w:val="21"/>
          <w:szCs w:val="21"/>
          <w:u w:val="single" w:color="auto"/>
          <w:color w:val="auto"/>
        </w:rPr>
        <w:t>Schedule 7.08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7.35</w:t>
      </w:r>
      <w:r>
        <w:rPr>
          <w:rFonts w:ascii="Arial" w:cs="Arial" w:eastAsia="Arial" w:hAnsi="Arial"/>
          <w:sz w:val="21"/>
          <w:szCs w:val="21"/>
          <w:color w:val="auto"/>
        </w:rPr>
        <w:t>, for the past five (5) years, no Loan Party and, to the knowledge of any Loan Party, no employee or agent of any Loan Party, directly or indirectly, has (i) offered or paid or solicited or received any remuneration, in cash or in kind, or made any financial arrangements, in violation of any Health Care Law; (ii) given or agreed to give any gift or gratuitous payment of any kind, nature or description (whether in money, property or services) in violation of any Health Care Law; (iii) made or agreed to make any contribution, payment or gift of funds or property to, or for the private use of, any governmental official, employee or agent where either the contribution, payment or gift or the purpose of such contribution, payment or gift is or was illegal under any Health Care Law having jurisdiction over such payment, contribution or gift; (iv) established or maintained any unrecorded fund or asset for any purpose or made any misleading, false or artificial entries on any of its books or records for any reason, in violation of any Health Care Law; or (v) made, or agreed to make any payment to any person with the intention or understanding that any part of such payment would be in violation of any Health Care Law.</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AFFIRMATIVE COVENANTS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Loan Parties hereby covenant and agree with the Lenders and the Administrative Agent to each of the following so long as any Obligations hereunder (other than Unasserted Contingent Obligations) or any Commitments hereunder remain outstanding:</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Financial Information, Reports, Certificates and Other Information</w:t>
      </w:r>
    </w:p>
    <w:p>
      <w:pPr>
        <w:spacing w:after="0" w:line="179" w:lineRule="exact"/>
        <w:rPr>
          <w:sz w:val="20"/>
          <w:szCs w:val="20"/>
          <w:color w:val="auto"/>
        </w:rPr>
      </w:pPr>
    </w:p>
    <w:p>
      <w:pPr>
        <w:ind w:firstLine="656"/>
        <w:spacing w:after="0" w:line="232" w:lineRule="auto"/>
        <w:tabs>
          <w:tab w:leader="none" w:pos="78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Loan Parties shall furnish to the Administrative Agent, for distribution to each Lender, copies of the following financial statements, reports, notices and information:</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401" w:val="left"/>
        </w:tabs>
        <w:numPr>
          <w:ilvl w:val="1"/>
          <w:numId w:val="155"/>
        </w:numPr>
        <w:rPr>
          <w:rFonts w:ascii="Arial" w:cs="Arial" w:eastAsia="Arial" w:hAnsi="Arial"/>
          <w:sz w:val="22"/>
          <w:szCs w:val="22"/>
          <w:color w:val="auto"/>
        </w:rPr>
      </w:pPr>
      <w:r>
        <w:rPr>
          <w:rFonts w:ascii="Arial" w:cs="Arial" w:eastAsia="Arial" w:hAnsi="Arial"/>
          <w:sz w:val="22"/>
          <w:szCs w:val="22"/>
          <w:u w:val="single" w:color="auto"/>
          <w:color w:val="auto"/>
        </w:rPr>
        <w:t>Monthly Liquidity Reports</w:t>
      </w:r>
      <w:r>
        <w:rPr>
          <w:rFonts w:ascii="Arial" w:cs="Arial" w:eastAsia="Arial" w:hAnsi="Arial"/>
          <w:sz w:val="22"/>
          <w:szCs w:val="22"/>
          <w:color w:val="auto"/>
        </w:rPr>
        <w:t>. As soon as available and in any event within ten (10) days after the end of each fiscal month, a Liquidity Compliance Certificate executed by an Authorized Officer of the Borrower together with any supporting information requested by the Administrative Agent (acting reasonably) with respect to the calculation of Liquidity for such fiscal month.</w:t>
      </w:r>
    </w:p>
    <w:p>
      <w:pPr>
        <w:spacing w:after="0" w:line="160" w:lineRule="exact"/>
        <w:rPr>
          <w:rFonts w:ascii="Arial" w:cs="Arial" w:eastAsia="Arial" w:hAnsi="Arial"/>
          <w:sz w:val="22"/>
          <w:szCs w:val="22"/>
          <w:color w:val="auto"/>
        </w:rPr>
      </w:pPr>
    </w:p>
    <w:p>
      <w:pPr>
        <w:jc w:val="both"/>
        <w:ind w:firstLine="1952"/>
        <w:spacing w:after="0"/>
        <w:tabs>
          <w:tab w:leader="none" w:pos="2510"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xml:space="preserve">. As soon as available and in any event within forty-five (45) days after the end of each fiscal quarter of the Borrower, (i) unaudited (x) consolidated balance sheets of the Borrower and its Subsidiaries as of the end of such fiscal quarter, and (y) consolidated statements of income and cash flow of the Borrower and its Subsidiaries (and commencing with the fiscal quarter ending March 31, 2022, with Consolidated Total Revenue, Consolidated Total Net Sales Deductions and Consolidated Total Ineligible Product Revenue, clearly noted or otherwise delivered (it being understood, for the avoidance of doubt, that such other delivery shall constitute financial statements delivered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8.01(b)</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7.10(c)</w:t>
      </w:r>
      <w:r>
        <w:rPr>
          <w:rFonts w:ascii="Arial" w:cs="Arial" w:eastAsia="Arial" w:hAnsi="Arial"/>
          <w:sz w:val="19"/>
          <w:szCs w:val="19"/>
          <w:color w:val="auto"/>
        </w:rPr>
        <w:t xml:space="preserve">) for such fiscal quarter, in each case and for the period commencing at the end of the previous fiscal year of the Borrower and ending with the end of such fiscal quarter, including (in the case of each of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(if applicable)) in comparative form (both in Dollar and percentage terms) the figures for the corresponding fiscal quarter in, and year-to-date portion of, the immediately preceding fiscal year of the Borrower, (ii) a statement of Consolidated Adjusted EBITDA (x) for the year-to-date portion of such fiscal year of the Borrower ending concurrently with such fiscal quarter, including in comparative form (both in Dollar and percentage terms) Consolidated Adjusted EBITDA for the same year-to-date period in the immediately preceding fiscal year of the Borrower and (y) for the Test Period ending concurrently with such fiscal quarter, including, in comparative form (both in Dollar and percentage terms) Consolidated Adjusted EBITDA for such Test Period against the then-current Budget </w:t>
      </w:r>
      <w:r>
        <w:rPr>
          <w:rFonts w:ascii="Arial" w:cs="Arial" w:eastAsia="Arial" w:hAnsi="Arial"/>
          <w:sz w:val="19"/>
          <w:szCs w:val="19"/>
          <w:color w:val="0000FF"/>
        </w:rPr>
        <w:t>(to the extent provided pursuant to Section 8.01(f))</w:t>
      </w:r>
      <w:r>
        <w:rPr>
          <w:rFonts w:ascii="Arial" w:cs="Arial" w:eastAsia="Arial" w:hAnsi="Arial"/>
          <w:sz w:val="19"/>
          <w:szCs w:val="19"/>
          <w:color w:val="auto"/>
        </w:rPr>
        <w:t>, and for the Test Period immediately preceding such reported period and (iii) a management discussion and analysis (with reasonable detail and specificity) of the results of operations for the fiscal periods reported, including, in comparative form the figures for the corresponding fiscal quarter in, and year-to-date portion of, the immediately preceding fiscal year of the Borrower, and period commencing at the end of the previous fiscal year of the Borrower and ending with the end of such fiscal quarter.</w:t>
      </w:r>
    </w:p>
    <w:p>
      <w:pPr>
        <w:spacing w:after="0" w:line="168" w:lineRule="exact"/>
        <w:rPr>
          <w:rFonts w:ascii="Arial" w:cs="Arial" w:eastAsia="Arial" w:hAnsi="Arial"/>
          <w:sz w:val="19"/>
          <w:szCs w:val="19"/>
          <w:color w:val="auto"/>
        </w:rPr>
      </w:pPr>
    </w:p>
    <w:p>
      <w:pPr>
        <w:jc w:val="both"/>
        <w:ind w:firstLine="1952"/>
        <w:spacing w:after="0" w:line="249" w:lineRule="auto"/>
        <w:tabs>
          <w:tab w:leader="none" w:pos="2476"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three (3) days after the earlier of (x) the date the Borrower is required to file or (y) the date the Borrower has filed its Form 10-K under the Exchange Act (but in no event later than ninety (90) days after the end of each fiscal year of the Borrower), (a) copies of the consolidated balance sheets of the Borrower and its Subsidiaries for such fiscal year, and the related consolidated statements of income and cash flows of the Borrower and its Subsidiaries (and commencing with the fiscal year ending December 31, 2022, with Consolidated Total Revenue, Consolidated Total Net Sales Deductions and Consolidated Total Ineligible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-1543685</wp:posOffset>
            </wp:positionV>
            <wp:extent cx="28975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clearly noted, or otherwise delivered and based upon the audited information delivered in accordance with this clause (c) (it being understood, for the avoidance of doubt, that such other delivery shall constitute financial statements delivered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8.01(c)</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7.10(c)</w:t>
      </w:r>
      <w:r>
        <w:rPr>
          <w:rFonts w:ascii="Arial" w:cs="Arial" w:eastAsia="Arial" w:hAnsi="Arial"/>
          <w:sz w:val="19"/>
          <w:szCs w:val="19"/>
          <w:color w:val="auto"/>
        </w:rPr>
        <w:t xml:space="preserve">) for such fiscal year, and, to the extent available, setting forth in comparative form (both in Dollar and percentage terms) the figures for the immediately preceding fiscal year and against the then-current Budget </w:t>
      </w:r>
      <w:r>
        <w:rPr>
          <w:rFonts w:ascii="Arial" w:cs="Arial" w:eastAsia="Arial" w:hAnsi="Arial"/>
          <w:sz w:val="19"/>
          <w:szCs w:val="19"/>
          <w:u w:val="single" w:color="auto"/>
          <w:color w:val="0000FF"/>
        </w:rPr>
        <w:t>(to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extent provided pursuant to Section 8.01(f))</w:t>
      </w:r>
      <w:r>
        <w:rPr>
          <w:rFonts w:ascii="Arial" w:cs="Arial" w:eastAsia="Arial" w:hAnsi="Arial"/>
          <w:sz w:val="19"/>
          <w:szCs w:val="19"/>
          <w:color w:val="0000FF"/>
        </w:rPr>
        <w:t xml:space="preserve"> </w:t>
      </w:r>
      <w:r>
        <w:rPr>
          <w:rFonts w:ascii="Arial" w:cs="Arial" w:eastAsia="Arial" w:hAnsi="Arial"/>
          <w:sz w:val="19"/>
          <w:szCs w:val="19"/>
          <w:color w:val="000000"/>
        </w:rPr>
        <w:t>for such fiscal year, such consolidated statements audited and certified without</w:t>
      </w:r>
      <w:r>
        <w:rPr>
          <w:rFonts w:ascii="Arial" w:cs="Arial" w:eastAsia="Arial" w:hAnsi="Arial"/>
          <w:sz w:val="19"/>
          <w:szCs w:val="19"/>
          <w:color w:val="0000FF"/>
        </w:rPr>
        <w:t xml:space="preserve"> </w:t>
      </w:r>
      <w:r>
        <w:rPr>
          <w:rFonts w:ascii="Arial" w:cs="Arial" w:eastAsia="Arial" w:hAnsi="Arial"/>
          <w:sz w:val="19"/>
          <w:szCs w:val="19"/>
          <w:color w:val="000000"/>
        </w:rPr>
        <w:t xml:space="preserve">“going concern” or other qualification, exception or assumption and without qualification or assumption as to the scope of such audit as conducted in accordance with GAAP (except for any such qualification pertaining to the maturity of the Loans occurring within twelve (12) months of the relevant audit), by an independent public accounting firm of nationally recognized standing reasonably acceptable to the Administrative Agent (with any nationally recognized accounting firm being acceptable), together with a management discussion and analysis (with reasonable detail and specificity) of the results of operations for the fiscal periods reported and (b) a statement of Consolidated Adjusted EBITDA for such fiscal year, including in comparative form (both in Dollar and percentage terms) Consolidated Adjusted EBITDA for such fiscal year against the then-current income statement set forth in the Budget </w:t>
      </w:r>
      <w:r>
        <w:rPr>
          <w:rFonts w:ascii="Arial" w:cs="Arial" w:eastAsia="Arial" w:hAnsi="Arial"/>
          <w:sz w:val="19"/>
          <w:szCs w:val="19"/>
          <w:u w:val="single" w:color="auto"/>
          <w:color w:val="0000FF"/>
        </w:rPr>
        <w:t>(to the extent provided pursuant to Section 8.01(f))</w:t>
      </w:r>
      <w:r>
        <w:rPr>
          <w:rFonts w:ascii="Arial" w:cs="Arial" w:eastAsia="Arial" w:hAnsi="Arial"/>
          <w:sz w:val="19"/>
          <w:szCs w:val="19"/>
          <w:color w:val="000000"/>
        </w:rPr>
        <w:t xml:space="preserve"> and for the same year-to-date period in the immediately preceding fiscal year.</w:t>
      </w:r>
    </w:p>
    <w:p>
      <w:pPr>
        <w:spacing w:after="0" w:line="376" w:lineRule="exact"/>
        <w:rPr>
          <w:sz w:val="20"/>
          <w:szCs w:val="20"/>
          <w:color w:val="auto"/>
        </w:rPr>
      </w:pPr>
    </w:p>
    <w:p>
      <w:pPr>
        <w:jc w:val="both"/>
        <w:ind w:firstLine="1952"/>
        <w:spacing w:after="0"/>
        <w:tabs>
          <w:tab w:leader="none" w:pos="254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Compliance Certificates</w:t>
      </w:r>
      <w:r>
        <w:rPr>
          <w:rFonts w:ascii="Arial" w:cs="Arial" w:eastAsia="Arial" w:hAnsi="Arial"/>
          <w:sz w:val="19"/>
          <w:szCs w:val="19"/>
          <w:color w:val="auto"/>
        </w:rPr>
        <w:t xml:space="preserve">. Concurrently with the delivery of the financial information pursuant to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a Compliance Certificate executed by an Authorized Officer of the Borrower (i) certifying that such financial information presents fairly in all material respects the financial condition, results of operations and cash flows of the Borrower and its Subsidiaries in conformity with GAAP, consistently applied, in each case at the respective dates of such information and for the respective periods covered thereby, subject in the case of unaudited financial information, to changes resulting from normal year-end audit adjustments and to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certification shall not be required with respect to financial information delivered pursuant to clause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(ii) showing compliance with the covenants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if applicable, and stating that no Default or Event of Default has occurred and is continuing (or, if a Default or an Event of Default has occurred, specifying the details of such Default or Event of Default and the actions taken or to be taken with respect thereto), (iii) specifying any change in the identity of the Subsidiaries as at the end of such fiscal year or period, as the case may be, from the Subsidiaries listed on </w:t>
      </w:r>
      <w:r>
        <w:rPr>
          <w:rFonts w:ascii="Arial" w:cs="Arial" w:eastAsia="Arial" w:hAnsi="Arial"/>
          <w:sz w:val="19"/>
          <w:szCs w:val="19"/>
          <w:u w:val="single" w:color="auto"/>
          <w:color w:val="auto"/>
        </w:rPr>
        <w:t>Schedule 7.09</w:t>
      </w:r>
      <w:r>
        <w:rPr>
          <w:rFonts w:ascii="Arial" w:cs="Arial" w:eastAsia="Arial" w:hAnsi="Arial"/>
          <w:sz w:val="19"/>
          <w:szCs w:val="19"/>
          <w:color w:val="auto"/>
        </w:rPr>
        <w:t xml:space="preserve">, or from the most recently delivered Compliance Certificate, as applicable, (iv) including (x) an updated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7.26</w:t>
      </w:r>
      <w:r>
        <w:rPr>
          <w:rFonts w:ascii="Arial" w:cs="Arial" w:eastAsia="Arial" w:hAnsi="Arial"/>
          <w:sz w:val="19"/>
          <w:szCs w:val="19"/>
          <w:color w:val="auto"/>
        </w:rPr>
        <w:t xml:space="preserve"> of this Loan Agreement (if applicable) and (y) a written supplement substantially in the form of Schedules 1 through 4, as applicable, to the Guaranty and Security Agreement with respect to any additional assets and property acquired by any Loan Party after the date hereof if required to update the perfection of Collateral Agents Lien with respect to such assets, all in reasonable detail and (v) with respect to a Compliance Certificate delivered in connection with clause (c) above, (x) if available, detailing any changes to the locations listed on Schedule 5 to the Guaranty and Security Agreement in respect of any Inventory or Equipment (as defined in the Guaranty and Security Agreement) (other than (a) Inventory or Equipment in transit in the Ordinary Course of Business and (b) Inventory and Equipment with a fair market value of less than $5,000,000 (in the aggregate for all Loan Parties) which may be located at other locations within the United States) and books and records concerning the Collateral and (y) including, and certifying to, a calculation (in reasonable detail) of the amount of Loans required to be prepaid pursuant to </w:t>
      </w:r>
      <w:r>
        <w:rPr>
          <w:rFonts w:ascii="Arial" w:cs="Arial" w:eastAsia="Arial" w:hAnsi="Arial"/>
          <w:sz w:val="19"/>
          <w:szCs w:val="19"/>
          <w:u w:val="single" w:color="auto"/>
          <w:color w:val="auto"/>
        </w:rPr>
        <w:t>Section 4.02(a)(ix)</w:t>
      </w:r>
      <w:r>
        <w:rPr>
          <w:rFonts w:ascii="Arial" w:cs="Arial" w:eastAsia="Arial" w:hAnsi="Arial"/>
          <w:sz w:val="19"/>
          <w:szCs w:val="19"/>
          <w:color w:val="auto"/>
        </w:rPr>
        <w:t xml:space="preserve"> for such fiscal year, if any, and the Available Amount as of the end of such fiscal year.</w:t>
      </w:r>
    </w:p>
    <w:p>
      <w:pPr>
        <w:spacing w:after="0" w:line="379" w:lineRule="exact"/>
        <w:rPr>
          <w:rFonts w:ascii="Arial" w:cs="Arial" w:eastAsia="Arial" w:hAnsi="Arial"/>
          <w:sz w:val="19"/>
          <w:szCs w:val="19"/>
          <w:color w:val="auto"/>
        </w:rPr>
      </w:pPr>
    </w:p>
    <w:p>
      <w:pPr>
        <w:ind w:left="2400" w:hanging="448"/>
        <w:spacing w:after="0"/>
        <w:tabs>
          <w:tab w:leader="none" w:pos="24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3" w:lineRule="auto"/>
        <w:tabs>
          <w:tab w:leader="none" w:pos="2402"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Budget</w:t>
      </w:r>
      <w:r>
        <w:rPr>
          <w:rFonts w:ascii="Arial" w:cs="Arial" w:eastAsia="Arial" w:hAnsi="Arial"/>
          <w:sz w:val="22"/>
          <w:szCs w:val="22"/>
          <w:color w:val="auto"/>
        </w:rPr>
        <w:t xml:space="preserve">. </w:t>
      </w:r>
      <w:r>
        <w:rPr>
          <w:rFonts w:ascii="Arial" w:cs="Arial" w:eastAsia="Arial" w:hAnsi="Arial"/>
          <w:sz w:val="22"/>
          <w:szCs w:val="22"/>
          <w:color w:val="FF0000"/>
          <w:strike w:val="1"/>
        </w:rPr>
        <w:t>On or prior to</w:t>
      </w:r>
      <w:r>
        <w:rPr>
          <w:rFonts w:ascii="Arial" w:cs="Arial" w:eastAsia="Arial" w:hAnsi="Arial"/>
          <w:sz w:val="22"/>
          <w:szCs w:val="22"/>
          <w:u w:val="single" w:color="auto"/>
          <w:color w:val="0000FF"/>
        </w:rPr>
        <w:t>To the extent requested in writing by the Administrative Agent or the Required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Lenders for any fiscal year, within</w:t>
      </w:r>
      <w:r>
        <w:rPr>
          <w:rFonts w:ascii="Arial" w:cs="Arial" w:eastAsia="Arial" w:hAnsi="Arial"/>
          <w:sz w:val="22"/>
          <w:szCs w:val="22"/>
          <w:color w:val="0000FF"/>
        </w:rPr>
        <w:t xml:space="preserve"> </w:t>
      </w:r>
      <w:r>
        <w:rPr>
          <w:rFonts w:ascii="Arial" w:cs="Arial" w:eastAsia="Arial" w:hAnsi="Arial"/>
          <w:sz w:val="22"/>
          <w:szCs w:val="22"/>
          <w:color w:val="000000"/>
        </w:rPr>
        <w:t>sixty (60) days after</w:t>
      </w:r>
      <w:r>
        <w:rPr>
          <w:rFonts w:ascii="Arial" w:cs="Arial" w:eastAsia="Arial" w:hAnsi="Arial"/>
          <w:sz w:val="22"/>
          <w:szCs w:val="22"/>
          <w:color w:val="0000FF"/>
        </w:rPr>
        <w:t xml:space="preserve"> </w:t>
      </w:r>
      <w:r>
        <w:rPr>
          <w:rFonts w:ascii="Arial" w:cs="Arial" w:eastAsia="Arial" w:hAnsi="Arial"/>
          <w:sz w:val="22"/>
          <w:szCs w:val="22"/>
          <w:color w:val="FF0000"/>
          <w:strike w:val="1"/>
        </w:rPr>
        <w:t>the end of each calendar year,</w:t>
      </w:r>
      <w:r>
        <w:rPr>
          <w:rFonts w:ascii="Arial" w:cs="Arial" w:eastAsia="Arial" w:hAnsi="Arial"/>
          <w:sz w:val="22"/>
          <w:szCs w:val="22"/>
          <w:u w:val="single" w:color="auto"/>
          <w:color w:val="0000FF"/>
        </w:rPr>
        <w:t>such request, a</w:t>
      </w:r>
      <w:r>
        <w:rPr>
          <w:rFonts w:ascii="Arial" w:cs="Arial" w:eastAsia="Arial" w:hAnsi="Arial"/>
          <w:sz w:val="22"/>
          <w:szCs w:val="22"/>
          <w:color w:val="0000FF"/>
        </w:rPr>
        <w:t xml:space="preserve"> </w:t>
      </w:r>
      <w:r>
        <w:rPr>
          <w:rFonts w:ascii="Arial" w:cs="Arial" w:eastAsia="Arial" w:hAnsi="Arial"/>
          <w:sz w:val="22"/>
          <w:szCs w:val="22"/>
          <w:color w:val="000000"/>
        </w:rPr>
        <w:t>final forecasted financial</w:t>
      </w:r>
      <w:r>
        <w:rPr>
          <w:rFonts w:ascii="Arial" w:cs="Arial" w:eastAsia="Arial" w:hAnsi="Arial"/>
          <w:sz w:val="22"/>
          <w:szCs w:val="22"/>
          <w:color w:val="0000FF"/>
        </w:rPr>
        <w:t xml:space="preserve"> </w:t>
      </w:r>
      <w:r>
        <w:rPr>
          <w:rFonts w:ascii="Arial" w:cs="Arial" w:eastAsia="Arial" w:hAnsi="Arial"/>
          <w:sz w:val="22"/>
          <w:szCs w:val="22"/>
          <w:color w:val="000000"/>
        </w:rPr>
        <w:t>projections for the Borrower</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7"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 xml:space="preserve">and its Subsidiaries for </w:t>
      </w:r>
      <w:r>
        <w:rPr>
          <w:rFonts w:ascii="Arial" w:cs="Arial" w:eastAsia="Arial" w:hAnsi="Arial"/>
          <w:sz w:val="21"/>
          <w:szCs w:val="21"/>
          <w:color w:val="FF0000"/>
          <w:strike w:val="1"/>
        </w:rPr>
        <w:t>the then upcoming</w:t>
      </w:r>
      <w:r>
        <w:rPr>
          <w:rFonts w:ascii="Arial" w:cs="Arial" w:eastAsia="Arial" w:hAnsi="Arial"/>
          <w:sz w:val="21"/>
          <w:szCs w:val="21"/>
          <w:u w:val="single" w:color="auto"/>
          <w:color w:val="0000FF"/>
        </w:rPr>
        <w:t>such</w:t>
      </w:r>
      <w:r>
        <w:rPr>
          <w:rFonts w:ascii="Arial" w:cs="Arial" w:eastAsia="Arial" w:hAnsi="Arial"/>
          <w:sz w:val="21"/>
          <w:szCs w:val="21"/>
          <w:color w:val="auto"/>
        </w:rPr>
        <w:t xml:space="preserve"> fiscal year (on a month-by-month basis), a final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in each case, prepared by management of the Loan Parties in good faith based upon reasonable assumptions, consistent in scope with the financial statements provided pursuant to </w:t>
      </w:r>
      <w:r>
        <w:rPr>
          <w:rFonts w:ascii="Arial" w:cs="Arial" w:eastAsia="Arial" w:hAnsi="Arial"/>
          <w:sz w:val="21"/>
          <w:szCs w:val="21"/>
          <w:u w:val="single" w:color="auto"/>
          <w:color w:val="auto"/>
        </w:rPr>
        <w:t>Section 8.01(c)</w:t>
      </w:r>
      <w:r>
        <w:rPr>
          <w:rFonts w:ascii="Arial" w:cs="Arial" w:eastAsia="Arial" w:hAnsi="Arial"/>
          <w:sz w:val="21"/>
          <w:szCs w:val="21"/>
          <w:color w:val="auto"/>
        </w:rPr>
        <w:t xml:space="preserve"> and setting forth the principal assumptions on which such projections are based (each such projections and the projections delivered as of the Closing Date pursuant to </w:t>
      </w:r>
      <w:r>
        <w:rPr>
          <w:rFonts w:ascii="Arial" w:cs="Arial" w:eastAsia="Arial" w:hAnsi="Arial"/>
          <w:sz w:val="21"/>
          <w:szCs w:val="21"/>
          <w:u w:val="single" w:color="auto"/>
          <w:color w:val="auto"/>
        </w:rPr>
        <w:t>Section 5.10(b)</w:t>
      </w:r>
      <w:r>
        <w:rPr>
          <w:rFonts w:ascii="Arial" w:cs="Arial" w:eastAsia="Arial" w:hAnsi="Arial"/>
          <w:sz w:val="21"/>
          <w:szCs w:val="21"/>
          <w:color w:val="auto"/>
        </w:rPr>
        <w:t>, being referred to as a “</w:t>
      </w:r>
      <w:r>
        <w:rPr>
          <w:rFonts w:ascii="Arial" w:cs="Arial" w:eastAsia="Arial" w:hAnsi="Arial"/>
          <w:sz w:val="21"/>
          <w:szCs w:val="21"/>
          <w:u w:val="single" w:color="auto"/>
          <w:color w:val="auto"/>
        </w:rPr>
        <w:t>Budget</w:t>
      </w:r>
      <w:r>
        <w:rPr>
          <w:rFonts w:ascii="Arial" w:cs="Arial" w:eastAsia="Arial" w:hAnsi="Arial"/>
          <w:sz w:val="21"/>
          <w:szCs w:val="21"/>
          <w:color w:val="FF0000"/>
          <w:strike w:val="1"/>
        </w:rPr>
        <w:t>”</w:t>
      </w:r>
      <w:r>
        <w:rPr>
          <w:rFonts w:ascii="Arial" w:cs="Arial" w:eastAsia="Arial" w:hAnsi="Arial"/>
          <w:sz w:val="21"/>
          <w:szCs w:val="21"/>
          <w:u w:val="single" w:color="auto"/>
          <w:color w:val="0000FF"/>
        </w:rPr>
        <w:t>“</w:t>
      </w:r>
      <w:r>
        <w:rPr>
          <w:rFonts w:ascii="Arial" w:cs="Arial" w:eastAsia="Arial" w:hAnsi="Arial"/>
          <w:sz w:val="21"/>
          <w:szCs w:val="21"/>
          <w:color w:val="auto"/>
        </w:rPr>
        <w:t>).</w:t>
      </w:r>
    </w:p>
    <w:p>
      <w:pPr>
        <w:spacing w:after="0" w:line="164" w:lineRule="exact"/>
        <w:rPr>
          <w:sz w:val="20"/>
          <w:szCs w:val="20"/>
          <w:color w:val="auto"/>
        </w:rPr>
      </w:pPr>
    </w:p>
    <w:p>
      <w:pPr>
        <w:jc w:val="both"/>
        <w:ind w:firstLine="1952"/>
        <w:spacing w:after="0" w:line="249" w:lineRule="auto"/>
        <w:tabs>
          <w:tab w:leader="none" w:pos="2453"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Defaults; Beneficial Ownership</w:t>
      </w:r>
      <w:r>
        <w:rPr>
          <w:rFonts w:ascii="Arial" w:cs="Arial" w:eastAsia="Arial" w:hAnsi="Arial"/>
          <w:sz w:val="19"/>
          <w:szCs w:val="19"/>
          <w:color w:val="auto"/>
        </w:rPr>
        <w:t>. As soon as possible and in any event within five (5) Business Days after an Authorized Officer of any Loan Party or any of their respective Subsidiaries obtains knowledge thereof, (i) written notice from an Authorized Officer of the Borrower of the occurrence of any event that constitutes a Default or an Event of Default, which notice shall specify the nature thereof, the period of existence thereof, and what action the applicable Loan Parties have taken and propose to take with respect thereto and (ii) any change in the information provided in the Beneficial Ownership Certification delivered to such Lender that would result in a change to the list of beneficial owners identified in such certification.</w:t>
      </w:r>
    </w:p>
    <w:p>
      <w:pPr>
        <w:spacing w:after="0" w:line="151" w:lineRule="exact"/>
        <w:rPr>
          <w:rFonts w:ascii="Arial" w:cs="Arial" w:eastAsia="Arial" w:hAnsi="Arial"/>
          <w:sz w:val="19"/>
          <w:szCs w:val="19"/>
          <w:color w:val="auto"/>
        </w:rPr>
      </w:pPr>
    </w:p>
    <w:p>
      <w:pPr>
        <w:jc w:val="both"/>
        <w:ind w:firstLine="1952"/>
        <w:spacing w:after="0" w:line="216" w:lineRule="auto"/>
        <w:tabs>
          <w:tab w:leader="none" w:pos="2572"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Written notice (x) with respect to the creation or acquisition of any Subsidiary of the Borrower at least five (5) Business Days after such creation or acquisition and (y) promptly upon becoming aware of (and in no event later than five (5) Business Days after an Authorized Officer of any Loan Party becomes aware of) (in each case, or such longer period as may be reasonably agreed by the Administrative Agent) each the following, and copies of all notices and related documents and correspondence with respect to:</w:t>
      </w:r>
    </w:p>
    <w:p>
      <w:pPr>
        <w:spacing w:after="0" w:line="157" w:lineRule="exact"/>
        <w:rPr>
          <w:rFonts w:ascii="Arial" w:cs="Arial" w:eastAsia="Arial" w:hAnsi="Arial"/>
          <w:sz w:val="22"/>
          <w:szCs w:val="22"/>
          <w:color w:val="auto"/>
        </w:rPr>
      </w:pPr>
    </w:p>
    <w:p>
      <w:pPr>
        <w:jc w:val="both"/>
        <w:ind w:left="660" w:firstLine="1940"/>
        <w:spacing w:after="0" w:line="226" w:lineRule="auto"/>
        <w:tabs>
          <w:tab w:leader="none" w:pos="3213" w:val="left"/>
        </w:tabs>
        <w:numPr>
          <w:ilvl w:val="1"/>
          <w:numId w:val="157"/>
        </w:numPr>
        <w:rPr>
          <w:rFonts w:ascii="Arial" w:cs="Arial" w:eastAsia="Arial" w:hAnsi="Arial"/>
          <w:sz w:val="21"/>
          <w:szCs w:val="21"/>
          <w:color w:val="auto"/>
        </w:rPr>
      </w:pPr>
      <w:r>
        <w:rPr>
          <w:rFonts w:ascii="Arial" w:cs="Arial" w:eastAsia="Arial" w:hAnsi="Arial"/>
          <w:sz w:val="21"/>
          <w:szCs w:val="21"/>
          <w:color w:val="auto"/>
        </w:rPr>
        <w:t>the filing or commencement of each (x) criminal litigation, investigation or proceeding affecting any Loan Party or any Subsidiary thereof and (y) non-criminal litigation, investigation or proceeding affecting any Loan Party or any Subsidiary thereof (A) in which injunctive or similar relief is sought, (B) which could reasonably be expected to have a Material Adverse Effect or (C) in which the relief sought is an injunction or other stay of the performance of this Loan Agreement or any other Loan Document;</w:t>
      </w:r>
    </w:p>
    <w:p>
      <w:pPr>
        <w:spacing w:after="0" w:line="159" w:lineRule="exact"/>
        <w:rPr>
          <w:rFonts w:ascii="Arial" w:cs="Arial" w:eastAsia="Arial" w:hAnsi="Arial"/>
          <w:sz w:val="21"/>
          <w:szCs w:val="21"/>
          <w:color w:val="auto"/>
        </w:rPr>
      </w:pPr>
    </w:p>
    <w:p>
      <w:pPr>
        <w:jc w:val="both"/>
        <w:ind w:left="660" w:firstLine="1940"/>
        <w:spacing w:after="0" w:line="223" w:lineRule="auto"/>
        <w:tabs>
          <w:tab w:leader="none" w:pos="317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each pending or, to the knowledge of an Authorized Officer of a Loan Party, threatened in writing labor dispute, strike, walkout, or union organizing activity with respect to any employees of a Loan Party that would reasonably be expected to have a Material Adverse Effect;</w:t>
      </w:r>
    </w:p>
    <w:p>
      <w:pPr>
        <w:spacing w:after="0" w:line="158" w:lineRule="exact"/>
        <w:rPr>
          <w:rFonts w:ascii="Arial" w:cs="Arial" w:eastAsia="Arial" w:hAnsi="Arial"/>
          <w:sz w:val="22"/>
          <w:szCs w:val="22"/>
          <w:color w:val="auto"/>
        </w:rPr>
      </w:pPr>
    </w:p>
    <w:p>
      <w:pPr>
        <w:ind w:left="660" w:firstLine="1940"/>
        <w:spacing w:after="0" w:line="232" w:lineRule="auto"/>
        <w:tabs>
          <w:tab w:leader="none" w:pos="319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after the same are publicly available, all annual, regular, periodic and special reports, proxy statements and registration statements filed with the SEC;</w:t>
      </w:r>
    </w:p>
    <w:p>
      <w:pPr>
        <w:spacing w:after="0" w:line="158" w:lineRule="exact"/>
        <w:rPr>
          <w:rFonts w:ascii="Arial" w:cs="Arial" w:eastAsia="Arial" w:hAnsi="Arial"/>
          <w:sz w:val="22"/>
          <w:szCs w:val="22"/>
          <w:color w:val="auto"/>
        </w:rPr>
      </w:pPr>
    </w:p>
    <w:p>
      <w:pPr>
        <w:ind w:left="3120" w:hanging="520"/>
        <w:spacing w:after="0"/>
        <w:tabs>
          <w:tab w:leader="none" w:pos="312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the discharge, withdrawal or resignation by a Loan Party’s independent accountants;</w:t>
      </w:r>
    </w:p>
    <w:p>
      <w:pPr>
        <w:spacing w:after="0" w:line="190" w:lineRule="exact"/>
        <w:rPr>
          <w:rFonts w:ascii="Arial" w:cs="Arial" w:eastAsia="Arial" w:hAnsi="Arial"/>
          <w:sz w:val="21"/>
          <w:szCs w:val="21"/>
          <w:color w:val="auto"/>
        </w:rPr>
      </w:pPr>
    </w:p>
    <w:p>
      <w:pPr>
        <w:ind w:left="660" w:firstLine="1940"/>
        <w:spacing w:after="0" w:line="247" w:lineRule="auto"/>
        <w:tabs>
          <w:tab w:leader="none" w:pos="3091"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fine, judgment, order, court approved settlement or other settlement (of any litigation) for the payment of money in excess of $5,000,000, affecting any Loan Party or any Subsidiary thereof;</w:t>
      </w:r>
    </w:p>
    <w:p>
      <w:pPr>
        <w:spacing w:after="0" w:line="150" w:lineRule="exact"/>
        <w:rPr>
          <w:rFonts w:ascii="Arial" w:cs="Arial" w:eastAsia="Arial" w:hAnsi="Arial"/>
          <w:sz w:val="21"/>
          <w:szCs w:val="21"/>
          <w:color w:val="auto"/>
        </w:rPr>
      </w:pPr>
    </w:p>
    <w:p>
      <w:pPr>
        <w:ind w:left="3120" w:hanging="520"/>
        <w:spacing w:after="0"/>
        <w:tabs>
          <w:tab w:leader="none" w:pos="312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[reserved];</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77" w:lineRule="exact"/>
        <w:rPr>
          <w:sz w:val="20"/>
          <w:szCs w:val="20"/>
          <w:color w:val="auto"/>
        </w:rPr>
      </w:pPr>
    </w:p>
    <w:p>
      <w:pPr>
        <w:ind w:left="4" w:firstLine="1940"/>
        <w:spacing w:after="0" w:line="232" w:lineRule="auto"/>
        <w:tabs>
          <w:tab w:leader="none" w:pos="261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all notices submitted or delivered to a Loan Party or any Subsidiary of a Loan Party by a regulatory agency when such notice could reasonably have a Material Adverse Effect;</w:t>
      </w:r>
    </w:p>
    <w:p>
      <w:pPr>
        <w:spacing w:after="0" w:line="158" w:lineRule="exact"/>
        <w:rPr>
          <w:rFonts w:ascii="Arial" w:cs="Arial" w:eastAsia="Arial" w:hAnsi="Arial"/>
          <w:sz w:val="22"/>
          <w:szCs w:val="22"/>
          <w:color w:val="auto"/>
        </w:rPr>
      </w:pPr>
    </w:p>
    <w:p>
      <w:pPr>
        <w:ind w:left="4" w:firstLine="1940"/>
        <w:spacing w:after="0" w:line="232" w:lineRule="auto"/>
        <w:tabs>
          <w:tab w:leader="none" w:pos="2609" w:val="left"/>
        </w:tabs>
        <w:numPr>
          <w:ilvl w:val="1"/>
          <w:numId w:val="158"/>
        </w:numPr>
        <w:rPr>
          <w:rFonts w:ascii="Arial" w:cs="Arial" w:eastAsia="Arial" w:hAnsi="Arial"/>
          <w:sz w:val="22"/>
          <w:szCs w:val="22"/>
          <w:color w:val="auto"/>
        </w:rPr>
      </w:pPr>
      <w:r>
        <w:rPr>
          <w:rFonts w:ascii="Arial" w:cs="Arial" w:eastAsia="Arial" w:hAnsi="Arial"/>
          <w:sz w:val="22"/>
          <w:szCs w:val="22"/>
          <w:color w:val="auto"/>
        </w:rPr>
        <w:t>any other development by or relating to a Loan Party or any Subsidiary of a Loan Party that results in, or could reasonably be expected to result in, a Material Adverse Effect; and</w:t>
      </w:r>
    </w:p>
    <w:p>
      <w:pPr>
        <w:spacing w:after="0" w:line="158" w:lineRule="exact"/>
        <w:rPr>
          <w:rFonts w:ascii="Arial" w:cs="Arial" w:eastAsia="Arial" w:hAnsi="Arial"/>
          <w:sz w:val="22"/>
          <w:szCs w:val="22"/>
          <w:color w:val="auto"/>
        </w:rPr>
      </w:pPr>
    </w:p>
    <w:p>
      <w:pPr>
        <w:ind w:left="4" w:firstLine="1940"/>
        <w:spacing w:after="0" w:line="232" w:lineRule="auto"/>
        <w:tabs>
          <w:tab w:leader="none" w:pos="2527" w:val="left"/>
        </w:tabs>
        <w:numPr>
          <w:ilvl w:val="1"/>
          <w:numId w:val="158"/>
        </w:numPr>
        <w:rPr>
          <w:rFonts w:ascii="Arial" w:cs="Arial" w:eastAsia="Arial" w:hAnsi="Arial"/>
          <w:sz w:val="22"/>
          <w:szCs w:val="22"/>
          <w:color w:val="auto"/>
        </w:rPr>
      </w:pPr>
      <w:r>
        <w:rPr>
          <w:rFonts w:ascii="Arial" w:cs="Arial" w:eastAsia="Arial" w:hAnsi="Arial"/>
          <w:sz w:val="22"/>
          <w:szCs w:val="22"/>
          <w:color w:val="auto"/>
        </w:rPr>
        <w:t>Product(s), the sale of which constituted more than 15% of Consolidated Total Net Sales as of the most recent Calculation Date, becoming Ineligible Product(s).</w:t>
      </w:r>
    </w:p>
    <w:p>
      <w:pPr>
        <w:spacing w:after="0" w:line="158" w:lineRule="exact"/>
        <w:rPr>
          <w:rFonts w:ascii="Arial" w:cs="Arial" w:eastAsia="Arial" w:hAnsi="Arial"/>
          <w:sz w:val="22"/>
          <w:szCs w:val="22"/>
          <w:color w:val="auto"/>
        </w:rPr>
      </w:pPr>
    </w:p>
    <w:p>
      <w:pPr>
        <w:jc w:val="both"/>
        <w:ind w:left="-656" w:firstLine="1952"/>
        <w:spacing w:after="0" w:line="218" w:lineRule="auto"/>
        <w:tabs>
          <w:tab w:leader="none" w:pos="1717"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Material Contracts</w:t>
      </w:r>
      <w:r>
        <w:rPr>
          <w:rFonts w:ascii="Arial" w:cs="Arial" w:eastAsia="Arial" w:hAnsi="Arial"/>
          <w:sz w:val="22"/>
          <w:szCs w:val="22"/>
          <w:color w:val="auto"/>
        </w:rPr>
        <w:t>. As soon as possible and in any event within five (5) Business Days after any Loan Party obtains knowledge of the occurrence of a breach or default or notice of termination by any party under, a statement of an Authorized Officer of the Borrower setting forth details of such breach or default or notice of termination and the actions taken or to be taken with respect thereto.</w:t>
      </w:r>
    </w:p>
    <w:p>
      <w:pPr>
        <w:spacing w:after="0" w:line="160" w:lineRule="exact"/>
        <w:rPr>
          <w:rFonts w:ascii="Arial" w:cs="Arial" w:eastAsia="Arial" w:hAnsi="Arial"/>
          <w:sz w:val="22"/>
          <w:szCs w:val="22"/>
          <w:color w:val="auto"/>
        </w:rPr>
      </w:pPr>
    </w:p>
    <w:p>
      <w:pPr>
        <w:ind w:left="1724" w:hanging="428"/>
        <w:spacing w:after="0"/>
        <w:tabs>
          <w:tab w:leader="none" w:pos="172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764" w:hanging="468"/>
        <w:spacing w:after="0"/>
        <w:tabs>
          <w:tab w:leader="none" w:pos="176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724" w:hanging="428"/>
        <w:spacing w:after="0"/>
        <w:tabs>
          <w:tab w:leader="none" w:pos="172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656" w:firstLine="1952"/>
        <w:spacing w:after="0" w:line="232" w:lineRule="auto"/>
        <w:tabs>
          <w:tab w:leader="none" w:pos="1854"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Insurance Report</w:t>
      </w:r>
      <w:r>
        <w:rPr>
          <w:rFonts w:ascii="Arial" w:cs="Arial" w:eastAsia="Arial" w:hAnsi="Arial"/>
          <w:sz w:val="22"/>
          <w:szCs w:val="22"/>
          <w:color w:val="auto"/>
        </w:rPr>
        <w:t>. Upon written request by the Administrative Agent, a current report of a reputable insurance broker with respect to insurance policies maintained by the Loan Parties.</w:t>
      </w:r>
    </w:p>
    <w:p>
      <w:pPr>
        <w:spacing w:after="0" w:line="158" w:lineRule="exact"/>
        <w:rPr>
          <w:rFonts w:ascii="Arial" w:cs="Arial" w:eastAsia="Arial" w:hAnsi="Arial"/>
          <w:sz w:val="22"/>
          <w:szCs w:val="22"/>
          <w:color w:val="auto"/>
        </w:rPr>
      </w:pPr>
    </w:p>
    <w:p>
      <w:pPr>
        <w:ind w:left="1764" w:hanging="468"/>
        <w:spacing w:after="0"/>
        <w:tabs>
          <w:tab w:leader="none" w:pos="176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left="-656" w:firstLine="1952"/>
        <w:spacing w:after="0" w:line="222" w:lineRule="auto"/>
        <w:tabs>
          <w:tab w:leader="none" w:pos="1770"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Other Information</w:t>
      </w:r>
      <w:r>
        <w:rPr>
          <w:rFonts w:ascii="Arial" w:cs="Arial" w:eastAsia="Arial" w:hAnsi="Arial"/>
          <w:sz w:val="21"/>
          <w:szCs w:val="21"/>
          <w:color w:val="auto"/>
        </w:rPr>
        <w:t xml:space="preserve">. Promptly, such other information (financial or otherwise) as any Agent on its own behalf or on behalf of any Lender may reasonably request in writing from time to time, including, without limitation, (x) such further schedules, documents and/or information regarding the Collateral as any Agent may on its own behalf or on behalf of any Lender may reasonably require and (y) any investigation or filed litigation involving any Loan Parties or their Subsidiaries. Notwithstanding anything to the contrary in this </w:t>
      </w:r>
      <w:r>
        <w:rPr>
          <w:rFonts w:ascii="Arial" w:cs="Arial" w:eastAsia="Arial" w:hAnsi="Arial"/>
          <w:sz w:val="21"/>
          <w:szCs w:val="21"/>
          <w:u w:val="single" w:color="auto"/>
          <w:color w:val="auto"/>
        </w:rPr>
        <w:t>Section 8.01(n)</w:t>
      </w:r>
      <w:r>
        <w:rPr>
          <w:rFonts w:ascii="Arial" w:cs="Arial" w:eastAsia="Arial" w:hAnsi="Arial"/>
          <w:sz w:val="21"/>
          <w:szCs w:val="21"/>
          <w:color w:val="auto"/>
        </w:rPr>
        <w:t>, none of the Loan Parties shall be required to disclose, permit the inspection, examination or making copies or abstracts of, or discussion of, any document, information or other matter that is subject to attorney-client privilege or constitutes attorney work product.</w:t>
      </w:r>
    </w:p>
    <w:p>
      <w:pPr>
        <w:spacing w:after="0" w:line="164" w:lineRule="exact"/>
        <w:rPr>
          <w:rFonts w:ascii="Arial" w:cs="Arial" w:eastAsia="Arial" w:hAnsi="Arial"/>
          <w:sz w:val="21"/>
          <w:szCs w:val="21"/>
          <w:color w:val="auto"/>
        </w:rPr>
      </w:pPr>
    </w:p>
    <w:p>
      <w:pPr>
        <w:jc w:val="both"/>
        <w:ind w:left="-656" w:firstLine="1952"/>
        <w:spacing w:after="0" w:line="249" w:lineRule="auto"/>
        <w:tabs>
          <w:tab w:leader="none" w:pos="182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It is acknowledged and agreed that statements, reports, notices and other documents required to be delivered pursuant to Sections 8.01(b), 8.01(c) and 8.01(h)(iii) (to the extent any such statements, reports, notices and other documents are included in materials otherwise filed with the SEC) may be delivered electronically and if so delivered, shall be deemed to have been delivered on the date on which such documents are (i) posted on the Loan Parties’ behalf on an Internet or intranet website, if any, to which each Lender and the Agents have access (whether a commercial, third-party website or whether sponsored by any Agent); or (ii) available on the SEC’s website on the Internet at www.sec.gov.</w:t>
      </w:r>
    </w:p>
    <w:p>
      <w:pPr>
        <w:spacing w:after="0" w:line="152"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Books, Records and Inspections</w:t>
      </w:r>
    </w:p>
    <w:p>
      <w:pPr>
        <w:spacing w:after="0" w:line="179" w:lineRule="exact"/>
        <w:rPr>
          <w:sz w:val="20"/>
          <w:szCs w:val="20"/>
          <w:color w:val="auto"/>
        </w:rPr>
      </w:pPr>
    </w:p>
    <w:p>
      <w:pPr>
        <w:jc w:val="both"/>
        <w:ind w:left="-656" w:firstLine="656"/>
        <w:spacing w:after="0" w:line="223" w:lineRule="auto"/>
        <w:tabs>
          <w:tab w:leader="none" w:pos="12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Loan Parties shall, and shall cause each of their respective Subsidiaries to, maintain proper books of record and account, in which entries that are complete, true and correct in all material respects shall be made of all material financial transactions and matters involving the</w:t>
      </w:r>
    </w:p>
    <w:p>
      <w:pPr>
        <w:sectPr>
          <w:pgSz w:w="11900" w:h="16838" w:orient="portrait"/>
          <w:cols w:equalWidth="0" w:num="1">
            <w:col w:w="10584"/>
          </w:cols>
          <w:pgMar w:left="976" w:top="1440" w:right="339" w:bottom="1440" w:gutter="0" w:footer="0" w:header="0"/>
        </w:sectPr>
      </w:pPr>
    </w:p>
    <w:bookmarkStart w:id="149" w:name="page150"/>
    <w:bookmarkEnd w:id="149"/>
    <w:p>
      <w:pPr>
        <w:jc w:val="both"/>
        <w:spacing w:after="0" w:line="242" w:lineRule="auto"/>
        <w:rPr>
          <w:sz w:val="20"/>
          <w:szCs w:val="20"/>
          <w:color w:val="auto"/>
        </w:rPr>
      </w:pPr>
      <w:r>
        <w:rPr>
          <w:rFonts w:ascii="Arial" w:cs="Arial" w:eastAsia="Arial" w:hAnsi="Arial"/>
          <w:sz w:val="19"/>
          <w:szCs w:val="19"/>
          <w:color w:val="auto"/>
        </w:rPr>
        <w:t xml:space="preserve">assets and business of the Loan Parties or such Subsidiary, in each case, which shall be in conformity with GAAP, consistently applied. The Loan Parties shall, and shall cause each of their respective Subsidiaries to, permit the Administrative Agent and its representatives and independent contractors, upon reasonable advance notice to the Loan Parties,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Loan Parties and at reasonable times during normal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 Event of Default has occurred and is continuing, the Administrative Agent shall not conduct and the Loan Parties shall not be required to reimburse the Administrative Agent for, more than one (1) such inspections in any calendar year. Any information obtained by the Administrative Agent pursuant to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may be shared with the Collateral Agent or any Lender upon such Person’s request. The Administrative Agent shall give the Loan Parties the opportunity to participate in any discussions with the Loan Parties’ independent public accountants. Notwithstanding anything to the contrary in this </w:t>
      </w:r>
      <w:r>
        <w:rPr>
          <w:rFonts w:ascii="Arial" w:cs="Arial" w:eastAsia="Arial" w:hAnsi="Arial"/>
          <w:sz w:val="19"/>
          <w:szCs w:val="19"/>
          <w:u w:val="single" w:color="auto"/>
          <w:color w:val="auto"/>
        </w:rPr>
        <w:t>Section 8.02</w:t>
      </w:r>
      <w:r>
        <w:rPr>
          <w:rFonts w:ascii="Arial" w:cs="Arial" w:eastAsia="Arial" w:hAnsi="Arial"/>
          <w:sz w:val="19"/>
          <w:szCs w:val="19"/>
          <w:color w:val="auto"/>
        </w:rPr>
        <w:t>, none of the Loan Parties will be required to disclose, permit the inspection, examination or making copies or abstracts of, or discussion of, any document, information or other matter that is subject to attorney-client or similar privilege or constitutes attorney work product.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Maintenance of Insurance</w:t>
      </w:r>
    </w:p>
    <w:p>
      <w:pPr>
        <w:spacing w:after="0" w:line="179" w:lineRule="exact"/>
        <w:rPr>
          <w:sz w:val="20"/>
          <w:szCs w:val="20"/>
          <w:color w:val="auto"/>
        </w:rPr>
      </w:pPr>
    </w:p>
    <w:p>
      <w:pPr>
        <w:jc w:val="both"/>
        <w:ind w:firstLine="656"/>
        <w:spacing w:after="0" w:line="239" w:lineRule="auto"/>
        <w:tabs>
          <w:tab w:leader="none" w:pos="772"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Loan Parties shall, and shall cause each of their respective Subsidiaries to, maintain in full force and effect at all times (including by paying all applicable premiums), with insurance companies reputable and that the Loan Parties reasonably believe to be financially sound at the time the relevant coverage is placed or renewed, insurance in at least such amounts and against at least such risks (and with such risk retentions) as reasonably determined by the Loan Parties in the exercise of reasonable business judgment, and in any case insuring against casualty and general liability insurance. The Loan Parties shall furnish to the Collateral Agent for further delivery to the Lenders, upon written request from the Collateral Agent, information presented in reasonable detail as to all such insurance so carried, and in any case including, without limitation, (i) endorsements to (x) all “All Risk” policies (including, without limitation, business interruption policies to the extent maintained by any Loan Party from time to time) naming the Collateral Agent, on behalf of the Secured Parties, as loss payee, and (y) all general liability policies naming the Agents, the Lenders and the other Secured Parties as additional insureds, and (ii) legends providing that no cancellation, material reduction in amount or material change in insurance coverage thereof shall be effective until at least thirty</w:t>
      </w:r>
    </w:p>
    <w:p>
      <w:pPr>
        <w:ind w:left="420" w:hanging="412"/>
        <w:spacing w:after="0"/>
        <w:tabs>
          <w:tab w:leader="none" w:pos="4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days (ten (10) days with respect to failing to pay premiums) after receipt by the Collateral Agent of written notice thereof.</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u w:val="single" w:color="auto"/>
          <w:color w:val="auto"/>
        </w:rPr>
        <w:t>Payment of Taxes and Liabilities</w:t>
      </w:r>
    </w:p>
    <w:p>
      <w:pPr>
        <w:spacing w:after="0" w:line="179" w:lineRule="exact"/>
        <w:rPr>
          <w:sz w:val="20"/>
          <w:szCs w:val="20"/>
          <w:color w:val="auto"/>
        </w:rPr>
      </w:pPr>
    </w:p>
    <w:p>
      <w:pPr>
        <w:jc w:val="both"/>
        <w:ind w:firstLine="656"/>
        <w:spacing w:after="0" w:line="246" w:lineRule="auto"/>
        <w:tabs>
          <w:tab w:leader="none" w:pos="765"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Each Loan Party shall pay and discharge, and shall cause each of its Subsidiaries to pay and discharge, all federal, state and local income and other material Taxes, assessments, governmental charges, levies imposed upon it or upon its income or profits, or upon any properties belonging to it, prior to the date on which penalties attach thereto, all lawful claims respecting the foregoing that, if unpaid, could reasonably be expected to become a Lien upon any properties of the Loan Parties or any of their respective Subsidiaries and all other liabilities and obligations of such Loan Party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Party or any of its Subsidiaries shall be required to pay any such Tax, assessment, charge, levy or claim that is being contested in good faith and by proper proceedings in accordance with </w:t>
      </w:r>
      <w:r>
        <w:rPr>
          <w:rFonts w:ascii="Arial" w:cs="Arial" w:eastAsia="Arial" w:hAnsi="Arial"/>
          <w:sz w:val="19"/>
          <w:szCs w:val="19"/>
          <w:u w:val="single" w:color="auto"/>
          <w:color w:val="auto"/>
        </w:rPr>
        <w:t>Section 9.02(i)</w:t>
      </w:r>
      <w:r>
        <w:rPr>
          <w:rFonts w:ascii="Arial" w:cs="Arial" w:eastAsia="Arial" w:hAnsi="Arial"/>
          <w:sz w:val="19"/>
          <w:szCs w:val="19"/>
          <w:color w:val="auto"/>
        </w:rPr>
        <w:t xml:space="preserve"> and as to which such Loan Party has maintained adequate reserves with respect thereto in conformity with GAAP consistently applied.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u w:val="single" w:color="auto"/>
          <w:color w:val="auto"/>
        </w:rPr>
        <w:t>Maintenance of Existence; Compliance with Laws, etc.</w:t>
      </w:r>
    </w:p>
    <w:p>
      <w:pPr>
        <w:sectPr>
          <w:pgSz w:w="11900" w:h="16838" w:orient="portrait"/>
          <w:cols w:equalWidth="0" w:num="1">
            <w:col w:w="11240"/>
          </w:cols>
          <w:pgMar w:left="320" w:top="1401" w:right="339" w:bottom="1440" w:gutter="0" w:footer="0" w:header="0"/>
        </w:sectPr>
      </w:pPr>
    </w:p>
    <w:bookmarkStart w:id="150" w:name="page151"/>
    <w:bookmarkEnd w:id="150"/>
    <w:p>
      <w:pPr>
        <w:jc w:val="both"/>
        <w:ind w:firstLine="648"/>
        <w:spacing w:after="0" w:line="242" w:lineRule="auto"/>
        <w:rPr>
          <w:sz w:val="20"/>
          <w:szCs w:val="20"/>
          <w:color w:val="auto"/>
        </w:rPr>
      </w:pPr>
      <w:r>
        <w:rPr>
          <w:rFonts w:ascii="Arial" w:cs="Arial" w:eastAsia="Arial" w:hAnsi="Arial"/>
          <w:sz w:val="19"/>
          <w:szCs w:val="19"/>
          <w:color w:val="auto"/>
        </w:rPr>
        <w:t>Each Loan Party shall, and shall cause its Subsidiaries to, (a) except in a transaction permitted by Section 9.03, preserve and maintain in full force and effect its legal existence except, in the case of any Subsidiary that is not a Loan Party, where failure to do so would not reasonably be expected to result in a Material Adverse Effect, (b) preserve and maintain its good standing under the laws of its state or jurisdiction of incorporation, organization or formation; and preserve and maintain its good standing under the laws of each other state or jurisdiction where such Person is qualified, or is required to be so qualified, to do business as a foreign entity, except to the extent that failure to do so could not reasonably be expected to have a Material Adverse Effect, (c) comply in all material respects with all Applicable Laws, rules, regulations and orders material to the Business, (d) do or cause to be done all things reasonably necessary to preserve, renew and keep in full force and effect the rights, licenses, permits, privileges, franchises, and IP Rights unless the failure to preserve, renew and keep in full force and effect such rights, licenses, permits, privileges, franchises or IP Rights neither affects any Key IP nor could not reasonably be expected to have a Material Adverse Effect, and (e) comply with all laws, rules, regulations and orders of any Governmental Authority applicable to it or its property, in each case under this Section 8.05 except where the failure to do so, individually or in the aggregate, could not reasonably be expected to result in a Material Adverse Effect.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u w:val="single" w:color="auto"/>
          <w:color w:val="auto"/>
        </w:rPr>
        <w:t>Environmental Compliance</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12" w:lineRule="auto"/>
        <w:tabs>
          <w:tab w:leader="none" w:pos="257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Each Loan Party shall, and shall cause its Subsidiaries to, use and operate all of its and their businesses, facilities and properties in compliance with all Environmental Laws, including (i) keeping all necessary permits, approvals, certificates, licenses and other authorizations relating to environmental matters in effect and remaining in material compliance therewith, (ii) using, handling, managing, generating, treating, storing, transporting and disposing of all Hazardous Materials in material compliance with all applicable Environmental Laws, and (iii) keeping its and their property free of any Lien imposed by any Environmental Law, except in each case where the failure to do so could not reasonably be expected to have a Material Adverse Effect.</w:t>
      </w:r>
    </w:p>
    <w:p>
      <w:pPr>
        <w:spacing w:after="0" w:line="163" w:lineRule="exact"/>
        <w:rPr>
          <w:rFonts w:ascii="Arial" w:cs="Arial" w:eastAsia="Arial" w:hAnsi="Arial"/>
          <w:sz w:val="22"/>
          <w:szCs w:val="22"/>
          <w:color w:val="auto"/>
        </w:rPr>
      </w:pPr>
    </w:p>
    <w:p>
      <w:pPr>
        <w:jc w:val="both"/>
        <w:ind w:firstLine="1952"/>
        <w:spacing w:after="0" w:line="210" w:lineRule="auto"/>
        <w:tabs>
          <w:tab w:leader="none" w:pos="257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Borrower shall promptly give notice to the Administrative Agent upon any Loan Party or Subsidiary thereof becoming aware of (i) any material violation by any Loan Party or any of its Subsidiaries of any Environmental Law, (ii) any Environmental Claim against any Loan Party under any Environmental Law, including without limitation a written request for information or a written notice of violation or potential environmental liability from any foreign, federal, state or local environmental agency or board or any other Governmental Authority or Person, or (iii) the discovery of a Release or threat of a Release in, at, on, under, to or from any of the Real Property of any Loan Party or any facility or assets therein in excess of reportable or allowable standards or levels under any Environmental Law, or under circumstances, or in a manner or amount which could reasonably be expected to require responsive, corrective, investigative, remedial, monitoring, cleanup or other corrective action under any Environmental Law, which in each case could reasonably be expected to have a Material Adverse Effect.</w:t>
      </w:r>
    </w:p>
    <w:p>
      <w:pPr>
        <w:spacing w:after="0" w:line="162" w:lineRule="exact"/>
        <w:rPr>
          <w:rFonts w:ascii="Arial" w:cs="Arial" w:eastAsia="Arial" w:hAnsi="Arial"/>
          <w:sz w:val="22"/>
          <w:szCs w:val="22"/>
          <w:color w:val="auto"/>
        </w:rPr>
      </w:pPr>
    </w:p>
    <w:p>
      <w:pPr>
        <w:jc w:val="both"/>
        <w:ind w:firstLine="1952"/>
        <w:spacing w:after="0" w:line="249" w:lineRule="auto"/>
        <w:tabs>
          <w:tab w:leader="none" w:pos="258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In the event of a (i) material violation of any Environmental Law, or (ii) the Release of any Hazardous Material in, at, on, under, to or from any Real Property of any Loan Party in amounts which require reporting, corrective measures, investigative, remedial, monitoring, cleanup or other action under any Environmental Law, which in each case is reasonably likely to subject any Loan Party to material liability under any Environmental Law, each Loan Party and its respective Subsidiaries, upon discovery thereof, shall take all steps required by Environmental Laws to correct such violation or address such Release and shall keep the Administrative Agent informed on a regular basis of their actions and the results of such</w:t>
      </w:r>
    </w:p>
    <w:p>
      <w:pPr>
        <w:sectPr>
          <w:pgSz w:w="11900" w:h="16838" w:orient="portrait"/>
          <w:cols w:equalWidth="0" w:num="1">
            <w:col w:w="11240"/>
          </w:cols>
          <w:pgMar w:left="320" w:top="1401" w:right="339" w:bottom="1440" w:gutter="0" w:footer="0" w:header="0"/>
        </w:sectPr>
      </w:pPr>
    </w:p>
    <w:bookmarkStart w:id="151" w:name="page152"/>
    <w:bookmarkEnd w:id="151"/>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actions, including providing to the Administrative Agent copies of material submissions to any Governmental Authority and relating to such correction of such violation and the address of such release.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u w:val="single" w:color="auto"/>
          <w:color w:val="auto"/>
        </w:rPr>
        <w:t>ERISA</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7" w:lineRule="auto"/>
        <w:tabs>
          <w:tab w:leader="none" w:pos="248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As soon as possible and, in any event, within ten (10) Business Days after any Loan Party or any ERISA Affiliate knows or has reason to know of the occurrence or expected occurrence of any ERISA Event that is reasonably expected to result in material liability to any Loan Party or any ERISA Affiliate, the Borrower shall deliver to the Agents and each Lender a certificate of an Authorized Officer of the Borrower setting forth the full details as to such occurrence and the action, if any, that such Loan Party or such ERISA Affiliate has taken and is required or proposes to take, together with any notices (required, proposed or otherwise) given to or filed with or by such Loan Party, such ERISA Affiliate, the PBGC, a Plan participant (other than notices relating to an individual participant’s benefits) or the Plan administrator with respect thereto; and</w:t>
      </w:r>
    </w:p>
    <w:p>
      <w:pPr>
        <w:spacing w:after="0" w:line="153" w:lineRule="exact"/>
        <w:rPr>
          <w:rFonts w:ascii="Arial" w:cs="Arial" w:eastAsia="Arial" w:hAnsi="Arial"/>
          <w:sz w:val="19"/>
          <w:szCs w:val="19"/>
          <w:color w:val="auto"/>
        </w:rPr>
      </w:pPr>
    </w:p>
    <w:p>
      <w:pPr>
        <w:jc w:val="both"/>
        <w:ind w:firstLine="1952"/>
        <w:spacing w:after="0" w:line="222" w:lineRule="auto"/>
        <w:tabs>
          <w:tab w:leader="none" w:pos="2491" w:val="left"/>
        </w:tabs>
        <w:numPr>
          <w:ilvl w:val="0"/>
          <w:numId w:val="164"/>
        </w:numPr>
        <w:rPr>
          <w:rFonts w:ascii="Arial" w:cs="Arial" w:eastAsia="Arial" w:hAnsi="Arial"/>
          <w:sz w:val="21"/>
          <w:szCs w:val="21"/>
          <w:color w:val="auto"/>
        </w:rPr>
      </w:pPr>
      <w:r>
        <w:rPr>
          <w:rFonts w:ascii="Arial" w:cs="Arial" w:eastAsia="Arial" w:hAnsi="Arial"/>
          <w:sz w:val="21"/>
          <w:szCs w:val="21"/>
          <w:color w:val="auto"/>
        </w:rPr>
        <w:t xml:space="preserve">Promptly following any reasonable request therefor, copies of any documents described in Section 101(k) of ERISA that any Loan Party or any ERISA Affiliate may request with respect to any Multiemployer Plan and any notices described in Section 101(l) of ERISA that any Loan Party or any ERISA Affiliate may request with respect to any Multiemployer Plan; </w:t>
      </w:r>
      <w:r>
        <w:rPr>
          <w:rFonts w:ascii="Arial" w:cs="Arial" w:eastAsia="Arial" w:hAnsi="Arial"/>
          <w:sz w:val="21"/>
          <w:szCs w:val="21"/>
          <w:u w:val="single" w:color="auto"/>
          <w:color w:val="auto"/>
        </w:rPr>
        <w:t>provided</w:t>
      </w:r>
      <w:r>
        <w:rPr>
          <w:rFonts w:ascii="Arial" w:cs="Arial" w:eastAsia="Arial" w:hAnsi="Arial"/>
          <w:sz w:val="21"/>
          <w:szCs w:val="21"/>
          <w:color w:val="auto"/>
        </w:rPr>
        <w:t>, that if any Loan Party or any ERISA Affiliate has not requested such documents or notices from the administrator or sponsor of the applicable Plan, the applicable Loan Party or the ERISA Affiliate(s) shall promptly make a request for such documents or notices from such administrator or sponsor and shall provide copies of such documents and notices promptly after receipt thereof.</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9"/>
          <w:szCs w:val="19"/>
          <w:u w:val="single" w:color="auto"/>
          <w:color w:val="auto"/>
        </w:rPr>
        <w:t>Maintenance of Properties</w:t>
      </w:r>
    </w:p>
    <w:p>
      <w:pPr>
        <w:spacing w:after="0" w:line="179" w:lineRule="exact"/>
        <w:rPr>
          <w:sz w:val="20"/>
          <w:szCs w:val="20"/>
          <w:color w:val="auto"/>
        </w:rPr>
      </w:pPr>
    </w:p>
    <w:p>
      <w:pPr>
        <w:jc w:val="both"/>
        <w:ind w:firstLine="656"/>
        <w:spacing w:after="0" w:line="244" w:lineRule="auto"/>
        <w:tabs>
          <w:tab w:leader="none" w:pos="78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Each Loan Party shall, and shall cause its Subsidiaries to, (i) maintain, preserve, protect and keep its Real Property, properties and assets in good repair, working order and condition (ordinary wear and tear and casualty and condemnation excepted, and subject to dispositions permitted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(ii) make necessary repairs, renewals and replacements thereof, (iii) maintain and renew as necessary all material leases, licenses, permits and other clearances necessary to use and occupy such properties and assets, in each case so that the business carried on by such Person may be properly conducted in all material respects at all times consistent with the manner in which business is conducted as of the Closing Date or such changes thereto as reasonably determined by the Loan Parties in their good faith business judgment from time to time, and (iv) continue to conduct at all times its business consistent with the manner in which business is conducted as of the Closing Date or such changes thereto as reasonably determined by the Loan Parties in their good faith business judgment from time to time, except in each case, to the extent that the failure to do so could not reasonably be expected to have a Material Adverse Effect.</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9"/>
          <w:szCs w:val="19"/>
          <w:u w:val="single" w:color="auto"/>
          <w:color w:val="auto"/>
        </w:rPr>
        <w:t>Additional Collateral, Guarantors and Grantors</w:t>
      </w:r>
    </w:p>
    <w:p>
      <w:pPr>
        <w:spacing w:after="0" w:line="179" w:lineRule="exact"/>
        <w:rPr>
          <w:sz w:val="20"/>
          <w:szCs w:val="20"/>
          <w:color w:val="auto"/>
        </w:rPr>
      </w:pPr>
    </w:p>
    <w:p>
      <w:pPr>
        <w:ind w:firstLine="656"/>
        <w:spacing w:after="0" w:line="232" w:lineRule="auto"/>
        <w:tabs>
          <w:tab w:leader="none" w:pos="75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The Loan Parties shall, upon the formation (including by division), purchase or acquisition thereof, promptly (and in any event no later than </w:t>
      </w:r>
      <w:r>
        <w:rPr>
          <w:rFonts w:ascii="Arial" w:cs="Arial" w:eastAsia="Arial" w:hAnsi="Arial"/>
          <w:sz w:val="22"/>
          <w:szCs w:val="22"/>
          <w:u w:val="single" w:color="auto"/>
          <w:color w:val="0000FF"/>
        </w:rPr>
        <w:t>(x)</w:t>
      </w:r>
      <w:r>
        <w:rPr>
          <w:rFonts w:ascii="Arial" w:cs="Arial" w:eastAsia="Arial" w:hAnsi="Arial"/>
          <w:sz w:val="22"/>
          <w:szCs w:val="22"/>
          <w:color w:val="auto"/>
        </w:rPr>
        <w:t xml:space="preserve"> fifteen (15) days (or such longer</w:t>
      </w:r>
    </w:p>
    <w:p>
      <w:pPr>
        <w:sectPr>
          <w:pgSz w:w="11900" w:h="16838" w:orient="portrait"/>
          <w:cols w:equalWidth="0" w:num="1">
            <w:col w:w="11240"/>
          </w:cols>
          <w:pgMar w:left="320" w:top="1440" w:right="339" w:bottom="1440" w:gutter="0" w:footer="0" w:header="0"/>
        </w:sectPr>
      </w:pPr>
    </w:p>
    <w:bookmarkStart w:id="152" w:name="page153"/>
    <w:bookmarkEnd w:id="152"/>
    <w:p>
      <w:pPr>
        <w:jc w:val="both"/>
        <w:spacing w:after="0"/>
        <w:rPr>
          <w:sz w:val="20"/>
          <w:szCs w:val="20"/>
          <w:color w:val="auto"/>
        </w:rPr>
      </w:pPr>
      <w:r>
        <w:rPr>
          <w:rFonts w:ascii="Arial" w:cs="Arial" w:eastAsia="Arial" w:hAnsi="Arial"/>
          <w:sz w:val="19"/>
          <w:szCs w:val="19"/>
          <w:color w:val="auto"/>
        </w:rPr>
        <w:t xml:space="preserve">date as may be reasonably agreed by the Administrative Agent) after the formation, purchase or acquisition, as applicable, thereof </w:t>
      </w:r>
      <w:r>
        <w:rPr>
          <w:rFonts w:ascii="Arial" w:cs="Arial" w:eastAsia="Arial" w:hAnsi="Arial"/>
          <w:sz w:val="19"/>
          <w:szCs w:val="19"/>
          <w:u w:val="single" w:color="auto"/>
          <w:color w:val="0000FF"/>
        </w:rPr>
        <w:t>(with any Excluded Subsidiary ceasing to be an Excluded Subsidiary being deemed to constitute the acquisition of such Subsidiary for purposes of this Section 8.10)</w:t>
      </w:r>
      <w:r>
        <w:rPr>
          <w:rFonts w:ascii="Arial" w:cs="Arial" w:eastAsia="Arial" w:hAnsi="Arial"/>
          <w:sz w:val="19"/>
          <w:szCs w:val="19"/>
          <w:color w:val="0000FF"/>
        </w:rPr>
        <w:t xml:space="preserve"> </w:t>
      </w:r>
      <w:r>
        <w:rPr>
          <w:rFonts w:ascii="Arial" w:cs="Arial" w:eastAsia="Arial" w:hAnsi="Arial"/>
          <w:sz w:val="19"/>
          <w:szCs w:val="19"/>
          <w:color w:val="000000"/>
        </w:rPr>
        <w:t>cause any direct or indirect Subsidiary formed or otherwise purchased or acquired</w:t>
      </w:r>
      <w:r>
        <w:rPr>
          <w:rFonts w:ascii="Arial" w:cs="Arial" w:eastAsia="Arial" w:hAnsi="Arial"/>
          <w:sz w:val="19"/>
          <w:szCs w:val="19"/>
          <w:color w:val="0000FF"/>
        </w:rPr>
        <w:t xml:space="preserve"> </w:t>
      </w:r>
      <w:r>
        <w:rPr>
          <w:rFonts w:ascii="Arial" w:cs="Arial" w:eastAsia="Arial" w:hAnsi="Arial"/>
          <w:sz w:val="19"/>
          <w:szCs w:val="19"/>
          <w:color w:val="000000"/>
        </w:rPr>
        <w:t>after the Closing Date (other than an Excluded Subsidiary</w:t>
      </w:r>
      <w:r>
        <w:rPr>
          <w:rFonts w:ascii="Arial" w:cs="Arial" w:eastAsia="Arial" w:hAnsi="Arial"/>
          <w:sz w:val="19"/>
          <w:szCs w:val="19"/>
          <w:u w:val="single" w:color="auto"/>
          <w:color w:val="0000FF"/>
        </w:rPr>
        <w:t>) or (y) with respect to MiMedx Supply LLC, a Delaware limited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liability company (“MidMedx Supply”), ninety (90) days (or such longer date as may be reasonably agreed by the Administrative Agent) after the Amendment No. 2 Effective Date</w:t>
      </w:r>
      <w:r>
        <w:rPr>
          <w:rFonts w:ascii="Arial" w:cs="Arial" w:eastAsia="Arial" w:hAnsi="Arial"/>
          <w:sz w:val="19"/>
          <w:szCs w:val="19"/>
          <w:color w:val="000000"/>
        </w:rPr>
        <w:t>) to (i) execute a supplement to the Guaranty and Security Agreement in the</w:t>
      </w:r>
      <w:r>
        <w:rPr>
          <w:rFonts w:ascii="Arial" w:cs="Arial" w:eastAsia="Arial" w:hAnsi="Arial"/>
          <w:sz w:val="19"/>
          <w:szCs w:val="19"/>
          <w:color w:val="0000FF"/>
        </w:rPr>
        <w:t xml:space="preserve"> </w:t>
      </w:r>
      <w:r>
        <w:rPr>
          <w:rFonts w:ascii="Arial" w:cs="Arial" w:eastAsia="Arial" w:hAnsi="Arial"/>
          <w:sz w:val="19"/>
          <w:szCs w:val="19"/>
          <w:color w:val="000000"/>
        </w:rPr>
        <w:t>form of Annex I to the Guaranty and Security Agreement or otherwise in form and substance satisfactory to the Collateral Agent,</w:t>
      </w:r>
    </w:p>
    <w:p>
      <w:pPr>
        <w:spacing w:after="0" w:line="1" w:lineRule="exact"/>
        <w:rPr>
          <w:sz w:val="20"/>
          <w:szCs w:val="20"/>
          <w:color w:val="auto"/>
        </w:rPr>
      </w:pPr>
    </w:p>
    <w:p>
      <w:pPr>
        <w:jc w:val="both"/>
        <w:ind w:firstLine="8"/>
        <w:spacing w:after="0"/>
        <w:tabs>
          <w:tab w:leader="none" w:pos="32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execute a joinder to this Loan Agreement, whereby such Subsidiary becomes a Loan Party hereunder, (iii) obtain all consents and approvals required to be obtained by it in connection with the execution and delivery of the aforementioned joinder and the Security Documents and the performance of its obligations hereunder and thereunder and the granting by it of the Liens thereunder</w:t>
      </w:r>
      <w:r>
        <w:rPr>
          <w:rFonts w:ascii="Arial" w:cs="Arial" w:eastAsia="Arial" w:hAnsi="Arial"/>
          <w:sz w:val="19"/>
          <w:szCs w:val="19"/>
          <w:u w:val="single" w:color="auto"/>
          <w:color w:val="FF0000"/>
          <w:strike w:val="1"/>
        </w:rPr>
        <w:t>, and</w:t>
      </w:r>
      <w:r>
        <w:rPr>
          <w:rFonts w:ascii="Arial" w:cs="Arial" w:eastAsia="Arial" w:hAnsi="Arial"/>
          <w:sz w:val="19"/>
          <w:szCs w:val="19"/>
          <w:color w:val="auto"/>
        </w:rPr>
        <w:t xml:space="preserve"> (iv) cause its assets to be subject to a first priority perfected Lien (subject only to Permitted Liens) in favor of the Collateral Agent for the benefit of the Secured Parties and take such actions as shall be necessary or reasonably requested by the Collateral Agent to grant and perfect or record such first priority Lien </w:t>
      </w:r>
      <w:r>
        <w:rPr>
          <w:rFonts w:ascii="Arial" w:cs="Arial" w:eastAsia="Arial" w:hAnsi="Arial"/>
          <w:sz w:val="19"/>
          <w:szCs w:val="19"/>
          <w:color w:val="0000FF"/>
        </w:rPr>
        <w:t>and (v) in the case of any Subsidiary formed in 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jurisdiction other than the United States (or any state thereof), (1) execute and deliver any local law security and guaranty agreements requested by the Collateral Agent that are necessary or convenient to the guarantee of the Secured Obligations and/or the creation of a first priority perfected Lien (subject only to Permitted Liens) over the assets of such Subsidiary in favor of the Collateral Agent for the benefit of the Secured Parties, and (2) cause the holders of the Capital Stock of such Subsidiary to execute and deliver any local law share pledges requested by the Collateral Agent that are necessary or convenient to the creation of a first priority perfected Lien (subject only to Permitted Liens) over such Capital Stock</w:t>
      </w:r>
      <w:r>
        <w:rPr>
          <w:rFonts w:ascii="Arial" w:cs="Arial" w:eastAsia="Arial" w:hAnsi="Arial"/>
          <w:sz w:val="19"/>
          <w:szCs w:val="19"/>
          <w:color w:val="000000"/>
        </w:rPr>
        <w:t>. Not later than fifteen (15) days (or</w:t>
      </w:r>
      <w:r>
        <w:rPr>
          <w:rFonts w:ascii="Arial" w:cs="Arial" w:eastAsia="Arial" w:hAnsi="Arial"/>
          <w:sz w:val="19"/>
          <w:szCs w:val="19"/>
          <w:color w:val="0000FF"/>
        </w:rPr>
        <w:t xml:space="preserve"> </w:t>
      </w:r>
      <w:r>
        <w:rPr>
          <w:rFonts w:ascii="Arial" w:cs="Arial" w:eastAsia="Arial" w:hAnsi="Arial"/>
          <w:sz w:val="19"/>
          <w:szCs w:val="19"/>
          <w:color w:val="000000"/>
        </w:rPr>
        <w:t>such longer date as may be reasonably agreed by the Administrative Agent) after the acquisition by any Loan Party of any asset that is required to be provided as Collateral pursuant to this Loan Agreement or any Security Document, which asset would not automatically be subject to the Collateral Agent’s first priority perfected Lien pursuant to pre-existing Security Documents, the applicable Loan Party shall cause such asset to be subject to a first priority perfected Lien (subject only to Permitted Liens that, pursuant to the terms of this Loan Agreement, are permitted to have priority over the Collateral Agent’s Liens thereon) in favor of the Collateral Agent for the benefit of the Secured Parties and take such actions as shall be necessary or reasonably requested by the Collateral Agent to grant and perfect or record such first priority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-1680210</wp:posOffset>
            </wp:positionV>
            <wp:extent cx="30143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014345" cy="8255"/>
                    </a:xfrm>
                    <a:prstGeom prst="rect">
                      <a:avLst/>
                    </a:prstGeom>
                    <a:noFill/>
                  </pic:spPr>
                </pic:pic>
              </a:graphicData>
            </a:graphic>
          </wp:anchor>
        </w:drawing>
      </w:r>
    </w:p>
    <w:p>
      <w:pPr>
        <w:spacing w:after="0" w:line="34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8.11</w:t>
      </w:r>
      <w:r>
        <w:rPr>
          <w:sz w:val="20"/>
          <w:szCs w:val="20"/>
          <w:color w:val="auto"/>
        </w:rPr>
        <w:tab/>
      </w:r>
      <w:r>
        <w:rPr>
          <w:rFonts w:ascii="Arial" w:cs="Arial" w:eastAsia="Arial" w:hAnsi="Arial"/>
          <w:sz w:val="19"/>
          <w:szCs w:val="19"/>
          <w:u w:val="single" w:color="auto"/>
          <w:color w:val="auto"/>
        </w:rPr>
        <w:t>Pledges of Additional Stock and Indebtedness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The Loan Parties shall promptly grant (and in any event no later than </w:t>
      </w:r>
      <w:r>
        <w:rPr>
          <w:rFonts w:ascii="Arial" w:cs="Arial" w:eastAsia="Arial" w:hAnsi="Arial"/>
          <w:sz w:val="19"/>
          <w:szCs w:val="19"/>
          <w:u w:val="single" w:color="auto"/>
          <w:color w:val="0000FF"/>
        </w:rPr>
        <w:t>(x)</w:t>
      </w:r>
      <w:r>
        <w:rPr>
          <w:rFonts w:ascii="Arial" w:cs="Arial" w:eastAsia="Arial" w:hAnsi="Arial"/>
          <w:sz w:val="19"/>
          <w:szCs w:val="19"/>
          <w:color w:val="auto"/>
        </w:rPr>
        <w:t xml:space="preserve"> fifteen (15) days (or such longer date as may be reasonably agreed by the Administrative Agent) after the formation, purchase or acquisition, as applicable, thereof </w:t>
      </w:r>
      <w:r>
        <w:rPr>
          <w:rFonts w:ascii="Arial" w:cs="Arial" w:eastAsia="Arial" w:hAnsi="Arial"/>
          <w:sz w:val="19"/>
          <w:szCs w:val="19"/>
          <w:color w:val="0000FF"/>
        </w:rPr>
        <w:t>or (y) with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respect to MiMedx Supply, ninety (90) days (or such longer date as may be reasonably agreed by the Administrative Agent) after the Amendment No. 2 Effective Date</w:t>
      </w:r>
      <w:r>
        <w:rPr>
          <w:rFonts w:ascii="Arial" w:cs="Arial" w:eastAsia="Arial" w:hAnsi="Arial"/>
          <w:sz w:val="19"/>
          <w:szCs w:val="19"/>
          <w:color w:val="000000"/>
        </w:rPr>
        <w:t>) a perfected (established by “control” (as defined in, and for purposes of, the UCC)), first</w:t>
      </w:r>
      <w:r>
        <w:rPr>
          <w:rFonts w:ascii="Arial" w:cs="Arial" w:eastAsia="Arial" w:hAnsi="Arial"/>
          <w:sz w:val="19"/>
          <w:szCs w:val="19"/>
          <w:color w:val="0000FF"/>
        </w:rPr>
        <w:t xml:space="preserve"> </w:t>
      </w:r>
      <w:r>
        <w:rPr>
          <w:rFonts w:ascii="Arial" w:cs="Arial" w:eastAsia="Arial" w:hAnsi="Arial"/>
          <w:sz w:val="19"/>
          <w:szCs w:val="19"/>
          <w:color w:val="000000"/>
        </w:rPr>
        <w:t>priority security interest pledge to the Collateral Agent for the benefit of the Secured Parties, over (i) all the Capital Stock of each Subsidiary formed or otherwise purchased or acquired after the Closing Date, (ii) all promissory notes evidencing Indebtedness of any Loan Party or Subsidiary of any Loan Party that is owing to any other Loan Party in excess of $100,000, and (iii) all other evidences of Indebtedness in excess of $500,000 received by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6473190</wp:posOffset>
            </wp:positionH>
            <wp:positionV relativeFrom="paragraph">
              <wp:posOffset>-857885</wp:posOffset>
            </wp:positionV>
            <wp:extent cx="664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8.12</w:t>
      </w:r>
      <w:r>
        <w:rPr>
          <w:sz w:val="20"/>
          <w:szCs w:val="20"/>
          <w:color w:val="auto"/>
        </w:rPr>
        <w:tab/>
      </w:r>
      <w:r>
        <w:rPr>
          <w:rFonts w:ascii="Arial" w:cs="Arial" w:eastAsia="Arial" w:hAnsi="Arial"/>
          <w:sz w:val="18"/>
          <w:szCs w:val="18"/>
          <w:u w:val="single" w:color="auto"/>
          <w:color w:val="auto"/>
        </w:rPr>
        <w:t>Use of Proceeds</w:t>
      </w:r>
      <w:r>
        <w:rPr>
          <w:rFonts w:ascii="Arial" w:cs="Arial" w:eastAsia="Arial" w:hAnsi="Arial"/>
          <w:sz w:val="18"/>
          <w:szCs w:val="18"/>
          <w:u w:val="single" w:color="auto"/>
          <w:color w:val="0000FF"/>
        </w:rPr>
        <w:t>.</w:t>
      </w:r>
    </w:p>
    <w:p>
      <w:pPr>
        <w:sectPr>
          <w:pgSz w:w="11900" w:h="16838" w:orient="portrait"/>
          <w:cols w:equalWidth="0" w:num="1">
            <w:col w:w="11240"/>
          </w:cols>
          <w:pgMar w:left="320" w:top="1401"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proceeds of Loans shall be used only (x) for working capital and general corporate purposes, (including, without limitation, the funding of forecasted growth, compliance and Capital Expenditures initiatives), (y) to consummate the Refinancing and (z) to pay the transaction fees, costs and expenses incurred directly in connection with this Loan Agreement and the Transactions.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8.13</w:t>
      </w:r>
      <w:r>
        <w:rPr>
          <w:sz w:val="20"/>
          <w:szCs w:val="20"/>
          <w:color w:val="auto"/>
        </w:rPr>
        <w:tab/>
      </w:r>
      <w:r>
        <w:rPr>
          <w:rFonts w:ascii="Arial" w:cs="Arial" w:eastAsia="Arial" w:hAnsi="Arial"/>
          <w:sz w:val="19"/>
          <w:szCs w:val="19"/>
          <w:u w:val="single" w:color="auto"/>
          <w:color w:val="auto"/>
        </w:rPr>
        <w:t>Mortgages; Landlord Agreements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2" w:lineRule="auto"/>
        <w:tabs>
          <w:tab w:leader="none" w:pos="241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If any Loan Party acquires a fee simple interest in Real Property with a fair market value in excess of $2,000,000 after the Closing Date, the Borrower shall promptly notify the Agents and the Lenders thereof in writing. With respect to all Loan Parties’ fee simple interests in Real Property with a fair market value in excess of $2,000,000, the Loan Parties shall take, and cause the other Loan Parties to take, such actions as shall be reasonably necessary or reasonably requested by the Collateral Agent to grant and/or perfect such Liens consistent with the applicable requirements of the Security Documents, including actions described in </w:t>
      </w:r>
      <w:r>
        <w:rPr>
          <w:rFonts w:ascii="Arial" w:cs="Arial" w:eastAsia="Arial" w:hAnsi="Arial"/>
          <w:sz w:val="19"/>
          <w:szCs w:val="19"/>
          <w:u w:val="single" w:color="auto"/>
          <w:color w:val="auto"/>
        </w:rPr>
        <w:t>Section 8.15</w:t>
      </w:r>
      <w:r>
        <w:rPr>
          <w:rFonts w:ascii="Arial" w:cs="Arial" w:eastAsia="Arial" w:hAnsi="Arial"/>
          <w:sz w:val="19"/>
          <w:szCs w:val="19"/>
          <w:color w:val="auto"/>
        </w:rPr>
        <w:t xml:space="preserve">, all at the sole cost and expense of the Borrower. Each Mortgage delivered to the Collateral Agent hereunder shall be accompanied by (i) a policy or policies (or unconditional binding commitment thereof) of title insurance issued by a nationally recognized title insurance company insuring the Lien of each Mortgage as a valid Lien (with the priority described therein) on the Mortgaged Property described therein, free of any other Liens except for Permitted Liens as expressly set forth in </w:t>
      </w:r>
      <w:r>
        <w:rPr>
          <w:rFonts w:ascii="Arial" w:cs="Arial" w:eastAsia="Arial" w:hAnsi="Arial"/>
          <w:sz w:val="19"/>
          <w:szCs w:val="19"/>
          <w:u w:val="single" w:color="auto"/>
          <w:color w:val="auto"/>
        </w:rPr>
        <w:t>Section 9.02</w:t>
      </w:r>
      <w:r>
        <w:rPr>
          <w:rFonts w:ascii="Arial" w:cs="Arial" w:eastAsia="Arial" w:hAnsi="Arial"/>
          <w:sz w:val="19"/>
          <w:szCs w:val="19"/>
          <w:color w:val="auto"/>
        </w:rPr>
        <w:t>, together with such customary endorsements and reinsurance as the Collateral Agent may reasonably request, and (ii) if requested by the Collateral Agent, an opinion of local counsel to the applicable Loan Parties with respect to the Mortgage and the Liens granted thereunder, in form and substance reasonably satisfactory to the Collateral Agent.</w:t>
      </w:r>
    </w:p>
    <w:p>
      <w:pPr>
        <w:spacing w:after="0" w:line="164" w:lineRule="exact"/>
        <w:rPr>
          <w:rFonts w:ascii="Arial" w:cs="Arial" w:eastAsia="Arial" w:hAnsi="Arial"/>
          <w:sz w:val="19"/>
          <w:szCs w:val="19"/>
          <w:color w:val="auto"/>
        </w:rPr>
      </w:pPr>
    </w:p>
    <w:p>
      <w:pPr>
        <w:jc w:val="both"/>
        <w:ind w:firstLine="1952"/>
        <w:spacing w:after="0" w:line="216" w:lineRule="auto"/>
        <w:tabs>
          <w:tab w:leader="none" w:pos="254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The Loan Parties shall use commercially reasonable efforts to cause each location described the definition of “Landlord Agreement” to become subject to a Landlord Agreement within ninety (90) days from the Closing Date (or such later date as may be agreed by the Administrative Agent) with respect to any applicable leased property as of the Closing Date, or, with respect to any applicable leased property that becomes subject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the definition of “Landlord Agreement” on any date after the Closing Date.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8.14</w:t>
      </w:r>
      <w:r>
        <w:rPr>
          <w:sz w:val="20"/>
          <w:szCs w:val="20"/>
          <w:color w:val="auto"/>
        </w:rPr>
        <w:tab/>
      </w:r>
      <w:r>
        <w:rPr>
          <w:rFonts w:ascii="Arial" w:cs="Arial" w:eastAsia="Arial" w:hAnsi="Arial"/>
          <w:sz w:val="19"/>
          <w:szCs w:val="19"/>
          <w:u w:val="single" w:color="auto"/>
          <w:color w:val="auto"/>
        </w:rPr>
        <w:t>Accounts; Control Agreements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4" w:lineRule="auto"/>
        <w:tabs>
          <w:tab w:leader="none" w:pos="243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The Loan Parties shall cause each deposit account, securities account and commodity account (other than any Excluded Deposit Account) to be subject to an Account Control Agreement, and shall cause all Collections to be deposited in a deposit account listed on Schedule 7.26 that is subject to an Account Control Agreement (other than Collections that are deposited in any Excluded Deposit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so long as no Event of Default has occurred and is continuing, the Loan Parties may open new deposit accounts, new securities accounts and new commodity accounts so long as, within twenty (20) days after opening each such account (or such later date as may be agreed by the Administrative Agent), (x) the Loan Parties shall have delivered to the Agents an amended </w:t>
      </w:r>
      <w:r>
        <w:rPr>
          <w:rFonts w:ascii="Arial" w:cs="Arial" w:eastAsia="Arial" w:hAnsi="Arial"/>
          <w:sz w:val="19"/>
          <w:szCs w:val="19"/>
          <w:u w:val="single" w:color="auto"/>
          <w:color w:val="auto"/>
        </w:rPr>
        <w:t>Schedule 7.26</w:t>
      </w:r>
      <w:r>
        <w:rPr>
          <w:rFonts w:ascii="Arial" w:cs="Arial" w:eastAsia="Arial" w:hAnsi="Arial"/>
          <w:sz w:val="19"/>
          <w:szCs w:val="19"/>
          <w:color w:val="auto"/>
        </w:rPr>
        <w:t xml:space="preserve"> including such account and (y) the Loan Parties shall have delivered to the Collateral Agent an Account Control Agreement with respect to such account (other than any Excluded Deposit Account) (but, with respect to any such accounts opened after the Closing Date, shall not deposit or transfer funds into such account prior to the execution and delivery of such Account Control Agreement) and</w:t>
      </w:r>
    </w:p>
    <w:p>
      <w:pPr>
        <w:sectPr>
          <w:pgSz w:w="11900" w:h="16838" w:orient="portrait"/>
          <w:cols w:equalWidth="0" w:num="1">
            <w:col w:w="11240"/>
          </w:cols>
          <w:pgMar w:left="320" w:top="1401" w:right="339" w:bottom="1440" w:gutter="0" w:footer="0" w:header="0"/>
        </w:sectPr>
      </w:pPr>
    </w:p>
    <w:bookmarkStart w:id="154" w:name="page155"/>
    <w:bookmarkEnd w:id="154"/>
    <w:p>
      <w:pPr>
        <w:spacing w:after="0" w:line="177" w:lineRule="exact"/>
        <w:rPr>
          <w:sz w:val="20"/>
          <w:szCs w:val="20"/>
          <w:color w:val="auto"/>
        </w:rPr>
      </w:pPr>
    </w:p>
    <w:p>
      <w:pPr>
        <w:jc w:val="both"/>
        <w:ind w:firstLine="8"/>
        <w:spacing w:after="0" w:line="226" w:lineRule="auto"/>
        <w:tabs>
          <w:tab w:leader="none" w:pos="338"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the Loan Parties shall have until the date that is sixty (60) days (or such later date as agreed by the Administrative Agent) following the Closing Date to comply with the provisions of this </w:t>
      </w:r>
      <w:r>
        <w:rPr>
          <w:rFonts w:ascii="Arial" w:cs="Arial" w:eastAsia="Arial" w:hAnsi="Arial"/>
          <w:sz w:val="21"/>
          <w:szCs w:val="21"/>
          <w:u w:val="single" w:color="auto"/>
          <w:color w:val="auto"/>
        </w:rPr>
        <w:t>Section 8.14(a)</w:t>
      </w:r>
      <w:r>
        <w:rPr>
          <w:rFonts w:ascii="Arial" w:cs="Arial" w:eastAsia="Arial" w:hAnsi="Arial"/>
          <w:sz w:val="21"/>
          <w:szCs w:val="21"/>
          <w:color w:val="auto"/>
        </w:rPr>
        <w:t xml:space="preserve"> with regard to (x) deposit accounts, securities accounts and commodity accounts in existence on the Closing Date (and listed on </w:t>
      </w:r>
      <w:r>
        <w:rPr>
          <w:rFonts w:ascii="Arial" w:cs="Arial" w:eastAsia="Arial" w:hAnsi="Arial"/>
          <w:sz w:val="21"/>
          <w:szCs w:val="21"/>
          <w:u w:val="single" w:color="auto"/>
          <w:color w:val="auto"/>
        </w:rPr>
        <w:t>Schedule 7.26</w:t>
      </w:r>
      <w:r>
        <w:rPr>
          <w:rFonts w:ascii="Arial" w:cs="Arial" w:eastAsia="Arial" w:hAnsi="Arial"/>
          <w:sz w:val="21"/>
          <w:szCs w:val="21"/>
          <w:color w:val="auto"/>
        </w:rPr>
        <w:t xml:space="preserve"> on the Closing Date) and (y) the requirement to deposit Collections in a deposit account that is subject to an Account Control Agreement (other than Collections that are deposited in any Excluded Deposit Account).</w:t>
      </w:r>
    </w:p>
    <w:p>
      <w:pPr>
        <w:spacing w:after="0" w:line="159" w:lineRule="exact"/>
        <w:rPr>
          <w:rFonts w:ascii="Arial" w:cs="Arial" w:eastAsia="Arial" w:hAnsi="Arial"/>
          <w:sz w:val="21"/>
          <w:szCs w:val="21"/>
          <w:color w:val="auto"/>
        </w:rPr>
      </w:pPr>
    </w:p>
    <w:p>
      <w:pPr>
        <w:jc w:val="both"/>
        <w:ind w:firstLine="1952"/>
        <w:spacing w:after="0" w:line="214" w:lineRule="auto"/>
        <w:tabs>
          <w:tab w:leader="none" w:pos="2658"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xml:space="preserve">If, notwithstanding the provisions of this </w:t>
      </w:r>
      <w:r>
        <w:rPr>
          <w:rFonts w:ascii="Arial" w:cs="Arial" w:eastAsia="Arial" w:hAnsi="Arial"/>
          <w:sz w:val="22"/>
          <w:szCs w:val="22"/>
          <w:u w:val="single" w:color="auto"/>
          <w:color w:val="auto"/>
        </w:rPr>
        <w:t>Section 8.14</w:t>
      </w:r>
      <w:r>
        <w:rPr>
          <w:rFonts w:ascii="Arial" w:cs="Arial" w:eastAsia="Arial" w:hAnsi="Arial"/>
          <w:sz w:val="22"/>
          <w:szCs w:val="22"/>
          <w:color w:val="auto"/>
        </w:rPr>
        <w:t xml:space="preserve">, after the occurrence and during the continuance of an Event of Default and following delivery of a Notice of Exclusive Control, a Loan Party receives or otherwise has dominion over or control of any Collections or other amounts, such Loan Party shall hold such Collections and amounts in trust for the Collateral Agent and shall not commingle such Collections with any other funds of any Loan Party or other Person or deposit such Collections in any account other than those accounts set forth on </w:t>
      </w:r>
      <w:r>
        <w:rPr>
          <w:rFonts w:ascii="Arial" w:cs="Arial" w:eastAsia="Arial" w:hAnsi="Arial"/>
          <w:sz w:val="22"/>
          <w:szCs w:val="22"/>
          <w:u w:val="single" w:color="auto"/>
          <w:color w:val="auto"/>
        </w:rPr>
        <w:t>Schedule 7.26</w:t>
      </w:r>
      <w:r>
        <w:rPr>
          <w:rFonts w:ascii="Arial" w:cs="Arial" w:eastAsia="Arial" w:hAnsi="Arial"/>
          <w:sz w:val="22"/>
          <w:szCs w:val="22"/>
          <w:color w:val="auto"/>
        </w:rPr>
        <w:t xml:space="preserve"> (unless otherwise instructed by the Collateral Agent).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8.15</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3" w:lineRule="auto"/>
        <w:tabs>
          <w:tab w:leader="none" w:pos="244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Loan Parties shall execute any and all further documents, financing statements, agreements and instruments, and shall take all such further actions, which may be required under any Applicable Law or which either Agent may reasonably request, in order to grant, preserve, protect, perfect and evidence the validity and priority of the security interests created or intended to be created by the Guaranty and Security Agreement or any other Security Document (including, without limitation, the filing and recording of financing statements, fixture filings, mortgages, deeds of trust and other documents, and assisting the Collateral Agent in completing all documentation relating to the Assignment of Claims Act, if applicable), all at the sole and reasonable cost and expense of the Borrower. Notwithstanding anything to the contrary in this Loan Agreement or in the Loan Documents, neither Borrower nor any other Loan Party shall have any obligation to perfect Liens in any patents, trademarks, copyrights or other IP Rights created, registered or applied-for in any jurisdiction other than the United States, other than to the extent that the Administrative Agent and the Borrower reasonably agree, that the burden or cost of perfecting such Lien in such jurisdiction is reasonable and does not outweigh the benefits to be obtained by the Lenders therefrom.</w:t>
      </w:r>
    </w:p>
    <w:p>
      <w:pPr>
        <w:spacing w:after="0" w:line="158" w:lineRule="exact"/>
        <w:rPr>
          <w:rFonts w:ascii="Arial" w:cs="Arial" w:eastAsia="Arial" w:hAnsi="Arial"/>
          <w:sz w:val="19"/>
          <w:szCs w:val="19"/>
          <w:color w:val="auto"/>
        </w:rPr>
      </w:pPr>
    </w:p>
    <w:p>
      <w:pPr>
        <w:ind w:left="2420" w:hanging="468"/>
        <w:spacing w:after="0"/>
        <w:tabs>
          <w:tab w:leader="none" w:pos="24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Notwithstanding anything herein to the contrary, it is understood and agreed that:</w:t>
      </w:r>
    </w:p>
    <w:p>
      <w:pPr>
        <w:spacing w:after="0" w:line="179" w:lineRule="exact"/>
        <w:rPr>
          <w:rFonts w:ascii="Arial" w:cs="Arial" w:eastAsia="Arial" w:hAnsi="Arial"/>
          <w:sz w:val="22"/>
          <w:szCs w:val="22"/>
          <w:color w:val="auto"/>
        </w:rPr>
      </w:pPr>
    </w:p>
    <w:p>
      <w:pPr>
        <w:jc w:val="both"/>
        <w:ind w:left="660" w:firstLine="1940"/>
        <w:spacing w:after="0" w:line="223" w:lineRule="auto"/>
        <w:tabs>
          <w:tab w:leader="none" w:pos="3079"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if the Collateral Agent determines in its sole discretion that the cost of creating or perfecting any Lien on any property is excessive in relation to the practical benefits afforded to the Lenders thereby, then such property may be excluded from the Collateral for all purposes of the Loan Documents;</w:t>
      </w:r>
    </w:p>
    <w:p>
      <w:pPr>
        <w:spacing w:after="0" w:line="158" w:lineRule="exact"/>
        <w:rPr>
          <w:rFonts w:ascii="Arial" w:cs="Arial" w:eastAsia="Arial" w:hAnsi="Arial"/>
          <w:sz w:val="22"/>
          <w:szCs w:val="22"/>
          <w:color w:val="auto"/>
        </w:rPr>
      </w:pPr>
    </w:p>
    <w:p>
      <w:pPr>
        <w:jc w:val="both"/>
        <w:ind w:left="660" w:firstLine="1940"/>
        <w:spacing w:after="0" w:line="218" w:lineRule="auto"/>
        <w:tabs>
          <w:tab w:leader="none" w:pos="3131" w:val="left"/>
        </w:tabs>
        <w:numPr>
          <w:ilvl w:val="1"/>
          <w:numId w:val="171"/>
        </w:numPr>
        <w:rPr>
          <w:rFonts w:ascii="Arial" w:cs="Arial" w:eastAsia="Arial" w:hAnsi="Arial"/>
          <w:sz w:val="22"/>
          <w:szCs w:val="22"/>
          <w:color w:val="auto"/>
        </w:rPr>
      </w:pPr>
      <w:r>
        <w:rPr>
          <w:rFonts w:ascii="Arial" w:cs="Arial" w:eastAsia="Arial" w:hAnsi="Arial"/>
          <w:sz w:val="22"/>
          <w:szCs w:val="22"/>
          <w:color w:val="auto"/>
        </w:rPr>
        <w:t>no action shall be required to perfect any Lien with respect to (A) any vehicle or other asset subject to a certificate of title, and any retention of title, extended retention of title rights, or similar rights, or (B) letter of credit rights, in each case, except to the extent that a security interest therein is perfected by filing a UCC financing statement (which shall be the only required perfection action);</w:t>
      </w:r>
    </w:p>
    <w:p>
      <w:pPr>
        <w:spacing w:after="0" w:line="160" w:lineRule="exact"/>
        <w:rPr>
          <w:rFonts w:ascii="Arial" w:cs="Arial" w:eastAsia="Arial" w:hAnsi="Arial"/>
          <w:sz w:val="22"/>
          <w:szCs w:val="22"/>
          <w:color w:val="auto"/>
        </w:rPr>
      </w:pPr>
    </w:p>
    <w:p>
      <w:pPr>
        <w:ind w:left="660" w:firstLine="1940"/>
        <w:spacing w:after="0" w:line="232" w:lineRule="auto"/>
        <w:tabs>
          <w:tab w:leader="none" w:pos="3293" w:val="left"/>
        </w:tabs>
        <w:numPr>
          <w:ilvl w:val="1"/>
          <w:numId w:val="171"/>
        </w:numPr>
        <w:rPr>
          <w:rFonts w:ascii="Arial" w:cs="Arial" w:eastAsia="Arial" w:hAnsi="Arial"/>
          <w:sz w:val="22"/>
          <w:szCs w:val="22"/>
          <w:color w:val="auto"/>
        </w:rPr>
      </w:pPr>
      <w:r>
        <w:rPr>
          <w:rFonts w:ascii="Arial" w:cs="Arial" w:eastAsia="Arial" w:hAnsi="Arial"/>
          <w:sz w:val="22"/>
          <w:szCs w:val="22"/>
          <w:color w:val="auto"/>
        </w:rPr>
        <w:t>no Loan Party shall be required to perfect a security interest in any asset to the extent perfection of a security interest in such asset would be prohibited under any Applicable Law;</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7" w:lineRule="exact"/>
        <w:rPr>
          <w:sz w:val="20"/>
          <w:szCs w:val="20"/>
          <w:color w:val="auto"/>
        </w:rPr>
      </w:pPr>
    </w:p>
    <w:p>
      <w:pPr>
        <w:jc w:val="both"/>
        <w:ind w:left="660" w:firstLine="1940"/>
        <w:spacing w:after="0" w:line="249" w:lineRule="auto"/>
        <w:tabs>
          <w:tab w:leader="none" w:pos="317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any joinder or supplement to any Security Document or any other Loan Document executed by any Subsidiary that is required to become a Loan Party pursuant to </w:t>
      </w:r>
      <w:r>
        <w:rPr>
          <w:rFonts w:ascii="Arial" w:cs="Arial" w:eastAsia="Arial" w:hAnsi="Arial"/>
          <w:sz w:val="19"/>
          <w:szCs w:val="19"/>
          <w:u w:val="single" w:color="auto"/>
          <w:color w:val="auto"/>
        </w:rPr>
        <w:t>Section 8.15(a)</w:t>
      </w:r>
      <w:r>
        <w:rPr>
          <w:rFonts w:ascii="Arial" w:cs="Arial" w:eastAsia="Arial" w:hAnsi="Arial"/>
          <w:sz w:val="19"/>
          <w:szCs w:val="19"/>
          <w:color w:val="auto"/>
        </w:rPr>
        <w:t xml:space="preserve"> above may, with the consent of the Administrative Agent (not to be unreasonably withheld, conditioned or delayed), include such schedules (or updates to schedules) as may be necessary to qualify any representation or warranty with respect to such Subsidiary set forth in any Loan Document to the extent necessary to ensure that such representation or warranty is true and correct in all material respects to the extent required thereby or by the terms of any other Loan Document; and</w:t>
      </w:r>
    </w:p>
    <w:p>
      <w:pPr>
        <w:spacing w:after="0" w:line="151" w:lineRule="exact"/>
        <w:rPr>
          <w:rFonts w:ascii="Arial" w:cs="Arial" w:eastAsia="Arial" w:hAnsi="Arial"/>
          <w:sz w:val="19"/>
          <w:szCs w:val="19"/>
          <w:color w:val="auto"/>
        </w:rPr>
      </w:pPr>
    </w:p>
    <w:p>
      <w:pPr>
        <w:jc w:val="both"/>
        <w:ind w:left="660" w:firstLine="1940"/>
        <w:spacing w:after="0" w:line="246" w:lineRule="auto"/>
        <w:tabs>
          <w:tab w:leader="none" w:pos="308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to the extent that the Administrative Agent and the Borrower reasonably agree that the burden or cost shall outweigh the benefits to be obtained by the Lenders therefrom, no actions in any non-U.S. jurisdiction or required by the laws of any non-U.S. jurisdiction shall be required in order to create any security interests in any assets or to perfect or make enforceable such security interests (including any IP Rights registered in any non-U.S. jurisdiction) (it being understood that there shall in no event be any security agreements or pledge agreements governed under the laws of any non-U.S. jurisdiction (other than Canada (including, without limitation, any province thereof)) or any requirement to make any filings in any foreign jurisdiction (other than Canada (including, without limitation, any province thereof)) including with respect to foreign Intellectual Property (other than Canadian Intellectual Property)).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Lender Calls</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u w:val="single" w:color="auto"/>
          <w:color w:val="0000FF"/>
        </w:rPr>
        <w:t>Section 8.16 Lender Calls</w:t>
      </w:r>
      <w:r>
        <w:rPr>
          <w:rFonts w:ascii="Arial" w:cs="Arial" w:eastAsia="Arial" w:hAnsi="Arial"/>
          <w:sz w:val="22"/>
          <w:szCs w:val="22"/>
          <w:color w:val="000000"/>
        </w:rPr>
        <w:t>. Each Loan Party shall, and shall cause each of its Subsidiaries to, upon the request of the</w:t>
      </w:r>
      <w:r>
        <w:rPr>
          <w:rFonts w:ascii="Arial" w:cs="Arial" w:eastAsia="Arial" w:hAnsi="Arial"/>
          <w:sz w:val="22"/>
          <w:szCs w:val="22"/>
          <w:color w:val="0000FF"/>
        </w:rPr>
        <w:t xml:space="preserve"> </w:t>
      </w:r>
      <w:r>
        <w:rPr>
          <w:rFonts w:ascii="Arial" w:cs="Arial" w:eastAsia="Arial" w:hAnsi="Arial"/>
          <w:sz w:val="22"/>
          <w:szCs w:val="22"/>
          <w:color w:val="000000"/>
        </w:rPr>
        <w:t xml:space="preserve">Administrative Agent, participate in a meeting of the Lenders, once per fiscal quarter, and when an Event of Default under </w:t>
      </w:r>
      <w:r>
        <w:rPr>
          <w:rFonts w:ascii="Arial" w:cs="Arial" w:eastAsia="Arial" w:hAnsi="Arial"/>
          <w:sz w:val="22"/>
          <w:szCs w:val="22"/>
          <w:u w:val="single" w:color="auto"/>
          <w:color w:val="000000"/>
        </w:rPr>
        <w:t>Section 10.01(k)</w:t>
      </w:r>
      <w:r>
        <w:rPr>
          <w:rFonts w:ascii="Arial" w:cs="Arial" w:eastAsia="Arial" w:hAnsi="Arial"/>
          <w:sz w:val="22"/>
          <w:szCs w:val="22"/>
          <w:color w:val="000000"/>
        </w:rPr>
        <w:t xml:space="preserve"> shall have occurred and be continuing, as frequently as may be required by the Administrative Agent, in each case to be held via teleconference, at a time selected by the Administrative Agent and reasonably acceptable to the Required Lenders and the Borrower. The purpose of this meeting shall be to present the Loan Parties’ previous fiscal quarter’s financial results and other matters to be mutually agreed.</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8.17</w:t>
      </w:r>
      <w:r>
        <w:rPr>
          <w:sz w:val="20"/>
          <w:szCs w:val="20"/>
          <w:color w:val="auto"/>
        </w:rPr>
        <w:tab/>
      </w:r>
      <w:r>
        <w:rPr>
          <w:rFonts w:ascii="Arial" w:cs="Arial" w:eastAsia="Arial" w:hAnsi="Arial"/>
          <w:sz w:val="19"/>
          <w:szCs w:val="19"/>
          <w:u w:val="single" w:color="auto"/>
          <w:color w:val="auto"/>
        </w:rPr>
        <w:t>Changes in Legal Form, etc.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Loan Party shall provide at least 10 days’ prior written notice to the Administrative Agent of the following:</w:t>
      </w:r>
    </w:p>
    <w:p>
      <w:pPr>
        <w:spacing w:after="0" w:line="191" w:lineRule="exact"/>
        <w:rPr>
          <w:sz w:val="20"/>
          <w:szCs w:val="20"/>
          <w:color w:val="auto"/>
        </w:rPr>
      </w:pPr>
    </w:p>
    <w:p>
      <w:pPr>
        <w:ind w:left="2400" w:hanging="448"/>
        <w:spacing w:after="0"/>
        <w:tabs>
          <w:tab w:leader="none" w:pos="24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 change of its legal form;</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 change of its jurisdiction of organization;</w:t>
      </w:r>
    </w:p>
    <w:p>
      <w:pPr>
        <w:spacing w:after="0" w:line="179" w:lineRule="exact"/>
        <w:rPr>
          <w:rFonts w:ascii="Arial" w:cs="Arial" w:eastAsia="Arial" w:hAnsi="Arial"/>
          <w:sz w:val="22"/>
          <w:szCs w:val="22"/>
          <w:color w:val="auto"/>
        </w:rPr>
      </w:pPr>
    </w:p>
    <w:p>
      <w:pPr>
        <w:ind w:left="2400" w:hanging="448"/>
        <w:spacing w:after="0"/>
        <w:tabs>
          <w:tab w:leader="none" w:pos="24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 change of its name as it appears in official filings in its jurisdiction of organization; and</w:t>
      </w:r>
    </w:p>
    <w:p>
      <w:pPr>
        <w:spacing w:after="0" w:line="179" w:lineRule="exact"/>
        <w:rPr>
          <w:rFonts w:ascii="Arial" w:cs="Arial" w:eastAsia="Arial" w:hAnsi="Arial"/>
          <w:sz w:val="22"/>
          <w:szCs w:val="22"/>
          <w:color w:val="auto"/>
        </w:rPr>
      </w:pPr>
    </w:p>
    <w:p>
      <w:pPr>
        <w:ind w:firstLine="1952"/>
        <w:spacing w:after="0" w:line="232" w:lineRule="auto"/>
        <w:tabs>
          <w:tab w:leader="none" w:pos="244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 change of the location of its registered office, chief executive office or sole place of business from that referred in the Perfection Certificate.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Contractual Obligations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8.18 </w:t>
      </w:r>
      <w:r>
        <w:rPr>
          <w:rFonts w:ascii="Arial" w:cs="Arial" w:eastAsia="Arial" w:hAnsi="Arial"/>
          <w:sz w:val="22"/>
          <w:szCs w:val="22"/>
          <w:u w:val="single" w:color="auto"/>
          <w:color w:val="0000FF"/>
        </w:rPr>
        <w:t>Contractual Obligations</w:t>
      </w:r>
      <w:r>
        <w:rPr>
          <w:rFonts w:ascii="Arial" w:cs="Arial" w:eastAsia="Arial" w:hAnsi="Arial"/>
          <w:sz w:val="22"/>
          <w:szCs w:val="22"/>
          <w:color w:val="auto"/>
        </w:rPr>
        <w:t>. Each Loan Party shall, and shall cause each of its Subsidiaries to, pay, discharge and perform as the same shall become due and payable or required to be performed, all their respective material obligations and liabilities, including:</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7" w:lineRule="exact"/>
        <w:rPr>
          <w:sz w:val="20"/>
          <w:szCs w:val="20"/>
          <w:color w:val="auto"/>
        </w:rPr>
      </w:pPr>
    </w:p>
    <w:p>
      <w:pPr>
        <w:jc w:val="both"/>
        <w:ind w:firstLine="1952"/>
        <w:spacing w:after="0" w:line="218" w:lineRule="auto"/>
        <w:tabs>
          <w:tab w:leader="none" w:pos="240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all lawful claims which, if unpaid, would by law become a Lien (other than a Permitted Lien) upon its property and assets unless the same are being contested in good faith by appropriate proceedings diligently prosecuted which stay the imposition or enforcement of any Lien and for which adequate reserves are being maintained by such Person, which reserves shall be in conformity with GAAP, consistently applied; and</w:t>
      </w:r>
    </w:p>
    <w:p>
      <w:pPr>
        <w:spacing w:after="0" w:line="160" w:lineRule="exact"/>
        <w:rPr>
          <w:rFonts w:ascii="Arial" w:cs="Arial" w:eastAsia="Arial" w:hAnsi="Arial"/>
          <w:sz w:val="22"/>
          <w:szCs w:val="22"/>
          <w:color w:val="auto"/>
        </w:rPr>
      </w:pPr>
    </w:p>
    <w:p>
      <w:pPr>
        <w:ind w:left="2420" w:hanging="468"/>
        <w:spacing w:after="0"/>
        <w:tabs>
          <w:tab w:leader="none" w:pos="242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performance of all material obligations under any Material Contracts.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8.19</w:t>
      </w:r>
      <w:r>
        <w:rPr>
          <w:sz w:val="20"/>
          <w:szCs w:val="20"/>
          <w:color w:val="auto"/>
        </w:rPr>
        <w:tab/>
      </w:r>
      <w:r>
        <w:rPr>
          <w:rFonts w:ascii="Arial" w:cs="Arial" w:eastAsia="Arial" w:hAnsi="Arial"/>
          <w:sz w:val="19"/>
          <w:szCs w:val="19"/>
          <w:u w:val="single" w:color="auto"/>
          <w:color w:val="auto"/>
        </w:rPr>
        <w:t>Compliance with Health Care Laws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52" w:lineRule="auto"/>
        <w:tabs>
          <w:tab w:leader="none" w:pos="246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Except, in each case, as would not, individually or in the aggregate be expected to have a Material Adverse Effect or otherwise disclosed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7.35</w:t>
      </w:r>
      <w:r>
        <w:rPr>
          <w:rFonts w:ascii="Arial" w:cs="Arial" w:eastAsia="Arial" w:hAnsi="Arial"/>
          <w:sz w:val="19"/>
          <w:szCs w:val="19"/>
          <w:color w:val="auto"/>
        </w:rPr>
        <w:t>, the Loan Parties shall: (i) comply in all material respects with all Health Care Laws applicable to it, its assets, business or operations, respectively; (ii) maintain all Permits required to be maintained for the ownership of its respective assets and operation of its respective businesses; and (iii) timely file, or cause to be filed, all required health care filings in accordance with applicable Health Care Laws.</w:t>
      </w:r>
    </w:p>
    <w:p>
      <w:pPr>
        <w:spacing w:after="0" w:line="148" w:lineRule="exact"/>
        <w:rPr>
          <w:rFonts w:ascii="Arial" w:cs="Arial" w:eastAsia="Arial" w:hAnsi="Arial"/>
          <w:sz w:val="19"/>
          <w:szCs w:val="19"/>
          <w:color w:val="auto"/>
        </w:rPr>
      </w:pPr>
    </w:p>
    <w:p>
      <w:pPr>
        <w:jc w:val="both"/>
        <w:ind w:firstLine="1952"/>
        <w:spacing w:after="0" w:line="247" w:lineRule="auto"/>
        <w:tabs>
          <w:tab w:leader="none" w:pos="2523"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Except as to matters otherwise disclosed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7.35</w:t>
      </w:r>
      <w:r>
        <w:rPr>
          <w:rFonts w:ascii="Arial" w:cs="Arial" w:eastAsia="Arial" w:hAnsi="Arial"/>
          <w:sz w:val="19"/>
          <w:szCs w:val="19"/>
          <w:color w:val="auto"/>
        </w:rPr>
        <w:t>, or developments in scheduled matters subsequent to the date of this Loan Agreement, the Loan Parties shall notify the Administrative Agent within five (5) Business Days (or such longer date as may be reasonably agreed by the Administrative Agent) after the Loan Party has actual knowledge of any of the following facts, events or circumstances, and as permitted by applicable Laws, shall provide to the Administrative Agent as promptly as practicable following Administrative Agent’s request therefor, such additional information as Administrative Agent shall reasonably request regarding such disclosure in each case which, if adversely determined, would be reasonably expected to have, individually or in the aggregate, a Material Adverse Effect:</w:t>
      </w:r>
    </w:p>
    <w:p>
      <w:pPr>
        <w:spacing w:after="0" w:line="153" w:lineRule="exact"/>
        <w:rPr>
          <w:rFonts w:ascii="Arial" w:cs="Arial" w:eastAsia="Arial" w:hAnsi="Arial"/>
          <w:sz w:val="19"/>
          <w:szCs w:val="19"/>
          <w:color w:val="auto"/>
        </w:rPr>
      </w:pPr>
    </w:p>
    <w:p>
      <w:pPr>
        <w:jc w:val="both"/>
        <w:ind w:left="660" w:firstLine="1940"/>
        <w:spacing w:after="0" w:line="252" w:lineRule="auto"/>
        <w:tabs>
          <w:tab w:leader="none" w:pos="3191"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to the extent any of the following would be reasonably expected, individually or in the aggregate, to have a Material Adverse Effect, that a Loan Party has received written notice of any civil or criminal investigation or audit, or proceeding pending or to the knowledge of any Loan Party, threatened in writing, by any federal, state or local Governmental Authority relating to any actual or alleged material violation of any Health Care Laws or that alleges systemic, deliberate, widespread or material false or fraudulent claims submission by any Loan Party; and</w:t>
      </w:r>
    </w:p>
    <w:p>
      <w:pPr>
        <w:spacing w:after="0" w:line="148" w:lineRule="exact"/>
        <w:rPr>
          <w:rFonts w:ascii="Arial" w:cs="Arial" w:eastAsia="Arial" w:hAnsi="Arial"/>
          <w:sz w:val="19"/>
          <w:szCs w:val="19"/>
          <w:color w:val="auto"/>
        </w:rPr>
      </w:pPr>
    </w:p>
    <w:p>
      <w:pPr>
        <w:jc w:val="both"/>
        <w:ind w:left="660" w:firstLine="1940"/>
        <w:spacing w:after="0" w:line="234" w:lineRule="auto"/>
        <w:tabs>
          <w:tab w:leader="none" w:pos="3156" w:val="left"/>
        </w:tabs>
        <w:numPr>
          <w:ilvl w:val="1"/>
          <w:numId w:val="175"/>
        </w:numPr>
        <w:rPr>
          <w:rFonts w:ascii="Arial" w:cs="Arial" w:eastAsia="Arial" w:hAnsi="Arial"/>
          <w:sz w:val="21"/>
          <w:szCs w:val="21"/>
          <w:color w:val="auto"/>
        </w:rPr>
      </w:pPr>
      <w:r>
        <w:rPr>
          <w:rFonts w:ascii="Arial" w:cs="Arial" w:eastAsia="Arial" w:hAnsi="Arial"/>
          <w:sz w:val="21"/>
          <w:szCs w:val="21"/>
          <w:color w:val="auto"/>
        </w:rPr>
        <w:t>copies of any written recommendation from any Governmental Authority that a Loan Party should have any of its Permits suspended, revoked, or limited in any way, if such suspension, revocation or limitation would be reasonably likely, individually or in the aggregate, to have a Material Adverse Effect.</w:t>
      </w:r>
    </w:p>
    <w:p>
      <w:pPr>
        <w:spacing w:after="0" w:line="157" w:lineRule="exact"/>
        <w:rPr>
          <w:rFonts w:ascii="Arial" w:cs="Arial" w:eastAsia="Arial" w:hAnsi="Arial"/>
          <w:sz w:val="21"/>
          <w:szCs w:val="21"/>
          <w:color w:val="auto"/>
        </w:rPr>
      </w:pPr>
    </w:p>
    <w:p>
      <w:pPr>
        <w:jc w:val="both"/>
        <w:ind w:firstLine="1952"/>
        <w:spacing w:after="0" w:line="257" w:lineRule="auto"/>
        <w:tabs>
          <w:tab w:leader="none" w:pos="243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Loan Parties shall notify the Administrative Agent within five (5) Business Days (or such longer date as may be reasonably agreed by the Administrative Agent) after any Loan Party receives any written recommendation from any Governmental Authority that a Loan Party or any of its respective officers or employees should be suspended, debarred, or excluded in accordance with 21 U.S.C. § 335a, 42 U.S.C. § 1320a-7, or similar provision of Law.</w:t>
      </w:r>
    </w:p>
    <w:p>
      <w:pPr>
        <w:spacing w:after="0" w:line="14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8.20</w:t>
      </w:r>
      <w:r>
        <w:rPr>
          <w:sz w:val="20"/>
          <w:szCs w:val="20"/>
          <w:color w:val="auto"/>
        </w:rPr>
        <w:tab/>
      </w:r>
      <w:r>
        <w:rPr>
          <w:rFonts w:ascii="Arial" w:cs="Arial" w:eastAsia="Arial" w:hAnsi="Arial"/>
          <w:sz w:val="19"/>
          <w:szCs w:val="19"/>
          <w:u w:val="single" w:color="auto"/>
          <w:color w:val="auto"/>
        </w:rPr>
        <w:t>Security Interests; Perfection, etc.</w:t>
      </w:r>
    </w:p>
    <w:p>
      <w:pPr>
        <w:sectPr>
          <w:pgSz w:w="11900" w:h="16838" w:orient="portrait"/>
          <w:cols w:equalWidth="0" w:num="1">
            <w:col w:w="11240"/>
          </w:cols>
          <w:pgMar w:left="320" w:top="1440" w:right="339" w:bottom="1440" w:gutter="0" w:footer="0" w:header="0"/>
        </w:sectPr>
      </w:pPr>
    </w:p>
    <w:bookmarkStart w:id="157" w:name="page158"/>
    <w:bookmarkEnd w:id="157"/>
    <w:p>
      <w:pPr>
        <w:jc w:val="both"/>
        <w:ind w:firstLine="648"/>
        <w:spacing w:after="0" w:line="214" w:lineRule="auto"/>
        <w:rPr>
          <w:sz w:val="20"/>
          <w:szCs w:val="20"/>
          <w:color w:val="auto"/>
        </w:rPr>
      </w:pPr>
      <w:r>
        <w:rPr>
          <w:rFonts w:ascii="Arial" w:cs="Arial" w:eastAsia="Arial" w:hAnsi="Arial"/>
          <w:sz w:val="22"/>
          <w:szCs w:val="22"/>
          <w:color w:val="auto"/>
        </w:rPr>
        <w:t>Each Loan Party shall, and shall cause each Subsidiary to, take all necessary actions to ensure that each of the Guaranty and Security Agreement, Mortgages (if any), Patent Security Agreements, the Trademark Security Agreements and the Copyright Security Agreements is effective to create in favor of the Collateral Agent, for the benefit of the Secured Parties, a legal, valid and enforceable first priority (subject only to Permitted Liens which, pursuant to the terms of this Loan Agreement, are permitted to have priority over Collateral Agent’s Liens thereon) perfected security interest in the Collateral described therein and proceeds thereof.</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8.21 </w:t>
      </w:r>
      <w:r>
        <w:rPr>
          <w:rFonts w:ascii="Arial" w:cs="Arial" w:eastAsia="Arial" w:hAnsi="Arial"/>
          <w:sz w:val="22"/>
          <w:szCs w:val="22"/>
          <w:u w:val="single" w:color="auto"/>
          <w:color w:val="auto"/>
        </w:rPr>
        <w:t>Foreign Corrupt Practices Act Policies</w:t>
      </w:r>
      <w:r>
        <w:rPr>
          <w:rFonts w:ascii="Arial" w:cs="Arial" w:eastAsia="Arial" w:hAnsi="Arial"/>
          <w:sz w:val="22"/>
          <w:szCs w:val="22"/>
          <w:color w:val="auto"/>
        </w:rPr>
        <w:t>. The Borrower shall promptly institute and maintain policies and procedures designed to promote and achieve compliance with the Foreign Corrupt Practices Act and other applicable anti-bribery or anti-corruption laws by the Borrower, its Subsidiaries, joint venture partners, and directors, officers, employees, and agents or other Persons acting on behalf of the Borrower.</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8.22</w:t>
      </w:r>
      <w:r>
        <w:rPr>
          <w:sz w:val="20"/>
          <w:szCs w:val="20"/>
          <w:color w:val="auto"/>
        </w:rPr>
        <w:tab/>
      </w:r>
      <w:r>
        <w:rPr>
          <w:rFonts w:ascii="Arial" w:cs="Arial" w:eastAsia="Arial" w:hAnsi="Arial"/>
          <w:sz w:val="19"/>
          <w:szCs w:val="19"/>
          <w:u w:val="single" w:color="auto"/>
          <w:color w:val="auto"/>
        </w:rPr>
        <w:t>Post-Closing Obligations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34" w:lineRule="auto"/>
        <w:tabs>
          <w:tab w:leader="none" w:pos="2445"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Within thirty (30) days after the Closing Date (or such later date as agreed by the Collateral Agent), the Loan Parties shall deliver to the Collateral Agent the Account Control Agreements for each deposit account and securities account of a Loan Party as of the Closing Date (other than Excluded Deposit Accounts).</w:t>
      </w:r>
    </w:p>
    <w:p>
      <w:pPr>
        <w:spacing w:after="0" w:line="157" w:lineRule="exact"/>
        <w:rPr>
          <w:rFonts w:ascii="Arial" w:cs="Arial" w:eastAsia="Arial" w:hAnsi="Arial"/>
          <w:sz w:val="21"/>
          <w:szCs w:val="21"/>
          <w:color w:val="auto"/>
        </w:rPr>
      </w:pPr>
    </w:p>
    <w:p>
      <w:pPr>
        <w:jc w:val="both"/>
        <w:ind w:firstLine="1952"/>
        <w:spacing w:after="0" w:line="223" w:lineRule="auto"/>
        <w:tabs>
          <w:tab w:leader="none" w:pos="2439"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Within thirty (30) days after the Closing Date (or such later date agreed by the Collateral Agent), the Loan Parties shall deliver to the Collateral Agent the endorsements (containing or accompanied by a copy of the policy or binder in respect thereof) required by </w:t>
      </w:r>
      <w:r>
        <w:rPr>
          <w:rFonts w:ascii="Arial" w:cs="Arial" w:eastAsia="Arial" w:hAnsi="Arial"/>
          <w:sz w:val="22"/>
          <w:szCs w:val="22"/>
          <w:u w:val="single" w:color="auto"/>
          <w:color w:val="auto"/>
        </w:rPr>
        <w:t>Section 8.03</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NEGATIVE COVENANTS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Loan Parties hereby covenant and agree with the Lenders and the Administrative Agent to each of the following so long as any Obligations hereunder (other than Unasserted Contingent Obligations) or any Commitments hereunder remain outstanding:</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Limitation on Indebtedness</w:t>
      </w:r>
    </w:p>
    <w:p>
      <w:pPr>
        <w:spacing w:after="0" w:line="179" w:lineRule="exact"/>
        <w:rPr>
          <w:sz w:val="20"/>
          <w:szCs w:val="20"/>
          <w:color w:val="auto"/>
        </w:rPr>
      </w:pPr>
    </w:p>
    <w:p>
      <w:pPr>
        <w:jc w:val="both"/>
        <w:ind w:firstLine="656"/>
        <w:spacing w:after="0" w:line="223" w:lineRule="auto"/>
        <w:tabs>
          <w:tab w:leader="none" w:pos="79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Subsidiaries to, directly or indirectly, create, incur, issue, assume, guarantee, suffer to exist or otherwise become directly or indirectly liable, contingently or otherwise with respect to any Indebtedness, except for:</w:t>
      </w:r>
    </w:p>
    <w:p>
      <w:pPr>
        <w:spacing w:after="0" w:line="158" w:lineRule="exact"/>
        <w:rPr>
          <w:rFonts w:ascii="Arial" w:cs="Arial" w:eastAsia="Arial" w:hAnsi="Arial"/>
          <w:sz w:val="22"/>
          <w:szCs w:val="22"/>
          <w:color w:val="auto"/>
        </w:rPr>
      </w:pPr>
    </w:p>
    <w:p>
      <w:pPr>
        <w:ind w:left="2400" w:hanging="448"/>
        <w:spacing w:after="0"/>
        <w:tabs>
          <w:tab w:leader="none" w:pos="24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Indebtedness in respect of the Obligations;</w:t>
      </w:r>
    </w:p>
    <w:p>
      <w:pPr>
        <w:spacing w:after="0" w:line="179" w:lineRule="exact"/>
        <w:rPr>
          <w:rFonts w:ascii="Arial" w:cs="Arial" w:eastAsia="Arial" w:hAnsi="Arial"/>
          <w:sz w:val="22"/>
          <w:szCs w:val="22"/>
          <w:color w:val="auto"/>
        </w:rPr>
      </w:pPr>
    </w:p>
    <w:p>
      <w:pPr>
        <w:jc w:val="both"/>
        <w:ind w:firstLine="1952"/>
        <w:spacing w:after="0" w:line="216" w:lineRule="auto"/>
        <w:tabs>
          <w:tab w:leader="none" w:pos="2573" w:val="left"/>
        </w:tabs>
        <w:numPr>
          <w:ilvl w:val="1"/>
          <w:numId w:val="177"/>
        </w:numPr>
        <w:rPr>
          <w:rFonts w:ascii="Arial" w:cs="Arial" w:eastAsia="Arial" w:hAnsi="Arial"/>
          <w:sz w:val="22"/>
          <w:szCs w:val="22"/>
          <w:color w:val="auto"/>
        </w:rPr>
      </w:pPr>
      <w:r>
        <w:rPr>
          <w:rFonts w:ascii="Arial" w:cs="Arial" w:eastAsia="Arial" w:hAnsi="Arial"/>
          <w:sz w:val="22"/>
          <w:szCs w:val="22"/>
          <w:color w:val="auto"/>
        </w:rPr>
        <w:t xml:space="preserve">Indebtedness (other than revolving credit facilities or commitments therefore) of a Person, that becomes a Subsidiary of the Borrower pursuant to a Permitted Acquisition, assumed at the time of such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Indebtedness was not incurred in connection with, or in anticipation or contemplation of, such Permitted Acquisition and (ii) the aggregate principal amount of all Indebtedness permitted by this </w:t>
      </w:r>
      <w:r>
        <w:rPr>
          <w:rFonts w:ascii="Arial" w:cs="Arial" w:eastAsia="Arial" w:hAnsi="Arial"/>
          <w:sz w:val="22"/>
          <w:szCs w:val="22"/>
          <w:u w:val="single" w:color="auto"/>
          <w:color w:val="auto"/>
        </w:rPr>
        <w:t>Section 9.01(b)</w:t>
      </w:r>
      <w:r>
        <w:rPr>
          <w:rFonts w:ascii="Arial" w:cs="Arial" w:eastAsia="Arial" w:hAnsi="Arial"/>
          <w:sz w:val="22"/>
          <w:szCs w:val="22"/>
          <w:color w:val="auto"/>
        </w:rPr>
        <w:t xml:space="preserve"> shall not at any time outstanding exceed $10,000,000;</w:t>
      </w:r>
    </w:p>
    <w:p>
      <w:pPr>
        <w:spacing w:after="0" w:line="157" w:lineRule="exact"/>
        <w:rPr>
          <w:rFonts w:ascii="Arial" w:cs="Arial" w:eastAsia="Arial" w:hAnsi="Arial"/>
          <w:sz w:val="22"/>
          <w:szCs w:val="22"/>
          <w:color w:val="auto"/>
        </w:rPr>
      </w:pPr>
    </w:p>
    <w:p>
      <w:pPr>
        <w:ind w:firstLine="1952"/>
        <w:spacing w:after="0" w:line="232" w:lineRule="auto"/>
        <w:tabs>
          <w:tab w:leader="none" w:pos="2416" w:val="left"/>
        </w:tabs>
        <w:numPr>
          <w:ilvl w:val="1"/>
          <w:numId w:val="177"/>
        </w:numPr>
        <w:rPr>
          <w:rFonts w:ascii="Arial" w:cs="Arial" w:eastAsia="Arial" w:hAnsi="Arial"/>
          <w:sz w:val="22"/>
          <w:szCs w:val="22"/>
          <w:color w:val="auto"/>
        </w:rPr>
      </w:pPr>
      <w:r>
        <w:rPr>
          <w:rFonts w:ascii="Arial" w:cs="Arial" w:eastAsia="Arial" w:hAnsi="Arial"/>
          <w:sz w:val="22"/>
          <w:szCs w:val="22"/>
          <w:color w:val="auto"/>
        </w:rPr>
        <w:t xml:space="preserve">Indebtedness existing as of the Closing Date which is identified with particularity (including amount) in </w:t>
      </w:r>
      <w:r>
        <w:rPr>
          <w:rFonts w:ascii="Arial" w:cs="Arial" w:eastAsia="Arial" w:hAnsi="Arial"/>
          <w:sz w:val="22"/>
          <w:szCs w:val="22"/>
          <w:u w:val="single" w:color="auto"/>
          <w:color w:val="auto"/>
        </w:rPr>
        <w:t>Schedule 7.25</w:t>
      </w:r>
      <w:r>
        <w:rPr>
          <w:rFonts w:ascii="Arial" w:cs="Arial" w:eastAsia="Arial" w:hAnsi="Arial"/>
          <w:sz w:val="22"/>
          <w:szCs w:val="22"/>
          <w:color w:val="auto"/>
        </w:rPr>
        <w:t xml:space="preserve"> and which is not otherwise permitted by this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ectPr>
          <w:pgSz w:w="11900" w:h="16838" w:orient="portrait"/>
          <w:cols w:equalWidth="0" w:num="1">
            <w:col w:w="11240"/>
          </w:cols>
          <w:pgMar w:left="320" w:top="1401" w:right="339" w:bottom="1440" w:gutter="0" w:footer="0" w:header="0"/>
        </w:sectPr>
      </w:pPr>
    </w:p>
    <w:bookmarkStart w:id="158" w:name="page159"/>
    <w:bookmarkEnd w:id="158"/>
    <w:p>
      <w:pPr>
        <w:spacing w:after="0" w:line="177" w:lineRule="exact"/>
        <w:rPr>
          <w:sz w:val="20"/>
          <w:szCs w:val="20"/>
          <w:color w:val="auto"/>
        </w:rPr>
      </w:pPr>
    </w:p>
    <w:p>
      <w:pPr>
        <w:jc w:val="both"/>
        <w:ind w:left="-1120" w:firstLine="1952"/>
        <w:spacing w:after="0" w:line="223" w:lineRule="auto"/>
        <w:tabs>
          <w:tab w:leader="none" w:pos="135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Indebtedness in respect of performance, surety or appeal bonds provided in the Ordinary Course of Business, but excluding (in each case) Indebtedness incurred through the borrowing of money or Contingent Liabilities in respect thereof;</w:t>
      </w:r>
    </w:p>
    <w:p>
      <w:pPr>
        <w:spacing w:after="0" w:line="158" w:lineRule="exact"/>
        <w:rPr>
          <w:rFonts w:ascii="Arial" w:cs="Arial" w:eastAsia="Arial" w:hAnsi="Arial"/>
          <w:sz w:val="22"/>
          <w:szCs w:val="22"/>
          <w:color w:val="auto"/>
        </w:rPr>
      </w:pPr>
    </w:p>
    <w:p>
      <w:pPr>
        <w:jc w:val="both"/>
        <w:ind w:left="-1120" w:firstLine="1952"/>
        <w:spacing w:after="0" w:line="214" w:lineRule="auto"/>
        <w:tabs>
          <w:tab w:leader="none" w:pos="137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Indebtedness (i) evidencing the deferred purchase price of newly acquired property or incurred to finance the acquisition of equipment of such Loan Party and its Subsidiaries (pursuant to purchase money mortgages or otherwise, whether owed to the seller or a third party) used in the Ordinary Course of Business of such Loan Party and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is incurred within one hundred twenty (120) days of the acquisition of such property, and (ii) consisting of Capitalized Lease Obligations, in an aggregate amount for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not to exceed $5,000,000 at any time outstanding;</w:t>
      </w:r>
    </w:p>
    <w:p>
      <w:pPr>
        <w:spacing w:after="0" w:line="158" w:lineRule="exact"/>
        <w:rPr>
          <w:rFonts w:ascii="Arial" w:cs="Arial" w:eastAsia="Arial" w:hAnsi="Arial"/>
          <w:sz w:val="22"/>
          <w:szCs w:val="22"/>
          <w:color w:val="auto"/>
        </w:rPr>
      </w:pPr>
    </w:p>
    <w:p>
      <w:pPr>
        <w:jc w:val="both"/>
        <w:ind w:left="-1120" w:firstLine="1952"/>
        <w:spacing w:after="0" w:line="223" w:lineRule="auto"/>
        <w:tabs>
          <w:tab w:leader="none" w:pos="1283" w:val="left"/>
        </w:tabs>
        <w:numPr>
          <w:ilvl w:val="0"/>
          <w:numId w:val="178"/>
        </w:numPr>
        <w:rPr>
          <w:rFonts w:ascii="Arial" w:cs="Arial" w:eastAsia="Arial" w:hAnsi="Arial"/>
          <w:sz w:val="22"/>
          <w:szCs w:val="22"/>
          <w:color w:val="auto"/>
        </w:rPr>
      </w:pPr>
      <w:r>
        <w:rPr>
          <w:rFonts w:ascii="Arial" w:cs="Arial" w:eastAsia="Arial" w:hAnsi="Arial"/>
          <w:sz w:val="22"/>
          <w:szCs w:val="22"/>
          <w:color w:val="auto"/>
        </w:rPr>
        <w:t>Guaranty Obligations of a Loan Party in respect of Indebtedness of a Loan Party otherwise permitted hereunder, and Guaranty Obligations of a Subsidiary of a Loan Party in respect of Indebtedness of a Loan Party or any Subsidiary of a Loan Party otherwise permitted hereunder;</w:t>
      </w:r>
    </w:p>
    <w:p>
      <w:pPr>
        <w:spacing w:after="0" w:line="158" w:lineRule="exact"/>
        <w:rPr>
          <w:rFonts w:ascii="Arial" w:cs="Arial" w:eastAsia="Arial" w:hAnsi="Arial"/>
          <w:sz w:val="22"/>
          <w:szCs w:val="22"/>
          <w:color w:val="auto"/>
        </w:rPr>
      </w:pPr>
    </w:p>
    <w:p>
      <w:pPr>
        <w:jc w:val="both"/>
        <w:ind w:left="-1120" w:firstLine="1952"/>
        <w:spacing w:after="0" w:line="214" w:lineRule="auto"/>
        <w:tabs>
          <w:tab w:leader="none" w:pos="132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Indebtedness in an aggregate amount not to exceed $2,500,000 at any time outstanding consisting of promissory notes issued by the Borrower or any Subsidiary to any stockholder of the Borrower or to future, present or former directors, officers, members of management, employees or consultants of the Borrower, the Borrower or any of its Subsidiaries or their respective estates, executors, administrators, heirs, family members, legatees, distributees, spouses or former spouses, domestic partners or former domestic partners to finance the purchase or redemption of Capital Stock of the Borrower permitted by </w:t>
      </w:r>
      <w:r>
        <w:rPr>
          <w:rFonts w:ascii="Arial" w:cs="Arial" w:eastAsia="Arial" w:hAnsi="Arial"/>
          <w:sz w:val="22"/>
          <w:szCs w:val="22"/>
          <w:u w:val="single" w:color="auto"/>
          <w:color w:val="auto"/>
        </w:rPr>
        <w:t>Section 9.06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120" w:firstLine="1952"/>
        <w:spacing w:after="0" w:line="232" w:lineRule="auto"/>
        <w:tabs>
          <w:tab w:leader="none" w:pos="13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non-recourse Indebtedness incurred by the Borrower or any of its Subsidiaries to finance the payment of insurance premiums of such Person;</w:t>
      </w:r>
    </w:p>
    <w:p>
      <w:pPr>
        <w:spacing w:after="0" w:line="158" w:lineRule="exact"/>
        <w:rPr>
          <w:rFonts w:ascii="Arial" w:cs="Arial" w:eastAsia="Arial" w:hAnsi="Arial"/>
          <w:sz w:val="22"/>
          <w:szCs w:val="22"/>
          <w:color w:val="auto"/>
        </w:rPr>
      </w:pPr>
    </w:p>
    <w:p>
      <w:pPr>
        <w:jc w:val="both"/>
        <w:ind w:left="-1120" w:firstLine="1952"/>
        <w:spacing w:after="0" w:line="257" w:lineRule="auto"/>
        <w:tabs>
          <w:tab w:leader="none" w:pos="136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Indebtedness (i) owed to any Person providing worker’s compensation, health, disability or other employee benefits or property, casualty or liability insurance to the Borrower or any of its Subsidiaries incurred in connection with such Person providing such benefits or insurance pursuant to customary reimbursement or indemnification obligations to such Person and (ii) appeal or similar bonds, or bonds with respect to worker’s compensation claims;</w:t>
      </w:r>
    </w:p>
    <w:p>
      <w:pPr>
        <w:spacing w:after="0" w:line="144" w:lineRule="exact"/>
        <w:rPr>
          <w:rFonts w:ascii="Arial" w:cs="Arial" w:eastAsia="Arial" w:hAnsi="Arial"/>
          <w:sz w:val="19"/>
          <w:szCs w:val="19"/>
          <w:color w:val="auto"/>
        </w:rPr>
      </w:pPr>
    </w:p>
    <w:p>
      <w:pPr>
        <w:jc w:val="both"/>
        <w:ind w:left="-1120" w:firstLine="1952"/>
        <w:spacing w:after="0" w:line="220" w:lineRule="auto"/>
        <w:tabs>
          <w:tab w:leader="none" w:pos="128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unsecured Indebtedness consisting of intercompany loans and advances made by or among any Loan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in the case of any Indebtedness of any Subsidiary that is not a Loan Party owing to any Loan Party, solely to the extent the related Investment shall be permitted under </w:t>
      </w:r>
      <w:r>
        <w:rPr>
          <w:rFonts w:ascii="Arial" w:cs="Arial" w:eastAsia="Arial" w:hAnsi="Arial"/>
          <w:sz w:val="21"/>
          <w:szCs w:val="21"/>
          <w:u w:val="single" w:color="auto"/>
          <w:color w:val="auto"/>
        </w:rPr>
        <w:t>Section 9.05</w:t>
      </w:r>
      <w:r>
        <w:rPr>
          <w:rFonts w:ascii="Arial" w:cs="Arial" w:eastAsia="Arial" w:hAnsi="Arial"/>
          <w:sz w:val="21"/>
          <w:szCs w:val="21"/>
          <w:color w:val="auto"/>
        </w:rPr>
        <w:t>; (y) any Indebtedness of any Loan Party to any Subsidiary that is not a Loan Party shall be documented in the form of one or more notes (collectively, the “</w:t>
      </w:r>
      <w:r>
        <w:rPr>
          <w:rFonts w:ascii="Arial" w:cs="Arial" w:eastAsia="Arial" w:hAnsi="Arial"/>
          <w:sz w:val="21"/>
          <w:szCs w:val="21"/>
          <w:u w:val="single" w:color="auto"/>
          <w:color w:val="auto"/>
        </w:rPr>
        <w:t>Intercompany Notes</w:t>
      </w:r>
      <w:r>
        <w:rPr>
          <w:rFonts w:ascii="Arial" w:cs="Arial" w:eastAsia="Arial" w:hAnsi="Arial"/>
          <w:sz w:val="21"/>
          <w:szCs w:val="21"/>
          <w:color w:val="auto"/>
        </w:rPr>
        <w:t>”) to evidence all such intercompany Indebtedness owing at any time by such non-Loan Party to such other Loan Party, which Intercompany Notes shall be in form and substance satisfactory to the Administrative Agent and shall be pledged and delivered to the Collateral Agent for the benefit of the Secured Parties pursuant to the Guaranty and Security Agreement as additional collateral security for the Obligations; and (z) the obligations of each Subsidiary that is not a Loan Party under all Intercompany Notes shall be subordinated in right of payment to the Obligations hereunder in a manner satisfactory to the Administrative Agent;</w:t>
      </w:r>
    </w:p>
    <w:p>
      <w:pPr>
        <w:spacing w:after="0" w:line="162" w:lineRule="exact"/>
        <w:rPr>
          <w:rFonts w:ascii="Arial" w:cs="Arial" w:eastAsia="Arial" w:hAnsi="Arial"/>
          <w:sz w:val="21"/>
          <w:szCs w:val="21"/>
          <w:color w:val="auto"/>
        </w:rPr>
      </w:pPr>
    </w:p>
    <w:p>
      <w:pPr>
        <w:jc w:val="both"/>
        <w:ind w:left="-1120" w:firstLine="1952"/>
        <w:spacing w:after="0" w:line="268" w:lineRule="auto"/>
        <w:tabs>
          <w:tab w:leader="none" w:pos="130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non-recourse Indebtedness incurred in the Ordinary Course of Business by the Borrower or any of its Subsidiaries to finance the payment of insurance premiums of such Person, so long as the amount of such Indebtedness is not in excess of the amount of the unpaid cost of, and shall be incurred only to defer the cost of, such insurance premiums;</w:t>
      </w:r>
    </w:p>
    <w:p>
      <w:pPr>
        <w:sectPr>
          <w:pgSz w:w="11900" w:h="16838" w:orient="portrait"/>
          <w:cols w:equalWidth="0" w:num="1">
            <w:col w:w="10120"/>
          </w:cols>
          <w:pgMar w:left="1440" w:top="1440" w:right="339" w:bottom="1440" w:gutter="0" w:footer="0" w:header="0"/>
        </w:sectPr>
      </w:pPr>
    </w:p>
    <w:bookmarkStart w:id="159" w:name="page160"/>
    <w:bookmarkEnd w:id="159"/>
    <w:p>
      <w:pPr>
        <w:spacing w:after="0" w:line="177" w:lineRule="exact"/>
        <w:rPr>
          <w:sz w:val="20"/>
          <w:szCs w:val="20"/>
          <w:color w:val="auto"/>
        </w:rPr>
      </w:pPr>
    </w:p>
    <w:p>
      <w:pPr>
        <w:jc w:val="both"/>
        <w:ind w:left="-1120" w:firstLine="1952"/>
        <w:spacing w:after="0" w:line="218" w:lineRule="auto"/>
        <w:tabs>
          <w:tab w:leader="none" w:pos="153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Indebtedness owed in the Ordinary Course of Business to any Person providing worker’s compensation, health, disability or other employee benefits or property, casualty or liability insurance to the Borrower or any of its Subsidiaries incurred in connection with such Person providing such benefits or insurance pursuant to customary reimbursement or indemnification obligations to such Person;</w:t>
      </w:r>
    </w:p>
    <w:p>
      <w:pPr>
        <w:spacing w:after="0" w:line="160" w:lineRule="exact"/>
        <w:rPr>
          <w:rFonts w:ascii="Arial" w:cs="Arial" w:eastAsia="Arial" w:hAnsi="Arial"/>
          <w:sz w:val="22"/>
          <w:szCs w:val="22"/>
          <w:color w:val="auto"/>
        </w:rPr>
      </w:pPr>
    </w:p>
    <w:p>
      <w:pPr>
        <w:jc w:val="both"/>
        <w:ind w:left="-1120" w:firstLine="1952"/>
        <w:spacing w:after="0" w:line="223" w:lineRule="auto"/>
        <w:tabs>
          <w:tab w:leader="none" w:pos="135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the extent constituting Indebtedness, contingent obligations arising under indemnity agreements to title insurance companies to cause such title insurers to issue title insurance policies in the Ordinary Course of Business with respect to the real property of the Borrower or any other Loan Party;</w:t>
      </w:r>
    </w:p>
    <w:p>
      <w:pPr>
        <w:spacing w:after="0" w:line="158" w:lineRule="exact"/>
        <w:rPr>
          <w:rFonts w:ascii="Arial" w:cs="Arial" w:eastAsia="Arial" w:hAnsi="Arial"/>
          <w:sz w:val="22"/>
          <w:szCs w:val="22"/>
          <w:color w:val="auto"/>
        </w:rPr>
      </w:pPr>
    </w:p>
    <w:p>
      <w:pPr>
        <w:jc w:val="both"/>
        <w:ind w:left="-1120" w:firstLine="1952"/>
        <w:spacing w:after="0" w:line="257" w:lineRule="auto"/>
        <w:tabs>
          <w:tab w:leader="none" w:pos="131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to the extent constituting Indebtedness, customary indemnification and purchase price adjustments or similar obligations (including earn-outs) incurred or assumed in connection with Investments and Dispositions otherwise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permitted pursuant to this clause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shall not consist of, or be evidenced by, promissory notes or other instruments or agreements evidencing debt for borrowed money;</w:t>
      </w:r>
    </w:p>
    <w:p>
      <w:pPr>
        <w:spacing w:after="0" w:line="144" w:lineRule="exact"/>
        <w:rPr>
          <w:rFonts w:ascii="Arial" w:cs="Arial" w:eastAsia="Arial" w:hAnsi="Arial"/>
          <w:sz w:val="19"/>
          <w:szCs w:val="19"/>
          <w:color w:val="auto"/>
        </w:rPr>
      </w:pPr>
    </w:p>
    <w:p>
      <w:pPr>
        <w:ind w:left="-1120" w:firstLine="1952"/>
        <w:spacing w:after="0" w:line="232" w:lineRule="auto"/>
        <w:tabs>
          <w:tab w:leader="none" w:pos="143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the extent constituting Indebtedness, unfunded pension fund and other employee benefit plan obligations and liabilities to the extent they are permitted to remain unfunded under Applicable Law;</w:t>
      </w:r>
    </w:p>
    <w:p>
      <w:pPr>
        <w:spacing w:after="0" w:line="158" w:lineRule="exact"/>
        <w:rPr>
          <w:rFonts w:ascii="Arial" w:cs="Arial" w:eastAsia="Arial" w:hAnsi="Arial"/>
          <w:sz w:val="22"/>
          <w:szCs w:val="22"/>
          <w:color w:val="auto"/>
        </w:rPr>
      </w:pPr>
    </w:p>
    <w:p>
      <w:pPr>
        <w:jc w:val="both"/>
        <w:ind w:left="-1120" w:firstLine="1952"/>
        <w:spacing w:after="0" w:line="223" w:lineRule="auto"/>
        <w:tabs>
          <w:tab w:leader="none" w:pos="138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the extent constituting Indebtedness, deferred compensation or similar arrangements payable to future, present or former directors, officers, employees, members of management or consultants of the Borrower and its Subsidiaries in an aggregate amount not to exceed $3,000,000 outstanding at any one time;</w:t>
      </w:r>
    </w:p>
    <w:p>
      <w:pPr>
        <w:spacing w:after="0" w:line="158" w:lineRule="exact"/>
        <w:rPr>
          <w:rFonts w:ascii="Arial" w:cs="Arial" w:eastAsia="Arial" w:hAnsi="Arial"/>
          <w:sz w:val="22"/>
          <w:szCs w:val="22"/>
          <w:color w:val="auto"/>
        </w:rPr>
      </w:pPr>
    </w:p>
    <w:p>
      <w:pPr>
        <w:ind w:left="1300" w:hanging="468"/>
        <w:spacing w:after="0"/>
        <w:tabs>
          <w:tab w:leader="none" w:pos="13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Indebtedness in respect of repurchase agreements constituting Cash Equivalents;</w:t>
      </w:r>
    </w:p>
    <w:p>
      <w:pPr>
        <w:spacing w:after="0" w:line="179" w:lineRule="exact"/>
        <w:rPr>
          <w:rFonts w:ascii="Arial" w:cs="Arial" w:eastAsia="Arial" w:hAnsi="Arial"/>
          <w:sz w:val="22"/>
          <w:szCs w:val="22"/>
          <w:color w:val="auto"/>
        </w:rPr>
      </w:pPr>
    </w:p>
    <w:p>
      <w:pPr>
        <w:jc w:val="both"/>
        <w:ind w:left="-1120" w:firstLine="1952"/>
        <w:spacing w:after="0" w:line="222" w:lineRule="auto"/>
        <w:tabs>
          <w:tab w:leader="none" w:pos="1266" w:val="left"/>
        </w:tabs>
        <w:numPr>
          <w:ilvl w:val="0"/>
          <w:numId w:val="179"/>
        </w:numPr>
        <w:rPr>
          <w:rFonts w:ascii="Arial" w:cs="Arial" w:eastAsia="Arial" w:hAnsi="Arial"/>
          <w:sz w:val="21"/>
          <w:szCs w:val="21"/>
          <w:color w:val="auto"/>
        </w:rPr>
      </w:pPr>
      <w:r>
        <w:rPr>
          <w:rFonts w:ascii="Arial" w:cs="Arial" w:eastAsia="Arial" w:hAnsi="Arial"/>
          <w:sz w:val="21"/>
          <w:szCs w:val="21"/>
          <w:color w:val="auto"/>
        </w:rPr>
        <w:t>cash management obligations and Indebtedness incurred by the Borrower or any Subsidiary in respect of netting services, overdraft protections, commercial credit cards, stored value cards, purchasing cards and treasury management services, automated clearing-house arrangements, employee credit card programs, controlled disbursement, ACH transactions, return items, interstate deposit network services, dealer incentive, supplier finance or similar programs, Society for Worldwide Interbank Financial Telecommunication transfers, cash pooling and operational foreign exchange management and similar arrangements, in each case entered into in the Ordinary Course of Business in connection with cash management, including among the Borrower and its Subsidiaries, and deposit accounts;</w:t>
      </w:r>
    </w:p>
    <w:p>
      <w:pPr>
        <w:spacing w:after="0" w:line="164" w:lineRule="exact"/>
        <w:rPr>
          <w:rFonts w:ascii="Arial" w:cs="Arial" w:eastAsia="Arial" w:hAnsi="Arial"/>
          <w:sz w:val="21"/>
          <w:szCs w:val="21"/>
          <w:color w:val="auto"/>
        </w:rPr>
      </w:pPr>
    </w:p>
    <w:p>
      <w:pPr>
        <w:jc w:val="both"/>
        <w:ind w:left="-1120" w:firstLine="1952"/>
        <w:spacing w:after="0" w:line="218" w:lineRule="auto"/>
        <w:tabs>
          <w:tab w:leader="none" w:pos="143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unsecured Indebtedness in respect of obligations of the Borrower or any Subsidiary to pay the deferred purchase price of goods or services or progress payments in connection with such goods and services;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obligations are incurred in connection with open accounts extended by suppliers on customary trade terms in the Ordinary Course of Business and not in connection with the borrowing of money;</w:t>
      </w:r>
    </w:p>
    <w:p>
      <w:pPr>
        <w:spacing w:after="0" w:line="160" w:lineRule="exact"/>
        <w:rPr>
          <w:rFonts w:ascii="Arial" w:cs="Arial" w:eastAsia="Arial" w:hAnsi="Arial"/>
          <w:sz w:val="22"/>
          <w:szCs w:val="22"/>
          <w:color w:val="auto"/>
        </w:rPr>
      </w:pPr>
    </w:p>
    <w:p>
      <w:pPr>
        <w:ind w:left="-1120" w:firstLine="1952"/>
        <w:spacing w:after="0" w:line="232" w:lineRule="auto"/>
        <w:tabs>
          <w:tab w:leader="none" w:pos="143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the extent constituting Indebtedness, Guarantees in the Ordinary Course of Business of the obligations of suppliers, customers, franchisees and licensees of the Borrower and its Subsidiaries;</w:t>
      </w:r>
    </w:p>
    <w:p>
      <w:pPr>
        <w:spacing w:after="0" w:line="158" w:lineRule="exact"/>
        <w:rPr>
          <w:rFonts w:ascii="Arial" w:cs="Arial" w:eastAsia="Arial" w:hAnsi="Arial"/>
          <w:sz w:val="22"/>
          <w:szCs w:val="22"/>
          <w:color w:val="auto"/>
        </w:rPr>
      </w:pPr>
    </w:p>
    <w:p>
      <w:pPr>
        <w:ind w:left="-1120" w:firstLine="1952"/>
        <w:spacing w:after="0" w:line="232" w:lineRule="auto"/>
        <w:tabs>
          <w:tab w:leader="none" w:pos="159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customer deposits and advance payments received in the Ordinary Course of Business from customers for goods and services purchased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-219075</wp:posOffset>
            </wp:positionV>
            <wp:extent cx="660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60" w:name="page161"/>
    <w:bookmarkEnd w:id="160"/>
    <w:p>
      <w:pPr>
        <w:spacing w:after="0" w:line="177" w:lineRule="exact"/>
        <w:rPr>
          <w:sz w:val="20"/>
          <w:szCs w:val="20"/>
          <w:color w:val="auto"/>
        </w:rPr>
      </w:pPr>
    </w:p>
    <w:p>
      <w:pPr>
        <w:jc w:val="both"/>
        <w:ind w:firstLine="1952"/>
        <w:spacing w:after="0" w:line="214" w:lineRule="auto"/>
        <w:tabs>
          <w:tab w:leader="none" w:pos="244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Indebtedness arising in connection with Hedging Agreements entered into in the Ordinary Course of Business (and not for speculative purposes) (a) to hedge or mitigate risks to which the Borrower or any Subsidiary has actual or potential exposure (other than those in respect of Capital Stock of the Borrower or any of its Subsidiaries), including to hedge or mitigate foreign currency and commodity price risks and (b) to effectively cap, collar or exchange interest rates (from fixed to floating rates, from one floating rate to another floating rate or otherwise) with respect to any interest-bearing liability of the Borrower or any Subsidiary; and</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68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other Indebtedness not to exceed $5,000,000 in the aggregate principal amount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Liens securing such Indebtedness shall rank junior in priority to the Liens securing the Secured Obligations;</w:t>
      </w:r>
    </w:p>
    <w:p>
      <w:pPr>
        <w:spacing w:after="0" w:line="158" w:lineRule="exact"/>
        <w:rPr>
          <w:rFonts w:ascii="Arial" w:cs="Arial" w:eastAsia="Arial" w:hAnsi="Arial"/>
          <w:sz w:val="22"/>
          <w:szCs w:val="22"/>
          <w:color w:val="auto"/>
        </w:rPr>
      </w:pPr>
    </w:p>
    <w:p>
      <w:pPr>
        <w:jc w:val="both"/>
        <w:ind w:firstLine="1952"/>
        <w:spacing w:after="0" w:line="249" w:lineRule="auto"/>
        <w:tabs>
          <w:tab w:leader="none" w:pos="243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other Indebtedness not to exceed $10,000,000 in the aggregate at any time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(x) shall rank junior in priority to the Liens securing the Obligations pursuant to an intercreditor agreement in form and substance reasonably satisfactory to the Administrative Agent, (y) shall, at the time such Indebtedness is incurred, have a scheduled maturity date that is at least ninety-one (91) days following the Latest Maturity Date and (z) shall not require (and the applicable Loan Party or Subsidiary of such Loan Party shall not make) payments of principal thereon prior to a date that is, at the time such Indebtedness in incurred, at least ninety-one (91) days following the Latest Maturity Date; and</w:t>
      </w:r>
    </w:p>
    <w:p>
      <w:pPr>
        <w:spacing w:after="0" w:line="151" w:lineRule="exact"/>
        <w:rPr>
          <w:rFonts w:ascii="Arial" w:cs="Arial" w:eastAsia="Arial" w:hAnsi="Arial"/>
          <w:sz w:val="19"/>
          <w:szCs w:val="19"/>
          <w:color w:val="auto"/>
        </w:rPr>
      </w:pPr>
    </w:p>
    <w:p>
      <w:pPr>
        <w:ind w:firstLine="1952"/>
        <w:spacing w:after="0" w:line="232" w:lineRule="auto"/>
        <w:tabs>
          <w:tab w:leader="none" w:pos="247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Indebtedness pursuant to the Existing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Refinancing occurs with the proceeds of Loans and/or the PIPE Transactions on or prior to the Closing Date.</w:t>
      </w:r>
    </w:p>
    <w:p>
      <w:pPr>
        <w:spacing w:after="0" w:line="159" w:lineRule="exact"/>
        <w:rPr>
          <w:sz w:val="20"/>
          <w:szCs w:val="20"/>
          <w:color w:val="auto"/>
        </w:rPr>
      </w:pPr>
    </w:p>
    <w:p>
      <w:pPr>
        <w:ind w:firstLine="923"/>
        <w:spacing w:after="0" w:line="232" w:lineRule="auto"/>
        <w:rPr>
          <w:sz w:val="20"/>
          <w:szCs w:val="20"/>
          <w:color w:val="auto"/>
        </w:rPr>
      </w:pPr>
      <w:r>
        <w:rPr>
          <w:rFonts w:ascii="Arial" w:cs="Arial" w:eastAsia="Arial" w:hAnsi="Arial"/>
          <w:sz w:val="22"/>
          <w:szCs w:val="22"/>
          <w:color w:val="auto"/>
        </w:rPr>
        <w:t>For the avoidance of doubt, Indebtedness incurred pursuant to the foregoing clause (w) or (x) shall not be utilized to increase the Incremental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-219075</wp:posOffset>
            </wp:positionV>
            <wp:extent cx="1746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Limitation on Liens</w:t>
      </w:r>
    </w:p>
    <w:p>
      <w:pPr>
        <w:spacing w:after="0" w:line="179" w:lineRule="exact"/>
        <w:rPr>
          <w:sz w:val="20"/>
          <w:szCs w:val="20"/>
          <w:color w:val="auto"/>
        </w:rPr>
      </w:pPr>
    </w:p>
    <w:p>
      <w:pPr>
        <w:jc w:val="both"/>
        <w:ind w:firstLine="656"/>
        <w:spacing w:after="0" w:line="218" w:lineRule="auto"/>
        <w:tabs>
          <w:tab w:leader="none" w:pos="77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Subsidiaries to, directly or indirectly, create, incur, assume or suffer to exist any Lien upon any property or assets of any kind (real or personal, tangible or intangible) of any such Person (including its Capital Stock), whether now owned or hereafter acquired, except for the following Liens (collectively, “</w:t>
      </w:r>
      <w:r>
        <w:rPr>
          <w:rFonts w:ascii="Arial" w:cs="Arial" w:eastAsia="Arial" w:hAnsi="Arial"/>
          <w:sz w:val="22"/>
          <w:szCs w:val="22"/>
          <w:u w:val="single" w:color="auto"/>
          <w:color w:val="auto"/>
        </w:rPr>
        <w:t>Permitted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2400" w:hanging="448"/>
        <w:spacing w:after="0"/>
        <w:tabs>
          <w:tab w:leader="none" w:pos="240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Liens securing payment of the Secured Obligations;</w:t>
      </w:r>
    </w:p>
    <w:p>
      <w:pPr>
        <w:spacing w:after="0" w:line="179" w:lineRule="exact"/>
        <w:rPr>
          <w:rFonts w:ascii="Arial" w:cs="Arial" w:eastAsia="Arial" w:hAnsi="Arial"/>
          <w:sz w:val="22"/>
          <w:szCs w:val="22"/>
          <w:color w:val="auto"/>
        </w:rPr>
      </w:pPr>
    </w:p>
    <w:p>
      <w:pPr>
        <w:jc w:val="both"/>
        <w:ind w:firstLine="1952"/>
        <w:spacing w:after="0" w:line="249" w:lineRule="auto"/>
        <w:tabs>
          <w:tab w:leader="none" w:pos="2459"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(i) Liens securing pension obligations that arise in the Ordinary Course of Business and (ii) pledges and deposits made in the Ordinary Course of Business (A) in connection with workers’ compensation, health, disability or other employee benefits, unemployment insurance and other social security laws or regulations (excluding Liens arising under ERISA), property, casualty or liability insurance or premiums related thereto or self-insurance obligations or (B) to secure letters of credit, bank guarantees or similar instruments posted to support payment of items set forth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letters of credit, bank guarantees or instruments are issued in compliance with </w:t>
      </w:r>
      <w:r>
        <w:rPr>
          <w:rFonts w:ascii="Arial" w:cs="Arial" w:eastAsia="Arial" w:hAnsi="Arial"/>
          <w:sz w:val="19"/>
          <w:szCs w:val="19"/>
          <w:u w:val="single" w:color="auto"/>
          <w:color w:val="auto"/>
        </w:rPr>
        <w:t>Section 9.01</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1952"/>
        <w:spacing w:after="0" w:line="223" w:lineRule="auto"/>
        <w:tabs>
          <w:tab w:leader="none" w:pos="246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 xml:space="preserve">Liens existing as of the Closing Date and listed on </w:t>
      </w:r>
      <w:r>
        <w:rPr>
          <w:rFonts w:ascii="Arial" w:cs="Arial" w:eastAsia="Arial" w:hAnsi="Arial"/>
          <w:sz w:val="22"/>
          <w:szCs w:val="22"/>
          <w:u w:val="single" w:color="auto"/>
          <w:color w:val="auto"/>
        </w:rPr>
        <w:t>Schedule 9.02</w:t>
      </w:r>
      <w:r>
        <w:rPr>
          <w:rFonts w:ascii="Arial" w:cs="Arial" w:eastAsia="Arial" w:hAnsi="Arial"/>
          <w:sz w:val="22"/>
          <w:szCs w:val="22"/>
          <w:color w:val="auto"/>
        </w:rPr>
        <w:t xml:space="preserve">, securing Indebtedness permitted under </w:t>
      </w:r>
      <w:r>
        <w:rPr>
          <w:rFonts w:ascii="Arial" w:cs="Arial" w:eastAsia="Arial" w:hAnsi="Arial"/>
          <w:sz w:val="22"/>
          <w:szCs w:val="22"/>
          <w:u w:val="single" w:color="auto"/>
          <w:color w:val="auto"/>
        </w:rPr>
        <w:t>Section 9.01(c)</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Lien shall encumber any additional property not encumbered as of the Closing Date;</w:t>
      </w:r>
    </w:p>
    <w:p>
      <w:pPr>
        <w:spacing w:after="0" w:line="158" w:lineRule="exact"/>
        <w:rPr>
          <w:rFonts w:ascii="Arial" w:cs="Arial" w:eastAsia="Arial" w:hAnsi="Arial"/>
          <w:sz w:val="22"/>
          <w:szCs w:val="22"/>
          <w:color w:val="auto"/>
        </w:rPr>
      </w:pPr>
    </w:p>
    <w:p>
      <w:pPr>
        <w:ind w:firstLine="1952"/>
        <w:spacing w:after="0" w:line="232" w:lineRule="auto"/>
        <w:tabs>
          <w:tab w:leader="none" w:pos="2439" w:val="left"/>
        </w:tabs>
        <w:numPr>
          <w:ilvl w:val="1"/>
          <w:numId w:val="181"/>
        </w:numPr>
        <w:rPr>
          <w:rFonts w:ascii="Arial" w:cs="Arial" w:eastAsia="Arial" w:hAnsi="Arial"/>
          <w:sz w:val="22"/>
          <w:szCs w:val="22"/>
          <w:color w:val="auto"/>
        </w:rPr>
      </w:pPr>
      <w:r>
        <w:rPr>
          <w:rFonts w:ascii="Arial" w:cs="Arial" w:eastAsia="Arial" w:hAnsi="Arial"/>
          <w:sz w:val="22"/>
          <w:szCs w:val="22"/>
          <w:color w:val="auto"/>
        </w:rPr>
        <w:t xml:space="preserve">Liens securing Indebtedness of the type permitted under </w:t>
      </w:r>
      <w:r>
        <w:rPr>
          <w:rFonts w:ascii="Arial" w:cs="Arial" w:eastAsia="Arial" w:hAnsi="Arial"/>
          <w:sz w:val="22"/>
          <w:szCs w:val="22"/>
          <w:u w:val="single" w:color="auto"/>
          <w:color w:val="auto"/>
        </w:rPr>
        <w:t>Section 9.01(e)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(i) such Lien is granted within one hundred twenty (120) days after such</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Indebtedness is incurred, and (ii) such Lien secures only the assets that are the subject of the Indebtedness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9.01(e)</w:t>
      </w:r>
      <w:r>
        <w:rPr>
          <w:rFonts w:ascii="Arial" w:cs="Arial" w:eastAsia="Arial" w:hAnsi="Arial"/>
          <w:sz w:val="22"/>
          <w:szCs w:val="22"/>
          <w:color w:val="auto"/>
        </w:rPr>
        <w:t xml:space="preserve"> (other than the proceeds or products thereof and after-acquired property subjected to a Lien pursuant to the terms existing at the time of such acquisition);</w:t>
      </w:r>
    </w:p>
    <w:p>
      <w:pPr>
        <w:spacing w:after="0" w:line="159" w:lineRule="exact"/>
        <w:rPr>
          <w:sz w:val="20"/>
          <w:szCs w:val="20"/>
          <w:color w:val="auto"/>
        </w:rPr>
      </w:pPr>
    </w:p>
    <w:p>
      <w:pPr>
        <w:jc w:val="both"/>
        <w:ind w:firstLine="1952"/>
        <w:spacing w:after="0" w:line="218" w:lineRule="auto"/>
        <w:tabs>
          <w:tab w:leader="none" w:pos="2477" w:val="left"/>
        </w:tabs>
        <w:numPr>
          <w:ilvl w:val="0"/>
          <w:numId w:val="182"/>
        </w:numPr>
        <w:rPr>
          <w:rFonts w:ascii="Arial" w:cs="Arial" w:eastAsia="Arial" w:hAnsi="Arial"/>
          <w:sz w:val="22"/>
          <w:szCs w:val="22"/>
          <w:color w:val="auto"/>
        </w:rPr>
      </w:pPr>
      <w:r>
        <w:rPr>
          <w:rFonts w:ascii="Arial" w:cs="Arial" w:eastAsia="Arial" w:hAnsi="Arial"/>
          <w:sz w:val="22"/>
          <w:szCs w:val="22"/>
          <w:color w:val="auto"/>
        </w:rPr>
        <w:t>Liens arising by operation of law in favor of carriers, warehousemen, mechanics, materialmen and landlords incurred in the Ordinary Course of Business for amounts not yet overdue or being diligently contested in good faith by appropriate proceedings and for which adequate reserves shall have been established on its books, which reserves shall be in conformity with GAAP, consistently applied;</w:t>
      </w:r>
    </w:p>
    <w:p>
      <w:pPr>
        <w:spacing w:after="0" w:line="160" w:lineRule="exact"/>
        <w:rPr>
          <w:rFonts w:ascii="Arial" w:cs="Arial" w:eastAsia="Arial" w:hAnsi="Arial"/>
          <w:sz w:val="22"/>
          <w:szCs w:val="22"/>
          <w:color w:val="auto"/>
        </w:rPr>
      </w:pPr>
    </w:p>
    <w:p>
      <w:pPr>
        <w:jc w:val="both"/>
        <w:ind w:firstLine="1952"/>
        <w:spacing w:after="0" w:line="229" w:lineRule="auto"/>
        <w:tabs>
          <w:tab w:leader="none" w:pos="248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appeal or performance bonds;</w:t>
      </w:r>
    </w:p>
    <w:p>
      <w:pPr>
        <w:spacing w:after="0" w:line="158" w:lineRule="exact"/>
        <w:rPr>
          <w:rFonts w:ascii="Arial" w:cs="Arial" w:eastAsia="Arial" w:hAnsi="Arial"/>
          <w:sz w:val="21"/>
          <w:szCs w:val="21"/>
          <w:color w:val="auto"/>
        </w:rPr>
      </w:pPr>
    </w:p>
    <w:p>
      <w:pPr>
        <w:jc w:val="both"/>
        <w:ind w:firstLine="1952"/>
        <w:spacing w:after="0" w:line="223" w:lineRule="auto"/>
        <w:tabs>
          <w:tab w:leader="none" w:pos="24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judgment Liens with respect to which execution has been stayed or the payment of which is covered in full by insurance maintained with responsible insurance companies, or which judgment Liens do not result in an Event of Default under </w:t>
      </w:r>
      <w:r>
        <w:rPr>
          <w:rFonts w:ascii="Arial" w:cs="Arial" w:eastAsia="Arial" w:hAnsi="Arial"/>
          <w:sz w:val="22"/>
          <w:szCs w:val="22"/>
          <w:u w:val="single" w:color="auto"/>
          <w:color w:val="auto"/>
        </w:rPr>
        <w:t>Section 10.01(i)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52" w:lineRule="auto"/>
        <w:tabs>
          <w:tab w:leader="none" w:pos="264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recorded or unrecorded easements, rights-of-way, covenants, conditions, restrictions, licenses, reservations, zoning restrictions, and other charges, encumbrances, defects, imperfections or irregularities in title of any kind and other similar encumbrances that do not interfere in any material respect with the value or current use of the property to which such Lien is attached, all Liens, encumbrances and other matters disclosed in any title policy with respect to Real Property issued as of the Closing Date, and any other title and survey exceptions reasonably approved by Administrative Agent;</w:t>
      </w:r>
    </w:p>
    <w:p>
      <w:pPr>
        <w:spacing w:after="0" w:line="148" w:lineRule="exact"/>
        <w:rPr>
          <w:rFonts w:ascii="Arial" w:cs="Arial" w:eastAsia="Arial" w:hAnsi="Arial"/>
          <w:sz w:val="19"/>
          <w:szCs w:val="19"/>
          <w:color w:val="auto"/>
        </w:rPr>
      </w:pPr>
    </w:p>
    <w:p>
      <w:pPr>
        <w:jc w:val="both"/>
        <w:ind w:firstLine="1952"/>
        <w:spacing w:after="0" w:line="218" w:lineRule="auto"/>
        <w:tabs>
          <w:tab w:leader="none" w:pos="239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Liens for Taxes, assessments or other governmental charges or levies not yet due and payable, or that are being diligently contested in good faith by appropriate proceedings where the execution or enforcement of such Lien has been stayed and for which adequate reserves shall have been established on its books, which reserves shall be in conformity with GAAP, consistently applied;</w:t>
      </w:r>
    </w:p>
    <w:p>
      <w:pPr>
        <w:spacing w:after="0" w:line="160" w:lineRule="exact"/>
        <w:rPr>
          <w:rFonts w:ascii="Arial" w:cs="Arial" w:eastAsia="Arial" w:hAnsi="Arial"/>
          <w:sz w:val="22"/>
          <w:szCs w:val="22"/>
          <w:color w:val="auto"/>
        </w:rPr>
      </w:pPr>
    </w:p>
    <w:p>
      <w:pPr>
        <w:jc w:val="both"/>
        <w:ind w:firstLine="1952"/>
        <w:spacing w:after="0" w:line="216" w:lineRule="auto"/>
        <w:tabs>
          <w:tab w:leader="none" w:pos="2427"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Liens arising in the Ordinary Course of Business by virtue of any contractual, statutory or common law provision relating to banker’s Liens, rights of set-off or similar rights and remedies covering deposit or securities accounts (including funds or other assets credited thereto) or other funds maintained with a depository institution or securities intermediary, provided the applicable provisions of </w:t>
      </w:r>
      <w:r>
        <w:rPr>
          <w:rFonts w:ascii="Arial" w:cs="Arial" w:eastAsia="Arial" w:hAnsi="Arial"/>
          <w:sz w:val="22"/>
          <w:szCs w:val="22"/>
          <w:u w:val="single" w:color="auto"/>
          <w:color w:val="auto"/>
        </w:rPr>
        <w:t>Section 8.14</w:t>
      </w:r>
      <w:r>
        <w:rPr>
          <w:rFonts w:ascii="Arial" w:cs="Arial" w:eastAsia="Arial" w:hAnsi="Arial"/>
          <w:sz w:val="22"/>
          <w:szCs w:val="22"/>
          <w:color w:val="auto"/>
        </w:rPr>
        <w:t xml:space="preserve"> have been complied with in respect of such deposit or securities accounts;</w:t>
      </w:r>
    </w:p>
    <w:p>
      <w:pPr>
        <w:spacing w:after="0" w:line="157" w:lineRule="exact"/>
        <w:rPr>
          <w:rFonts w:ascii="Arial" w:cs="Arial" w:eastAsia="Arial" w:hAnsi="Arial"/>
          <w:sz w:val="22"/>
          <w:szCs w:val="22"/>
          <w:color w:val="auto"/>
        </w:rPr>
      </w:pPr>
    </w:p>
    <w:p>
      <w:pPr>
        <w:jc w:val="both"/>
        <w:ind w:firstLine="1952"/>
        <w:spacing w:after="0" w:line="216" w:lineRule="auto"/>
        <w:tabs>
          <w:tab w:leader="none" w:pos="2498" w:val="left"/>
        </w:tabs>
        <w:numPr>
          <w:ilvl w:val="0"/>
          <w:numId w:val="182"/>
        </w:numPr>
        <w:rPr>
          <w:rFonts w:ascii="Arial" w:cs="Arial" w:eastAsia="Arial" w:hAnsi="Arial"/>
          <w:sz w:val="22"/>
          <w:szCs w:val="22"/>
          <w:color w:val="auto"/>
        </w:rPr>
      </w:pPr>
      <w:r>
        <w:rPr>
          <w:rFonts w:ascii="Arial" w:cs="Arial" w:eastAsia="Arial" w:hAnsi="Arial"/>
          <w:sz w:val="22"/>
          <w:szCs w:val="22"/>
          <w:color w:val="auto"/>
        </w:rPr>
        <w:t>leases, licenses, subleases or sublicenses (other than with respect to licenses or sublicenses of any technology or other IP Rights made on an exclusive basis) (i) existing on the date hereof, (ii) entered into by any such Loan Party or Subsidiary in the Ordinary Course of Business and not interfering in any material respect with the business of the Loan Parties and in their respective Subsidiaries, or (iii) between or among the Loan Parties (or between or among any Subsidiaries that are not Loan Parties);</w:t>
      </w:r>
    </w:p>
    <w:p>
      <w:pPr>
        <w:spacing w:after="0" w:line="157" w:lineRule="exact"/>
        <w:rPr>
          <w:rFonts w:ascii="Arial" w:cs="Arial" w:eastAsia="Arial" w:hAnsi="Arial"/>
          <w:sz w:val="22"/>
          <w:szCs w:val="22"/>
          <w:color w:val="auto"/>
        </w:rPr>
      </w:pPr>
    </w:p>
    <w:p>
      <w:pPr>
        <w:jc w:val="both"/>
        <w:ind w:firstLine="1952"/>
        <w:spacing w:after="0" w:line="223" w:lineRule="auto"/>
        <w:tabs>
          <w:tab w:leader="none" w:pos="2407"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any interest or title of a lessor, licensor, sublessor or sublicensor under any lease, license or sublease entered into by any such Loan Party or Subsidiary (i) prior to the date hereof, or (ii) in the Ordinary Course of Business, in each case, covering only the assets so leased, subleased, licensed or sublicensed;</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77" w:lineRule="exact"/>
        <w:rPr>
          <w:sz w:val="20"/>
          <w:szCs w:val="20"/>
          <w:color w:val="auto"/>
        </w:rPr>
      </w:pPr>
    </w:p>
    <w:p>
      <w:pPr>
        <w:jc w:val="both"/>
        <w:ind w:left="-1120" w:firstLine="1952"/>
        <w:spacing w:after="0" w:line="234" w:lineRule="auto"/>
        <w:tabs>
          <w:tab w:leader="none" w:pos="1383" w:val="left"/>
        </w:tabs>
        <w:numPr>
          <w:ilvl w:val="0"/>
          <w:numId w:val="183"/>
        </w:numPr>
        <w:rPr>
          <w:rFonts w:ascii="Arial" w:cs="Arial" w:eastAsia="Arial" w:hAnsi="Arial"/>
          <w:sz w:val="21"/>
          <w:szCs w:val="21"/>
          <w:color w:val="auto"/>
        </w:rPr>
      </w:pPr>
      <w:r>
        <w:rPr>
          <w:rFonts w:ascii="Arial" w:cs="Arial" w:eastAsia="Arial" w:hAnsi="Arial"/>
          <w:sz w:val="21"/>
          <w:szCs w:val="21"/>
          <w:color w:val="auto"/>
        </w:rPr>
        <w:t>Liens of sellers of goods to such Person arising under Article II of the UCC or similar provisions of Applicable Law in the Ordinary Course of Business, covering only the goods sold or securing only the unpaid purchase price of such goods and related expenses to the extent such Indebtedness is permitted hereunder;</w:t>
      </w:r>
    </w:p>
    <w:p>
      <w:pPr>
        <w:spacing w:after="0" w:line="157" w:lineRule="exact"/>
        <w:rPr>
          <w:rFonts w:ascii="Arial" w:cs="Arial" w:eastAsia="Arial" w:hAnsi="Arial"/>
          <w:sz w:val="21"/>
          <w:szCs w:val="21"/>
          <w:color w:val="auto"/>
        </w:rPr>
      </w:pPr>
    </w:p>
    <w:p>
      <w:pPr>
        <w:ind w:left="-1120" w:firstLine="1952"/>
        <w:spacing w:after="0" w:line="232" w:lineRule="auto"/>
        <w:tabs>
          <w:tab w:leader="none" w:pos="130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Liens on insurance policies and the proceeds thereof securing the financing of premiums with respect thereto, to the extent permitted under </w:t>
      </w:r>
      <w:r>
        <w:rPr>
          <w:rFonts w:ascii="Arial" w:cs="Arial" w:eastAsia="Arial" w:hAnsi="Arial"/>
          <w:sz w:val="22"/>
          <w:szCs w:val="22"/>
          <w:u w:val="single" w:color="auto"/>
          <w:color w:val="auto"/>
        </w:rPr>
        <w:t>Section 9.01(h)</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120" w:firstLine="1952"/>
        <w:spacing w:after="0" w:line="232" w:lineRule="auto"/>
        <w:tabs>
          <w:tab w:leader="none" w:pos="130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precautionary Uniform Commercial Code filings made by a lessor pursuant to an operating lease of a Loan Party entered into in the Ordinary Course of Business;</w:t>
      </w:r>
    </w:p>
    <w:p>
      <w:pPr>
        <w:spacing w:after="0" w:line="158" w:lineRule="exact"/>
        <w:rPr>
          <w:rFonts w:ascii="Arial" w:cs="Arial" w:eastAsia="Arial" w:hAnsi="Arial"/>
          <w:sz w:val="22"/>
          <w:szCs w:val="22"/>
          <w:color w:val="auto"/>
        </w:rPr>
      </w:pPr>
    </w:p>
    <w:p>
      <w:pPr>
        <w:jc w:val="both"/>
        <w:ind w:left="-1120" w:firstLine="1952"/>
        <w:spacing w:after="0" w:line="212" w:lineRule="auto"/>
        <w:tabs>
          <w:tab w:leader="none" w:pos="140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Liens securing the performance of, or granted in lieu of, contracts with trade creditors, contracts (other than in respect of debt for borrowed money), leases, bids, statutory obligations, customs, surety, stay, appeal and performance bonds, performance and completion guarantees and other obligations of a like nature (including those to secure health, safety and environmental obligations), in each case, incurred in the Ordinary Course of Business or consistent with industry practice and deposits securing letters of credit, bank guarantees or similar instruments posted to support payment of the items set forth in this </w:t>
      </w:r>
      <w:r>
        <w:rPr>
          <w:rFonts w:ascii="Arial" w:cs="Arial" w:eastAsia="Arial" w:hAnsi="Arial"/>
          <w:sz w:val="22"/>
          <w:szCs w:val="22"/>
          <w:u w:val="single" w:color="auto"/>
          <w:color w:val="auto"/>
        </w:rPr>
        <w:t>clause (p)</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letters of credit, bank guarantees or similar instruments are issued in compliance with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63" w:lineRule="exact"/>
        <w:rPr>
          <w:rFonts w:ascii="Arial" w:cs="Arial" w:eastAsia="Arial" w:hAnsi="Arial"/>
          <w:sz w:val="22"/>
          <w:szCs w:val="22"/>
          <w:color w:val="auto"/>
        </w:rPr>
      </w:pPr>
    </w:p>
    <w:p>
      <w:pPr>
        <w:jc w:val="both"/>
        <w:ind w:left="-1120" w:firstLine="1952"/>
        <w:spacing w:after="0" w:line="244" w:lineRule="auto"/>
        <w:tabs>
          <w:tab w:leader="none" w:pos="1332"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(i) of a collection bank arising under Section 4–208 of the UCC or other similar provisions of Applicable Laws on items in the course of collection, (ii) in favor of a banking institution arising as a matter of law encumbering deposits or other funds maintained with financial institutions (including the right of set–off), (iii) arising in connection with pooled deposit or sweep accounts, cash netting, deposit accounts or similar arrangements of the Borrower or its Subsidiaries and consisting of the right to apply the funds held therein to satisfy overdraft or similar obligations incurred in the Ordinary Course of Business of such Person, (iv) encumbering reasonable customary initial deposits and margin deposits and (v) granted in the Ordinary Course of Business by the Borrower or its Subsidiaries to any bank with whom it maintains accounts to the extent required by the relevant bank’s (or custodian’s or trustee’s, as applicable) standard terms and conditions, in each case, which are within the general parameters customary in the banking industry;</w:t>
      </w:r>
    </w:p>
    <w:p>
      <w:pPr>
        <w:spacing w:after="0" w:line="160" w:lineRule="exact"/>
        <w:rPr>
          <w:rFonts w:ascii="Arial" w:cs="Arial" w:eastAsia="Arial" w:hAnsi="Arial"/>
          <w:sz w:val="19"/>
          <w:szCs w:val="19"/>
          <w:color w:val="auto"/>
        </w:rPr>
      </w:pPr>
    </w:p>
    <w:p>
      <w:pPr>
        <w:jc w:val="both"/>
        <w:ind w:left="-1120" w:firstLine="1952"/>
        <w:spacing w:after="0" w:line="222" w:lineRule="auto"/>
        <w:tabs>
          <w:tab w:leader="none" w:pos="1265" w:val="left"/>
        </w:tabs>
        <w:numPr>
          <w:ilvl w:val="0"/>
          <w:numId w:val="183"/>
        </w:numPr>
        <w:rPr>
          <w:rFonts w:ascii="Arial" w:cs="Arial" w:eastAsia="Arial" w:hAnsi="Arial"/>
          <w:sz w:val="21"/>
          <w:szCs w:val="21"/>
          <w:color w:val="auto"/>
        </w:rPr>
      </w:pPr>
      <w:r>
        <w:rPr>
          <w:rFonts w:ascii="Arial" w:cs="Arial" w:eastAsia="Arial" w:hAnsi="Arial"/>
          <w:sz w:val="21"/>
          <w:szCs w:val="21"/>
          <w:color w:val="auto"/>
        </w:rPr>
        <w:t xml:space="preserve">Liens (i) in favor of customs and revenue authorities arising as a matter of law in the Ordinary Course of Business to secure payment of customs duties that (a) are not overdue by more than thirty (30) days or, if more than thirty (30) days overdue, are being contested in a manner consistent with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or (b) with respect to which the failure to make payment could not reasonably be expected to have a Material Adverse Effect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64" w:lineRule="exact"/>
        <w:rPr>
          <w:rFonts w:ascii="Arial" w:cs="Arial" w:eastAsia="Arial" w:hAnsi="Arial"/>
          <w:sz w:val="21"/>
          <w:szCs w:val="21"/>
          <w:color w:val="auto"/>
        </w:rPr>
      </w:pPr>
    </w:p>
    <w:p>
      <w:pPr>
        <w:ind w:left="-1120" w:firstLine="1952"/>
        <w:spacing w:after="0" w:line="247" w:lineRule="auto"/>
        <w:tabs>
          <w:tab w:leader="none" w:pos="1283" w:val="left"/>
        </w:tabs>
        <w:numPr>
          <w:ilvl w:val="0"/>
          <w:numId w:val="183"/>
        </w:numPr>
        <w:rPr>
          <w:rFonts w:ascii="Arial" w:cs="Arial" w:eastAsia="Arial" w:hAnsi="Arial"/>
          <w:sz w:val="21"/>
          <w:szCs w:val="21"/>
          <w:color w:val="auto"/>
        </w:rPr>
      </w:pPr>
      <w:r>
        <w:rPr>
          <w:rFonts w:ascii="Arial" w:cs="Arial" w:eastAsia="Arial" w:hAnsi="Arial"/>
          <w:sz w:val="21"/>
          <w:szCs w:val="21"/>
          <w:color w:val="auto"/>
        </w:rPr>
        <w:t>Liens in respect of an agreement to dispose of any asset or any Subsidiary, to the extent such disposal is permitted by Section 6.04 and such Liens apply only to the assets or the Subsidiary to be disposed of;</w:t>
      </w:r>
    </w:p>
    <w:p>
      <w:pPr>
        <w:spacing w:after="0" w:line="150" w:lineRule="exact"/>
        <w:rPr>
          <w:rFonts w:ascii="Arial" w:cs="Arial" w:eastAsia="Arial" w:hAnsi="Arial"/>
          <w:sz w:val="21"/>
          <w:szCs w:val="21"/>
          <w:color w:val="auto"/>
        </w:rPr>
      </w:pPr>
    </w:p>
    <w:p>
      <w:pPr>
        <w:jc w:val="both"/>
        <w:ind w:left="-1120" w:firstLine="1952"/>
        <w:spacing w:after="0" w:line="223" w:lineRule="auto"/>
        <w:tabs>
          <w:tab w:leader="none" w:pos="130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other Liens with respect to which the aggregate amount of the obligations secured thereby does not exceed $10,000,000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Lien secures Funded Debt, such Lien shall only secure Indebtedness incurred pursuant to, and subject to the terms of, Sections 9.01(w) or (x); and</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177" w:lineRule="exact"/>
        <w:rPr>
          <w:sz w:val="20"/>
          <w:szCs w:val="20"/>
          <w:color w:val="auto"/>
        </w:rPr>
      </w:pPr>
    </w:p>
    <w:p>
      <w:pPr>
        <w:ind w:left="2520" w:hanging="568"/>
        <w:spacing w:after="0"/>
        <w:tabs>
          <w:tab w:leader="none" w:pos="252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Liens, existing solely on or prior to the Closing Date, securing Indebtedness incurred pursuant to</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Section 9.01(y).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that, and notwithstanding anything to the contrary in this Section 9.02, no Loan Party nor any of its Subsidiaries, may directly or indirectly, create, incur, assume or suffer to exist any Lien (other than the Liens securing the Secured Obligations, Liens between or among Loan Parties and Liens permitted by Sections 9.02(g) and 9.02(i)) upon any Key IP.</w:t>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Consolidation, Merger, etc</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Each Loan Party will not, and will not permit any of its Subsidiaries to, liquidate or dissolve, consolidate with, or merge into or with, any other Person, or purchase or otherwise acquire all or substantially all of the assets of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any Loan Party or Subsidiary of any Loan Party may liquidate or dissolve voluntarily into, and may merge with and into, the Borrower, so long as the Borrower is the surviving entity, (b) any Guarantor may liquidate or dissolve voluntarily into, and may merge with and into, any other Guarantor, (c) any Subsidiary of a Loan Party that is not itself a Loan Party may liquidate or dissolve voluntarily into, and may merge with and into, any Loan Party (so long as the surviving entity is such Loan Party) or any non-Loan Party Subsidiary, (d) the assets or Capital Stock of any Loan Party or Subsidiary of any Loan Party may be purchased or otherwise acquired by the Borrower, (e) the assets or Capital Stock of any Guarantor may be purchased or otherwise acquired by any Loan Party, (f) the assets or Capital Stock of any Subsidiary that is not a Loan Party may be purchased or otherwise acquired by any Loan Party or any non-Loan Party, (g) the Capital Stock of the Borrower may be purchased by any Person so long as no Change of Control results therefrom, (h) any Person may merge into or amalgamate with the Borrower in an Investment permitted by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in which such Borrower is the surviving or continuing Person, (i) any Person may merge or amalgamate with a Subsidiary in an Investment permitted by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in which the surviving or continuing entity is a Loan Party (or the surviving or continuing Person assumes the Obligations of such non-surviving Loan Party in a manner reasonably acceptable to the Administrative Agent) and (j) in connection with the Disposition of a Subsidiary (other than a Borrower) or its assets permitted by </w:t>
      </w:r>
      <w:r>
        <w:rPr>
          <w:rFonts w:ascii="Arial" w:cs="Arial" w:eastAsia="Arial" w:hAnsi="Arial"/>
          <w:sz w:val="19"/>
          <w:szCs w:val="19"/>
          <w:u w:val="single" w:color="auto"/>
          <w:color w:val="auto"/>
        </w:rPr>
        <w:t>Section 9.04</w:t>
      </w:r>
      <w:r>
        <w:rPr>
          <w:rFonts w:ascii="Arial" w:cs="Arial" w:eastAsia="Arial" w:hAnsi="Arial"/>
          <w:sz w:val="19"/>
          <w:szCs w:val="19"/>
          <w:color w:val="auto"/>
        </w:rPr>
        <w:t>, such Subsidiary may merge or amalgamate with or into any other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Dispositions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u w:val="single" w:color="auto"/>
          <w:color w:val="0000FF"/>
        </w:rPr>
        <w:t>Section 9.04 Dispositions</w:t>
      </w:r>
      <w:r>
        <w:rPr>
          <w:rFonts w:ascii="Arial" w:cs="Arial" w:eastAsia="Arial" w:hAnsi="Arial"/>
          <w:sz w:val="22"/>
          <w:szCs w:val="22"/>
          <w:color w:val="0000FF"/>
        </w:rPr>
        <w:t xml:space="preserve"> </w:t>
      </w:r>
      <w:r>
        <w:rPr>
          <w:rFonts w:ascii="Arial" w:cs="Arial" w:eastAsia="Arial" w:hAnsi="Arial"/>
          <w:sz w:val="22"/>
          <w:szCs w:val="22"/>
          <w:color w:val="000000"/>
        </w:rPr>
        <w:t>. Each Loan Party will not, and will not permit any of its Subsidiaries to, make a Disposition</w:t>
      </w:r>
      <w:r>
        <w:rPr>
          <w:rFonts w:ascii="Arial" w:cs="Arial" w:eastAsia="Arial" w:hAnsi="Arial"/>
          <w:sz w:val="22"/>
          <w:szCs w:val="22"/>
          <w:color w:val="0000FF"/>
        </w:rPr>
        <w:t xml:space="preserve"> </w:t>
      </w:r>
      <w:r>
        <w:rPr>
          <w:rFonts w:ascii="Arial" w:cs="Arial" w:eastAsia="Arial" w:hAnsi="Arial"/>
          <w:sz w:val="22"/>
          <w:szCs w:val="22"/>
          <w:color w:val="000000"/>
        </w:rPr>
        <w:t>of such Loan Party’s or such other Person’s assets (including Accounts and Capital Stock of Subsidiaries) to any Person in one transaction or a series of transactions, unless such Disposition:</w:t>
      </w:r>
    </w:p>
    <w:p>
      <w:pPr>
        <w:spacing w:after="0" w:line="159" w:lineRule="exact"/>
        <w:rPr>
          <w:sz w:val="20"/>
          <w:szCs w:val="20"/>
          <w:color w:val="auto"/>
        </w:rPr>
      </w:pPr>
    </w:p>
    <w:p>
      <w:pPr>
        <w:ind w:firstLine="1952"/>
        <w:spacing w:after="0" w:line="232" w:lineRule="auto"/>
        <w:tabs>
          <w:tab w:leader="none" w:pos="240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is of obsolete, worn out or surplus property or property not used or useful in such Person’s business at the time of such Disposition;</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is for fair market value and the following conditions are met:</w:t>
      </w:r>
    </w:p>
    <w:p>
      <w:pPr>
        <w:spacing w:after="0" w:line="179" w:lineRule="exact"/>
        <w:rPr>
          <w:rFonts w:ascii="Arial" w:cs="Arial" w:eastAsia="Arial" w:hAnsi="Arial"/>
          <w:sz w:val="22"/>
          <w:szCs w:val="22"/>
          <w:color w:val="auto"/>
        </w:rPr>
      </w:pPr>
    </w:p>
    <w:p>
      <w:pPr>
        <w:ind w:left="660" w:firstLine="1940"/>
        <w:spacing w:after="0" w:line="232" w:lineRule="auto"/>
        <w:tabs>
          <w:tab w:leader="none" w:pos="3059"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aggregate fair market value of Dispositions made in reliance on this clause (b) during any fiscal year does not exceed $10,000,000;</w:t>
      </w:r>
    </w:p>
    <w:p>
      <w:pPr>
        <w:spacing w:after="0" w:line="158" w:lineRule="exact"/>
        <w:rPr>
          <w:rFonts w:ascii="Arial" w:cs="Arial" w:eastAsia="Arial" w:hAnsi="Arial"/>
          <w:sz w:val="22"/>
          <w:szCs w:val="22"/>
          <w:color w:val="auto"/>
        </w:rPr>
      </w:pPr>
    </w:p>
    <w:p>
      <w:pPr>
        <w:ind w:left="660" w:firstLine="1940"/>
        <w:spacing w:after="0" w:line="232" w:lineRule="auto"/>
        <w:tabs>
          <w:tab w:leader="none" w:pos="3156"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immediately prior to and immediately after giving effect to such Disposition, no Default or Event of Default shall have occurred and be continuing or would result therefrom;</w:t>
      </w:r>
    </w:p>
    <w:p>
      <w:pPr>
        <w:spacing w:after="0" w:line="158" w:lineRule="exact"/>
        <w:rPr>
          <w:rFonts w:ascii="Arial" w:cs="Arial" w:eastAsia="Arial" w:hAnsi="Arial"/>
          <w:sz w:val="22"/>
          <w:szCs w:val="22"/>
          <w:color w:val="auto"/>
        </w:rPr>
      </w:pPr>
    </w:p>
    <w:p>
      <w:pPr>
        <w:ind w:left="3240" w:hanging="640"/>
        <w:spacing w:after="0"/>
        <w:tabs>
          <w:tab w:leader="none" w:pos="324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the Borrower applies any Net Disposition Proceeds arising therefrom pursuant to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4.02(a)(ii)</w:t>
      </w:r>
      <w:r>
        <w:rPr>
          <w:rFonts w:ascii="Arial" w:cs="Arial" w:eastAsia="Arial" w:hAnsi="Arial"/>
          <w:sz w:val="22"/>
          <w:szCs w:val="22"/>
          <w:color w:val="auto"/>
        </w:rPr>
        <w:t>; and</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7" w:lineRule="exact"/>
        <w:rPr>
          <w:sz w:val="20"/>
          <w:szCs w:val="20"/>
          <w:color w:val="auto"/>
        </w:rPr>
      </w:pPr>
    </w:p>
    <w:p>
      <w:pPr>
        <w:ind w:left="660" w:firstLine="1940"/>
        <w:spacing w:after="0" w:line="232" w:lineRule="auto"/>
        <w:tabs>
          <w:tab w:leader="none" w:pos="3173" w:val="left"/>
        </w:tabs>
        <w:numPr>
          <w:ilvl w:val="1"/>
          <w:numId w:val="186"/>
        </w:numPr>
        <w:rPr>
          <w:rFonts w:ascii="Arial" w:cs="Arial" w:eastAsia="Arial" w:hAnsi="Arial"/>
          <w:sz w:val="22"/>
          <w:szCs w:val="22"/>
          <w:color w:val="auto"/>
        </w:rPr>
      </w:pPr>
      <w:r>
        <w:rPr>
          <w:rFonts w:ascii="Arial" w:cs="Arial" w:eastAsia="Arial" w:hAnsi="Arial"/>
          <w:sz w:val="22"/>
          <w:szCs w:val="22"/>
          <w:color w:val="auto"/>
        </w:rPr>
        <w:t>no less than seventy-five percent (75%) of the consideration received for such sale, transfer, lease, contribution or conveyance is received in cash;</w:t>
      </w:r>
    </w:p>
    <w:p>
      <w:pPr>
        <w:spacing w:after="0" w:line="158" w:lineRule="exact"/>
        <w:rPr>
          <w:rFonts w:ascii="Arial" w:cs="Arial" w:eastAsia="Arial" w:hAnsi="Arial"/>
          <w:sz w:val="22"/>
          <w:szCs w:val="22"/>
          <w:color w:val="auto"/>
        </w:rPr>
      </w:pPr>
    </w:p>
    <w:p>
      <w:pPr>
        <w:ind w:left="2400" w:hanging="448"/>
        <w:spacing w:after="0"/>
        <w:tabs>
          <w:tab w:leader="none" w:pos="240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is a sale of Inventory in the Ordinary Course of Business;</w:t>
      </w:r>
    </w:p>
    <w:p>
      <w:pPr>
        <w:spacing w:after="0" w:line="179" w:lineRule="exact"/>
        <w:rPr>
          <w:rFonts w:ascii="Arial" w:cs="Arial" w:eastAsia="Arial" w:hAnsi="Arial"/>
          <w:sz w:val="22"/>
          <w:szCs w:val="22"/>
          <w:color w:val="auto"/>
        </w:rPr>
      </w:pPr>
    </w:p>
    <w:p>
      <w:pPr>
        <w:ind w:firstLine="1952"/>
        <w:spacing w:after="0" w:line="232" w:lineRule="auto"/>
        <w:tabs>
          <w:tab w:leader="none" w:pos="24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is the leasing, as lessor, of real or personal property not used or useful in such Person’s business and is otherwise in the Ordinary Course of Business;</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453"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is a sale or disposition of equipment or other assets, to the extent that such equipment is exchanged for credit against the purchase price of similar replacement equipment or assets or the proceeds of such Dispositions are reasonably promptly applied to the purchase price of similar replacement equipment, all in the Ordinary Course of Business and in accordance with </w:t>
      </w:r>
      <w:r>
        <w:rPr>
          <w:rFonts w:ascii="Arial" w:cs="Arial" w:eastAsia="Arial" w:hAnsi="Arial"/>
          <w:sz w:val="22"/>
          <w:szCs w:val="22"/>
          <w:u w:val="single" w:color="auto"/>
          <w:color w:val="auto"/>
        </w:rPr>
        <w:t>Section 4.02(a)(ii)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952"/>
        <w:spacing w:after="0" w:line="216" w:lineRule="auto"/>
        <w:tabs>
          <w:tab w:leader="none" w:pos="241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is an abandonment, allowing to lapse, failure to renew, or other Disposition of any IP Rights that are not material to the conduct of the business of any Loan Party or any Subsidiary of such Loan Party or are otherwise not economically practicable to maintain (it being understood, for the avoidance of doubt, that any IP Rights denoted with a “*” in Schedule 5 of the Perfection Certificate and Schedule 7.14(d) of the Loan Agreement are not material and are not economically practicable to maintain);</w:t>
      </w:r>
    </w:p>
    <w:p>
      <w:pPr>
        <w:spacing w:after="0" w:line="157" w:lineRule="exact"/>
        <w:rPr>
          <w:rFonts w:ascii="Arial" w:cs="Arial" w:eastAsia="Arial" w:hAnsi="Arial"/>
          <w:sz w:val="22"/>
          <w:szCs w:val="22"/>
          <w:color w:val="auto"/>
        </w:rPr>
      </w:pPr>
    </w:p>
    <w:p>
      <w:pPr>
        <w:ind w:left="2420" w:hanging="468"/>
        <w:spacing w:after="0"/>
        <w:tabs>
          <w:tab w:leader="none" w:pos="24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is otherwise permitted by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9.03 or </w:t>
      </w:r>
      <w:r>
        <w:rPr>
          <w:rFonts w:ascii="Arial" w:cs="Arial" w:eastAsia="Arial" w:hAnsi="Arial"/>
          <w:sz w:val="22"/>
          <w:szCs w:val="22"/>
          <w:u w:val="single" w:color="auto"/>
          <w:color w:val="auto"/>
        </w:rPr>
        <w:t>9.05</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is by any Loan Party or Subsidiary thereof to any Loan Party;</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is by any Subsidiary that is not a Loan Party to any Loan Party or any other Subsidiary that is not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Loan Party; or</w:t>
      </w:r>
    </w:p>
    <w:p>
      <w:pPr>
        <w:spacing w:after="0" w:line="161" w:lineRule="exact"/>
        <w:rPr>
          <w:rFonts w:ascii="Arial" w:cs="Arial" w:eastAsia="Arial" w:hAnsi="Arial"/>
          <w:sz w:val="19"/>
          <w:szCs w:val="19"/>
          <w:color w:val="auto"/>
        </w:rPr>
      </w:pPr>
    </w:p>
    <w:p>
      <w:pPr>
        <w:ind w:firstLine="1952"/>
        <w:spacing w:after="0" w:line="232" w:lineRule="auto"/>
        <w:tabs>
          <w:tab w:leader="none" w:pos="237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are leases, subleases, licenses or sublicenses of property (and, with respect to technology or IP Rights, solely on a non-exclusive basis)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3681095</wp:posOffset>
            </wp:positionH>
            <wp:positionV relativeFrom="paragraph">
              <wp:posOffset>-1127760</wp:posOffset>
            </wp:positionV>
            <wp:extent cx="274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and notwithstanding anything to the contrary in this </w:t>
      </w:r>
      <w:r>
        <w:rPr>
          <w:rFonts w:ascii="Arial" w:cs="Arial" w:eastAsia="Arial" w:hAnsi="Arial"/>
          <w:sz w:val="22"/>
          <w:szCs w:val="22"/>
          <w:u w:val="single" w:color="auto"/>
          <w:color w:val="auto"/>
        </w:rPr>
        <w:t>Section 9.04</w:t>
      </w:r>
      <w:r>
        <w:rPr>
          <w:rFonts w:ascii="Arial" w:cs="Arial" w:eastAsia="Arial" w:hAnsi="Arial"/>
          <w:sz w:val="22"/>
          <w:szCs w:val="22"/>
          <w:color w:val="auto"/>
        </w:rPr>
        <w:t>, no Loan Party nor any of its Subsidiaries, may Dispose of any Key IP other than (i) by any Loan Party or any Subsidiary thereof to any Loan Party and (ii) the Liens permitted by Sections 9.02(a), 9.02(g) and 9.02(i).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Investments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9.05 Investments</w:t>
      </w:r>
      <w:r>
        <w:rPr>
          <w:rFonts w:ascii="Arial" w:cs="Arial" w:eastAsia="Arial" w:hAnsi="Arial"/>
          <w:sz w:val="22"/>
          <w:szCs w:val="22"/>
          <w:color w:val="000000"/>
        </w:rPr>
        <w:t>. Each Loan Party will not, and will not permit any of its Subsidiaries to, purchase, make,</w:t>
      </w:r>
      <w:r>
        <w:rPr>
          <w:rFonts w:ascii="Arial" w:cs="Arial" w:eastAsia="Arial" w:hAnsi="Arial"/>
          <w:sz w:val="22"/>
          <w:szCs w:val="22"/>
          <w:color w:val="0000FF"/>
        </w:rPr>
        <w:t xml:space="preserve"> </w:t>
      </w:r>
      <w:r>
        <w:rPr>
          <w:rFonts w:ascii="Arial" w:cs="Arial" w:eastAsia="Arial" w:hAnsi="Arial"/>
          <w:sz w:val="22"/>
          <w:szCs w:val="22"/>
          <w:color w:val="000000"/>
        </w:rPr>
        <w:t>incur, assume or permit to exist any Investment in any other Person, except:</w:t>
      </w:r>
    </w:p>
    <w:p>
      <w:pPr>
        <w:spacing w:after="0" w:line="159" w:lineRule="exact"/>
        <w:rPr>
          <w:sz w:val="20"/>
          <w:szCs w:val="20"/>
          <w:color w:val="auto"/>
        </w:rPr>
      </w:pPr>
    </w:p>
    <w:p>
      <w:pPr>
        <w:ind w:left="2400" w:hanging="448"/>
        <w:spacing w:after="0"/>
        <w:tabs>
          <w:tab w:leader="none" w:pos="240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Investments existing on the Closing Date and listed on </w:t>
      </w:r>
      <w:r>
        <w:rPr>
          <w:rFonts w:ascii="Arial" w:cs="Arial" w:eastAsia="Arial" w:hAnsi="Arial"/>
          <w:sz w:val="22"/>
          <w:szCs w:val="22"/>
          <w:u w:val="single" w:color="auto"/>
          <w:color w:val="auto"/>
        </w:rPr>
        <w:t>Schedule 9.05</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179" w:lineRule="exact"/>
        <w:rPr>
          <w:rFonts w:ascii="Arial" w:cs="Arial" w:eastAsia="Arial" w:hAnsi="Arial"/>
          <w:sz w:val="22"/>
          <w:szCs w:val="22"/>
          <w:color w:val="auto"/>
        </w:rPr>
      </w:pPr>
    </w:p>
    <w:p>
      <w:pPr>
        <w:ind w:firstLine="1952"/>
        <w:spacing w:after="0" w:line="247" w:lineRule="auto"/>
        <w:tabs>
          <w:tab w:leader="none" w:pos="259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Investments received in connection with the bankruptcy or reorganization of, or settlement of delinquent accounts and disputes with, customers and suppliers, in each case in the Ordinary Course of Business;</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7" w:lineRule="exact"/>
        <w:rPr>
          <w:sz w:val="20"/>
          <w:szCs w:val="20"/>
          <w:color w:val="auto"/>
        </w:rPr>
      </w:pPr>
    </w:p>
    <w:p>
      <w:pPr>
        <w:ind w:firstLine="1952"/>
        <w:spacing w:after="0" w:line="232" w:lineRule="auto"/>
        <w:tabs>
          <w:tab w:leader="none" w:pos="248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Investments by way of contributions to capital or purchases of Capital Stock by any Loan Party in any of its Subsidiaries that are Loan Parties;</w:t>
      </w:r>
    </w:p>
    <w:p>
      <w:pPr>
        <w:spacing w:after="0" w:line="158" w:lineRule="exact"/>
        <w:rPr>
          <w:rFonts w:ascii="Arial" w:cs="Arial" w:eastAsia="Arial" w:hAnsi="Arial"/>
          <w:sz w:val="22"/>
          <w:szCs w:val="22"/>
          <w:color w:val="auto"/>
        </w:rPr>
      </w:pPr>
    </w:p>
    <w:p>
      <w:pPr>
        <w:ind w:firstLine="1952"/>
        <w:spacing w:after="0" w:line="232" w:lineRule="auto"/>
        <w:tabs>
          <w:tab w:leader="none" w:pos="2575"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Investments constituting (i) Accounts arising, (ii) trade debt granted, or (iii) deposits made, in connection with the purchase price of goods or services, in each case in the Ordinary Course of Business;</w:t>
      </w:r>
    </w:p>
    <w:p>
      <w:pPr>
        <w:spacing w:after="0" w:line="158" w:lineRule="exact"/>
        <w:rPr>
          <w:rFonts w:ascii="Arial" w:cs="Arial" w:eastAsia="Arial" w:hAnsi="Arial"/>
          <w:sz w:val="22"/>
          <w:szCs w:val="22"/>
          <w:color w:val="auto"/>
        </w:rPr>
      </w:pPr>
    </w:p>
    <w:p>
      <w:pPr>
        <w:ind w:firstLine="1952"/>
        <w:spacing w:after="0" w:line="232" w:lineRule="auto"/>
        <w:tabs>
          <w:tab w:leader="none" w:pos="2517"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Investments consisting of any deferred portion of the sales price received by any Loan Party in connection with any Disposition permitted under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other Investments in an aggregate principal amount at any time not to exceed $20,000,000;</w:t>
      </w:r>
    </w:p>
    <w:p>
      <w:pPr>
        <w:spacing w:after="0" w:line="190" w:lineRule="exact"/>
        <w:rPr>
          <w:rFonts w:ascii="Arial" w:cs="Arial" w:eastAsia="Arial" w:hAnsi="Arial"/>
          <w:sz w:val="21"/>
          <w:szCs w:val="21"/>
          <w:color w:val="auto"/>
        </w:rPr>
      </w:pPr>
    </w:p>
    <w:p>
      <w:pPr>
        <w:ind w:firstLine="1952"/>
        <w:spacing w:after="0" w:line="232" w:lineRule="auto"/>
        <w:tabs>
          <w:tab w:leader="none" w:pos="257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intercompany Indebtedness advanced by any Loan Party to any other Loan Party to the extent permitted pursuant to </w:t>
      </w:r>
      <w:r>
        <w:rPr>
          <w:rFonts w:ascii="Arial" w:cs="Arial" w:eastAsia="Arial" w:hAnsi="Arial"/>
          <w:sz w:val="22"/>
          <w:szCs w:val="22"/>
          <w:u w:val="single" w:color="auto"/>
          <w:color w:val="auto"/>
        </w:rPr>
        <w:t>Section 9.01(j)</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952"/>
        <w:spacing w:after="0" w:line="232" w:lineRule="auto"/>
        <w:tabs>
          <w:tab w:leader="none" w:pos="245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the maintenance of deposit accounts in the Ordinary Course of Business, so long as the applicable provisions of </w:t>
      </w:r>
      <w:r>
        <w:rPr>
          <w:rFonts w:ascii="Arial" w:cs="Arial" w:eastAsia="Arial" w:hAnsi="Arial"/>
          <w:sz w:val="22"/>
          <w:szCs w:val="22"/>
          <w:u w:val="single" w:color="auto"/>
          <w:color w:val="auto"/>
        </w:rPr>
        <w:t>Section 8.14</w:t>
      </w:r>
      <w:r>
        <w:rPr>
          <w:rFonts w:ascii="Arial" w:cs="Arial" w:eastAsia="Arial" w:hAnsi="Arial"/>
          <w:sz w:val="22"/>
          <w:szCs w:val="22"/>
          <w:color w:val="auto"/>
        </w:rPr>
        <w:t xml:space="preserve"> have been complied with in respect of each such deposit account;</w:t>
      </w:r>
    </w:p>
    <w:p>
      <w:pPr>
        <w:spacing w:after="0" w:line="158" w:lineRule="exact"/>
        <w:rPr>
          <w:rFonts w:ascii="Arial" w:cs="Arial" w:eastAsia="Arial" w:hAnsi="Arial"/>
          <w:sz w:val="22"/>
          <w:szCs w:val="22"/>
          <w:color w:val="auto"/>
        </w:rPr>
      </w:pPr>
    </w:p>
    <w:p>
      <w:pPr>
        <w:ind w:left="2380" w:hanging="428"/>
        <w:spacing w:after="0"/>
        <w:tabs>
          <w:tab w:leader="none" w:pos="23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Guaranty Obligations constituting Indebtedness permitted by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2700" w:hanging="748"/>
        <w:spacing w:after="0"/>
        <w:tabs>
          <w:tab w:leader="none" w:pos="270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 xml:space="preserve">Investments consisting of Liens and Dispositions permitted under </w:t>
      </w:r>
      <w:r>
        <w:rPr>
          <w:rFonts w:ascii="Arial" w:cs="Arial" w:eastAsia="Arial" w:hAnsi="Arial"/>
          <w:sz w:val="21"/>
          <w:szCs w:val="21"/>
          <w:u w:val="single" w:color="auto"/>
          <w:color w:val="auto"/>
        </w:rPr>
        <w:t>Sections 9.02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9.04</w:t>
      </w:r>
      <w:r>
        <w:rPr>
          <w:rFonts w:ascii="Arial" w:cs="Arial" w:eastAsia="Arial" w:hAnsi="Arial"/>
          <w:sz w:val="21"/>
          <w:szCs w:val="21"/>
          <w:color w:val="auto"/>
        </w:rPr>
        <w:t>,</w:t>
      </w:r>
    </w:p>
    <w:p>
      <w:pPr>
        <w:spacing w:after="0"/>
        <w:rPr>
          <w:rFonts w:ascii="Arial" w:cs="Arial" w:eastAsia="Arial" w:hAnsi="Arial"/>
          <w:sz w:val="21"/>
          <w:szCs w:val="21"/>
          <w:color w:val="auto"/>
        </w:rPr>
      </w:pPr>
      <w:r>
        <w:rPr>
          <w:rFonts w:ascii="Arial" w:cs="Arial" w:eastAsia="Arial" w:hAnsi="Arial"/>
          <w:sz w:val="22"/>
          <w:szCs w:val="22"/>
          <w:color w:val="auto"/>
        </w:rPr>
        <w:t>respectively;</w:t>
      </w:r>
    </w:p>
    <w:p>
      <w:pPr>
        <w:spacing w:after="0" w:line="161" w:lineRule="exact"/>
        <w:rPr>
          <w:rFonts w:ascii="Arial" w:cs="Arial" w:eastAsia="Arial" w:hAnsi="Arial"/>
          <w:sz w:val="21"/>
          <w:szCs w:val="21"/>
          <w:color w:val="auto"/>
        </w:rPr>
      </w:pPr>
    </w:p>
    <w:p>
      <w:pPr>
        <w:ind w:left="2380" w:hanging="428"/>
        <w:spacing w:after="0"/>
        <w:tabs>
          <w:tab w:leader="none" w:pos="23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advances of payroll payments to employees in the Ordinary Course of Business;</w:t>
      </w:r>
    </w:p>
    <w:p>
      <w:pPr>
        <w:spacing w:after="0" w:line="179" w:lineRule="exact"/>
        <w:rPr>
          <w:rFonts w:ascii="Arial" w:cs="Arial" w:eastAsia="Arial" w:hAnsi="Arial"/>
          <w:sz w:val="22"/>
          <w:szCs w:val="22"/>
          <w:color w:val="auto"/>
        </w:rPr>
      </w:pPr>
    </w:p>
    <w:p>
      <w:pPr>
        <w:ind w:firstLine="1952"/>
        <w:spacing w:after="0" w:line="232" w:lineRule="auto"/>
        <w:tabs>
          <w:tab w:leader="none" w:pos="2483" w:val="left"/>
        </w:tabs>
        <w:numPr>
          <w:ilvl w:val="1"/>
          <w:numId w:val="189"/>
        </w:numPr>
        <w:rPr>
          <w:rFonts w:ascii="Arial" w:cs="Arial" w:eastAsia="Arial" w:hAnsi="Arial"/>
          <w:sz w:val="22"/>
          <w:szCs w:val="22"/>
          <w:color w:val="auto"/>
        </w:rPr>
      </w:pPr>
      <w:r>
        <w:rPr>
          <w:rFonts w:ascii="Arial" w:cs="Arial" w:eastAsia="Arial" w:hAnsi="Arial"/>
          <w:sz w:val="22"/>
          <w:szCs w:val="22"/>
          <w:color w:val="auto"/>
        </w:rPr>
        <w:t>Guarantees by (i) the Borrower of leases of its Subsidiaries or (ii) by any Subsidiary of the Borrower of leases of the Borrower, in each case, solely to the extent not constituting Indebtedness;</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endorsements of negotiable instruments and documents in the Ordinary Course of Business;</w:t>
      </w:r>
    </w:p>
    <w:p>
      <w:pPr>
        <w:spacing w:after="0" w:line="190" w:lineRule="exact"/>
        <w:rPr>
          <w:rFonts w:ascii="Arial" w:cs="Arial" w:eastAsia="Arial" w:hAnsi="Arial"/>
          <w:sz w:val="21"/>
          <w:szCs w:val="21"/>
          <w:color w:val="auto"/>
        </w:rPr>
      </w:pPr>
    </w:p>
    <w:p>
      <w:pPr>
        <w:jc w:val="both"/>
        <w:ind w:firstLine="1952"/>
        <w:spacing w:after="0" w:line="234" w:lineRule="auto"/>
        <w:tabs>
          <w:tab w:leader="none" w:pos="2553" w:val="left"/>
        </w:tabs>
        <w:numPr>
          <w:ilvl w:val="1"/>
          <w:numId w:val="189"/>
        </w:numPr>
        <w:rPr>
          <w:rFonts w:ascii="Arial" w:cs="Arial" w:eastAsia="Arial" w:hAnsi="Arial"/>
          <w:sz w:val="21"/>
          <w:szCs w:val="21"/>
          <w:color w:val="auto"/>
        </w:rPr>
      </w:pPr>
      <w:r>
        <w:rPr>
          <w:rFonts w:ascii="Arial" w:cs="Arial" w:eastAsia="Arial" w:hAnsi="Arial"/>
          <w:sz w:val="21"/>
          <w:szCs w:val="21"/>
          <w:color w:val="auto"/>
        </w:rPr>
        <w:t>Investments (i) constituting deposits, prepayments and/or other credits to suppliers, (ii) made in connection with obtaining, maintaining or renewing client and customer contracts and/or (iii) in the form of advances made to distributors, suppliers, licensors and licensees, in each case, in the Ordinary Course of Business;</w:t>
      </w:r>
    </w:p>
    <w:p>
      <w:pPr>
        <w:spacing w:after="0" w:line="157" w:lineRule="exact"/>
        <w:rPr>
          <w:rFonts w:ascii="Arial" w:cs="Arial" w:eastAsia="Arial" w:hAnsi="Arial"/>
          <w:sz w:val="21"/>
          <w:szCs w:val="21"/>
          <w:color w:val="auto"/>
        </w:rPr>
      </w:pPr>
    </w:p>
    <w:p>
      <w:pPr>
        <w:ind w:left="2420" w:hanging="468"/>
        <w:spacing w:after="0"/>
        <w:tabs>
          <w:tab w:leader="none" w:pos="24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Investments constituting Permitted Acquisitions;</w:t>
      </w:r>
    </w:p>
    <w:p>
      <w:pPr>
        <w:spacing w:after="0" w:line="179" w:lineRule="exact"/>
        <w:rPr>
          <w:rFonts w:ascii="Arial" w:cs="Arial" w:eastAsia="Arial" w:hAnsi="Arial"/>
          <w:sz w:val="22"/>
          <w:szCs w:val="22"/>
          <w:color w:val="auto"/>
        </w:rPr>
      </w:pPr>
    </w:p>
    <w:p>
      <w:pPr>
        <w:ind w:left="2480" w:hanging="528"/>
        <w:spacing w:after="0"/>
        <w:tabs>
          <w:tab w:leader="none" w:pos="248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Investments made with (i) Capital Stock of the Borrower (other than Disqualified Capital Stock) or</w:t>
      </w:r>
    </w:p>
    <w:p>
      <w:pPr>
        <w:spacing w:after="0" w:line="15" w:lineRule="exact"/>
        <w:rPr>
          <w:rFonts w:ascii="Arial" w:cs="Arial" w:eastAsia="Arial" w:hAnsi="Arial"/>
          <w:sz w:val="19"/>
          <w:szCs w:val="19"/>
          <w:color w:val="auto"/>
        </w:rPr>
      </w:pPr>
    </w:p>
    <w:p>
      <w:pPr>
        <w:jc w:val="both"/>
        <w:ind w:firstLine="8"/>
        <w:spacing w:after="0" w:line="221" w:lineRule="auto"/>
        <w:tabs>
          <w:tab w:leader="none" w:pos="3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net cash proceeds of the purchase of, or in exchange for, Capital Stock of the Borrower (other than Disqualified Capital Stock or net cash proceeds of the PIPE Transactions) or cash capital contribution to the Borrower, in each case under this clause (ii) by equityholders of the Borrower; provided, that (1) such purchase, exchange or contribution occurs substantially concurrently with the consummation of such Investment and (2) such purchase, exchange or contribution is clearly identified pursuant to a certificate executed and delivered by an Authorized Officer of the Borrower to the Administrative Agent as a purchase, exchange or contribution to be used in connection with such Investment);</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7" w:lineRule="exact"/>
        <w:rPr>
          <w:sz w:val="20"/>
          <w:szCs w:val="20"/>
          <w:color w:val="auto"/>
        </w:rPr>
      </w:pPr>
    </w:p>
    <w:p>
      <w:pPr>
        <w:jc w:val="both"/>
        <w:ind w:firstLine="1952"/>
        <w:spacing w:after="0" w:line="268" w:lineRule="auto"/>
        <w:tabs>
          <w:tab w:leader="none" w:pos="255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loans and advances to officers, directors and employees of any Loan Party for reasonable and customary business related travel expenses, entertainment expenses, moving expenses and similar expenses, in each case incurred in the Ordinary Course of Business, in an aggregate principal amount at any time not to exceed $1,000,000; and</w:t>
      </w:r>
    </w:p>
    <w:p>
      <w:pPr>
        <w:spacing w:after="0" w:line="132" w:lineRule="exact"/>
        <w:rPr>
          <w:rFonts w:ascii="Arial" w:cs="Arial" w:eastAsia="Arial" w:hAnsi="Arial"/>
          <w:sz w:val="19"/>
          <w:szCs w:val="19"/>
          <w:color w:val="auto"/>
        </w:rPr>
      </w:pPr>
    </w:p>
    <w:p>
      <w:pPr>
        <w:jc w:val="both"/>
        <w:ind w:firstLine="1952"/>
        <w:spacing w:after="0" w:line="223" w:lineRule="auto"/>
        <w:tabs>
          <w:tab w:leader="none" w:pos="243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other Investments by any Loan Party in an aggregate amount not to exceed the Available Amount as of the applicable date of such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of the following conditions are satisfied at the time such Investment is consummated:</w:t>
      </w:r>
    </w:p>
    <w:p>
      <w:pPr>
        <w:spacing w:after="0" w:line="151" w:lineRule="exact"/>
        <w:rPr>
          <w:rFonts w:ascii="Arial" w:cs="Arial" w:eastAsia="Arial" w:hAnsi="Arial"/>
          <w:sz w:val="22"/>
          <w:szCs w:val="22"/>
          <w:color w:val="auto"/>
        </w:rPr>
      </w:pPr>
    </w:p>
    <w:p>
      <w:pPr>
        <w:ind w:left="3220" w:hanging="620"/>
        <w:spacing w:after="0"/>
        <w:tabs>
          <w:tab w:leader="none" w:pos="3220" w:val="left"/>
        </w:tabs>
        <w:numPr>
          <w:ilvl w:val="1"/>
          <w:numId w:val="191"/>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or would result</w:t>
      </w:r>
    </w:p>
    <w:p>
      <w:pPr>
        <w:ind w:left="660"/>
        <w:spacing w:after="0"/>
        <w:rPr>
          <w:rFonts w:ascii="Arial" w:cs="Arial" w:eastAsia="Arial" w:hAnsi="Arial"/>
          <w:sz w:val="21"/>
          <w:szCs w:val="21"/>
          <w:color w:val="auto"/>
        </w:rPr>
      </w:pPr>
      <w:r>
        <w:rPr>
          <w:rFonts w:ascii="Arial" w:cs="Arial" w:eastAsia="Arial" w:hAnsi="Arial"/>
          <w:sz w:val="22"/>
          <w:szCs w:val="22"/>
          <w:color w:val="auto"/>
        </w:rPr>
        <w:t>therefrom; and</w:t>
      </w:r>
    </w:p>
    <w:p>
      <w:pPr>
        <w:spacing w:after="0" w:line="161" w:lineRule="exact"/>
        <w:rPr>
          <w:rFonts w:ascii="Arial" w:cs="Arial" w:eastAsia="Arial" w:hAnsi="Arial"/>
          <w:sz w:val="21"/>
          <w:szCs w:val="21"/>
          <w:color w:val="auto"/>
        </w:rPr>
      </w:pPr>
    </w:p>
    <w:p>
      <w:pPr>
        <w:ind w:left="660" w:firstLine="1940"/>
        <w:spacing w:after="0" w:line="298" w:lineRule="auto"/>
        <w:tabs>
          <w:tab w:leader="none" w:pos="3092" w:val="left"/>
        </w:tabs>
        <w:numPr>
          <w:ilvl w:val="1"/>
          <w:numId w:val="191"/>
        </w:numPr>
        <w:rPr>
          <w:rFonts w:ascii="Arial" w:cs="Arial" w:eastAsia="Arial" w:hAnsi="Arial"/>
          <w:sz w:val="19"/>
          <w:szCs w:val="19"/>
          <w:color w:val="auto"/>
        </w:rPr>
      </w:pPr>
      <w:r>
        <w:rPr>
          <w:rFonts w:ascii="Arial" w:cs="Arial" w:eastAsia="Arial" w:hAnsi="Arial"/>
          <w:sz w:val="19"/>
          <w:szCs w:val="19"/>
          <w:color w:val="auto"/>
        </w:rPr>
        <w:t>after giving effect to such Investment, on a pro forma basis, as of the most recently completed Test Period, the Total Net Leverage Ratio of the Borrower and its Subsidiaries shall not be greater than 4.00 to 1.00.</w:t>
      </w:r>
    </w:p>
    <w:p>
      <w:pPr>
        <w:spacing w:after="0" w:line="105"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and notwithstanding anything to the contrary in this </w:t>
      </w:r>
      <w:r>
        <w:rPr>
          <w:rFonts w:ascii="Arial" w:cs="Arial" w:eastAsia="Arial" w:hAnsi="Arial"/>
          <w:sz w:val="22"/>
          <w:szCs w:val="22"/>
          <w:u w:val="single" w:color="auto"/>
          <w:color w:val="auto"/>
        </w:rPr>
        <w:t>Section 9.05</w:t>
      </w:r>
      <w:r>
        <w:rPr>
          <w:rFonts w:ascii="Arial" w:cs="Arial" w:eastAsia="Arial" w:hAnsi="Arial"/>
          <w:sz w:val="22"/>
          <w:szCs w:val="22"/>
          <w:color w:val="auto"/>
        </w:rPr>
        <w:t>, no Loan Party nor any of its Subsidiaries, may make any Investment that involves the assignment, contribution, transfer, license, sub-license or other Disposition of any Key IP to any Person other than a Loan Party.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Restricted Payments</w:t>
      </w:r>
    </w:p>
    <w:p>
      <w:pPr>
        <w:spacing w:after="0" w:line="16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u w:val="single" w:color="auto"/>
          <w:color w:val="0000FF"/>
        </w:rPr>
        <w:t>Section 9.06</w:t>
      </w:r>
      <w:r>
        <w:rPr>
          <w:sz w:val="20"/>
          <w:szCs w:val="20"/>
          <w:color w:val="auto"/>
        </w:rPr>
        <w:tab/>
      </w:r>
      <w:r>
        <w:rPr>
          <w:rFonts w:ascii="Arial" w:cs="Arial" w:eastAsia="Arial" w:hAnsi="Arial"/>
          <w:sz w:val="19"/>
          <w:szCs w:val="19"/>
          <w:u w:val="single" w:color="auto"/>
          <w:color w:val="0000FF"/>
        </w:rPr>
        <w:t>Restricted Payments</w:t>
      </w:r>
      <w:r>
        <w:rPr>
          <w:rFonts w:ascii="Arial" w:cs="Arial" w:eastAsia="Arial" w:hAnsi="Arial"/>
          <w:sz w:val="19"/>
          <w:szCs w:val="19"/>
          <w:color w:val="000000"/>
        </w:rPr>
        <w:t>. Each Loan Party will not, and will not permit any of its Subsidiaries to, make any</w:t>
      </w:r>
    </w:p>
    <w:p>
      <w:pPr>
        <w:spacing w:after="0"/>
        <w:rPr>
          <w:sz w:val="20"/>
          <w:szCs w:val="20"/>
          <w:color w:val="auto"/>
        </w:rPr>
      </w:pPr>
      <w:r>
        <w:rPr>
          <w:rFonts w:ascii="Arial" w:cs="Arial" w:eastAsia="Arial" w:hAnsi="Arial"/>
          <w:sz w:val="22"/>
          <w:szCs w:val="22"/>
          <w:color w:val="auto"/>
        </w:rPr>
        <w:t>Restricted Payment, other than:</w:t>
      </w:r>
    </w:p>
    <w:p>
      <w:pPr>
        <w:spacing w:after="0" w:line="161" w:lineRule="exact"/>
        <w:rPr>
          <w:sz w:val="20"/>
          <w:szCs w:val="20"/>
          <w:color w:val="auto"/>
        </w:rPr>
      </w:pPr>
    </w:p>
    <w:p>
      <w:pPr>
        <w:jc w:val="both"/>
        <w:ind w:firstLine="1952"/>
        <w:spacing w:after="0" w:line="223" w:lineRule="auto"/>
        <w:tabs>
          <w:tab w:leader="none" w:pos="244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Restricted Payments by any Subsidiary of the Borrower to (i) the Borrower or (ii) such Subsidiary’s direct parent company so long as such parent company is a Loan Party and a direct or indirect wholly-owned Subsidiary of the Borrower;</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41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repurchases by the Borrower of its Capital Stock upon the exercise of stock options, warrants or other equity derivatives or settlement of convertible securities if such Capital Stock represents a portion of the exercise price of such options, warrants or other equity derivatives or the settlement price of such convertible securities and no cash is actually expended by the Borrower;</w:t>
      </w:r>
    </w:p>
    <w:p>
      <w:pPr>
        <w:spacing w:after="0" w:line="160" w:lineRule="exact"/>
        <w:rPr>
          <w:rFonts w:ascii="Arial" w:cs="Arial" w:eastAsia="Arial" w:hAnsi="Arial"/>
          <w:sz w:val="22"/>
          <w:szCs w:val="22"/>
          <w:color w:val="auto"/>
        </w:rPr>
      </w:pPr>
    </w:p>
    <w:p>
      <w:pPr>
        <w:ind w:firstLine="1952"/>
        <w:spacing w:after="0" w:line="247" w:lineRule="auto"/>
        <w:tabs>
          <w:tab w:leader="none" w:pos="2494" w:val="left"/>
        </w:tabs>
        <w:numPr>
          <w:ilvl w:val="0"/>
          <w:numId w:val="192"/>
        </w:numPr>
        <w:rPr>
          <w:rFonts w:ascii="Arial" w:cs="Arial" w:eastAsia="Arial" w:hAnsi="Arial"/>
          <w:sz w:val="21"/>
          <w:szCs w:val="21"/>
          <w:color w:val="auto"/>
        </w:rPr>
      </w:pPr>
      <w:r>
        <w:rPr>
          <w:rFonts w:ascii="Arial" w:cs="Arial" w:eastAsia="Arial" w:hAnsi="Arial"/>
          <w:sz w:val="21"/>
          <w:szCs w:val="21"/>
          <w:color w:val="auto"/>
        </w:rPr>
        <w:t>cash payments by the Borrower in lieu of the issuance of fractional shares in connection with the exercise of warrants, options or other securities convertible into or exchangeable for Capital Stock in the Borrower;</w:t>
      </w:r>
    </w:p>
    <w:p>
      <w:pPr>
        <w:spacing w:after="0" w:line="150" w:lineRule="exact"/>
        <w:rPr>
          <w:rFonts w:ascii="Arial" w:cs="Arial" w:eastAsia="Arial" w:hAnsi="Arial"/>
          <w:sz w:val="21"/>
          <w:szCs w:val="21"/>
          <w:color w:val="auto"/>
        </w:rPr>
      </w:pPr>
    </w:p>
    <w:p>
      <w:pPr>
        <w:ind w:firstLine="1952"/>
        <w:spacing w:after="0" w:line="298" w:lineRule="auto"/>
        <w:tabs>
          <w:tab w:leader="none" w:pos="2472" w:val="left"/>
        </w:tabs>
        <w:numPr>
          <w:ilvl w:val="0"/>
          <w:numId w:val="192"/>
        </w:numPr>
        <w:rPr>
          <w:rFonts w:ascii="Arial" w:cs="Arial" w:eastAsia="Arial" w:hAnsi="Arial"/>
          <w:sz w:val="19"/>
          <w:szCs w:val="19"/>
          <w:color w:val="auto"/>
        </w:rPr>
      </w:pPr>
      <w:r>
        <w:rPr>
          <w:rFonts w:ascii="Arial" w:cs="Arial" w:eastAsia="Arial" w:hAnsi="Arial"/>
          <w:sz w:val="19"/>
          <w:szCs w:val="19"/>
          <w:color w:val="auto"/>
        </w:rPr>
        <w:t>Restricted Payments by any Loan Party or any Subsidiary of any Loan Party to pay dividends with respect to its Capital Stock payable solely in additional shares of Capital Stock (other than Disqualified Capital Stock);</w:t>
      </w:r>
    </w:p>
    <w:p>
      <w:pPr>
        <w:spacing w:after="0" w:line="105" w:lineRule="exact"/>
        <w:rPr>
          <w:rFonts w:ascii="Arial" w:cs="Arial" w:eastAsia="Arial" w:hAnsi="Arial"/>
          <w:sz w:val="19"/>
          <w:szCs w:val="19"/>
          <w:color w:val="auto"/>
        </w:rPr>
      </w:pPr>
    </w:p>
    <w:p>
      <w:pPr>
        <w:ind w:firstLine="1952"/>
        <w:spacing w:after="0" w:line="232" w:lineRule="auto"/>
        <w:tabs>
          <w:tab w:leader="none" w:pos="2471"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to the extent constituting Restricted Payments, consummation by the Borrower and its Subsidiaries into transactions expressly permitted by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523"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repurchases of Capital Stock under equity incentive plans approved by the Borrower’s board of directors to occur upon the exercise of stock options or warrants or similar equity incentive awards; </w:t>
      </w:r>
      <w:r>
        <w:rPr>
          <w:rFonts w:ascii="Arial" w:cs="Arial" w:eastAsia="Arial" w:hAnsi="Arial"/>
          <w:sz w:val="22"/>
          <w:szCs w:val="22"/>
          <w:u w:val="single" w:color="auto"/>
          <w:color w:val="auto"/>
        </w:rPr>
        <w:t>provided</w:t>
      </w:r>
      <w:r>
        <w:rPr>
          <w:rFonts w:ascii="Arial" w:cs="Arial" w:eastAsia="Arial" w:hAnsi="Arial"/>
          <w:sz w:val="22"/>
          <w:szCs w:val="22"/>
          <w:color w:val="auto"/>
        </w:rPr>
        <w:t>, that (i) no Event of Default exists or would result immediately after giving effect to such payment, (ii) the amount paid in respect of such repurchases does not exceed $5,000,000 in the aggregate in any fiscal year;</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7" w:lineRule="exact"/>
        <w:rPr>
          <w:sz w:val="20"/>
          <w:szCs w:val="20"/>
          <w:color w:val="auto"/>
        </w:rPr>
      </w:pPr>
    </w:p>
    <w:p>
      <w:pPr>
        <w:ind w:firstLine="1952"/>
        <w:spacing w:after="0" w:line="232" w:lineRule="auto"/>
        <w:tabs>
          <w:tab w:leader="none" w:pos="2631" w:val="left"/>
        </w:tabs>
        <w:numPr>
          <w:ilvl w:val="0"/>
          <w:numId w:val="193"/>
        </w:numPr>
        <w:rPr>
          <w:rFonts w:ascii="Arial" w:cs="Arial" w:eastAsia="Arial" w:hAnsi="Arial"/>
          <w:sz w:val="22"/>
          <w:szCs w:val="22"/>
          <w:color w:val="auto"/>
        </w:rPr>
      </w:pPr>
      <w:r>
        <w:rPr>
          <w:rFonts w:ascii="Arial" w:cs="Arial" w:eastAsia="Arial" w:hAnsi="Arial"/>
          <w:sz w:val="22"/>
          <w:szCs w:val="22"/>
          <w:color w:val="auto"/>
        </w:rPr>
        <w:t>Restricted Payments by any Subsidiaries of the Borrower that are not Loan Parties to other Subsidiaries of the Borrower that are not Loan Parties; and</w:t>
      </w:r>
    </w:p>
    <w:p>
      <w:pPr>
        <w:spacing w:after="0" w:line="158" w:lineRule="exact"/>
        <w:rPr>
          <w:rFonts w:ascii="Arial" w:cs="Arial" w:eastAsia="Arial" w:hAnsi="Arial"/>
          <w:sz w:val="22"/>
          <w:szCs w:val="22"/>
          <w:color w:val="auto"/>
        </w:rPr>
      </w:pPr>
    </w:p>
    <w:p>
      <w:pPr>
        <w:ind w:firstLine="1952"/>
        <w:spacing w:after="0" w:line="298" w:lineRule="auto"/>
        <w:tabs>
          <w:tab w:leader="none" w:pos="2505"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other Restricted Payments by any Loan Party in an aggregate amount not to exceed the Available Amount as of the date of such Restricted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the following conditions are satisfied on such date:</w:t>
      </w:r>
    </w:p>
    <w:p>
      <w:pPr>
        <w:spacing w:after="0" w:line="97" w:lineRule="exact"/>
        <w:rPr>
          <w:rFonts w:ascii="Arial" w:cs="Arial" w:eastAsia="Arial" w:hAnsi="Arial"/>
          <w:sz w:val="19"/>
          <w:szCs w:val="19"/>
          <w:color w:val="auto"/>
        </w:rPr>
      </w:pPr>
    </w:p>
    <w:p>
      <w:pPr>
        <w:ind w:left="3220" w:hanging="620"/>
        <w:spacing w:after="0"/>
        <w:tabs>
          <w:tab w:leader="none" w:pos="3220" w:val="left"/>
        </w:tabs>
        <w:numPr>
          <w:ilvl w:val="1"/>
          <w:numId w:val="193"/>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or would result</w:t>
      </w:r>
    </w:p>
    <w:p>
      <w:pPr>
        <w:ind w:left="660"/>
        <w:spacing w:after="0"/>
        <w:rPr>
          <w:rFonts w:ascii="Arial" w:cs="Arial" w:eastAsia="Arial" w:hAnsi="Arial"/>
          <w:sz w:val="21"/>
          <w:szCs w:val="21"/>
          <w:color w:val="auto"/>
        </w:rPr>
      </w:pPr>
      <w:r>
        <w:rPr>
          <w:rFonts w:ascii="Arial" w:cs="Arial" w:eastAsia="Arial" w:hAnsi="Arial"/>
          <w:sz w:val="22"/>
          <w:szCs w:val="22"/>
          <w:color w:val="auto"/>
        </w:rPr>
        <w:t>therefrom; and</w:t>
      </w:r>
    </w:p>
    <w:p>
      <w:pPr>
        <w:spacing w:after="0" w:line="161" w:lineRule="exact"/>
        <w:rPr>
          <w:rFonts w:ascii="Arial" w:cs="Arial" w:eastAsia="Arial" w:hAnsi="Arial"/>
          <w:sz w:val="21"/>
          <w:szCs w:val="21"/>
          <w:color w:val="auto"/>
        </w:rPr>
      </w:pPr>
    </w:p>
    <w:p>
      <w:pPr>
        <w:ind w:left="660" w:firstLine="1940"/>
        <w:spacing w:after="0" w:line="232" w:lineRule="auto"/>
        <w:tabs>
          <w:tab w:leader="none" w:pos="3138" w:val="left"/>
        </w:tabs>
        <w:numPr>
          <w:ilvl w:val="1"/>
          <w:numId w:val="193"/>
        </w:numPr>
        <w:rPr>
          <w:rFonts w:ascii="Arial" w:cs="Arial" w:eastAsia="Arial" w:hAnsi="Arial"/>
          <w:sz w:val="22"/>
          <w:szCs w:val="22"/>
          <w:color w:val="auto"/>
        </w:rPr>
      </w:pPr>
      <w:r>
        <w:rPr>
          <w:rFonts w:ascii="Arial" w:cs="Arial" w:eastAsia="Arial" w:hAnsi="Arial"/>
          <w:sz w:val="22"/>
          <w:szCs w:val="22"/>
          <w:color w:val="auto"/>
        </w:rPr>
        <w:t>after giving effect to such Restricted Payment, on a pro forma basis, as of the most recently completed Test Period, the Total Net Leverage Ratio shall not be greater than 3.50 to 1.00;</w:t>
      </w:r>
    </w:p>
    <w:p>
      <w:pPr>
        <w:spacing w:after="0" w:line="159" w:lineRule="exact"/>
        <w:rPr>
          <w:sz w:val="20"/>
          <w:szCs w:val="20"/>
          <w:color w:val="auto"/>
        </w:rPr>
      </w:pPr>
    </w:p>
    <w:p>
      <w:pPr>
        <w:jc w:val="both"/>
        <w:ind w:left="660" w:firstLine="373"/>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and notwithstanding anything to the contrary in this </w:t>
      </w:r>
      <w:r>
        <w:rPr>
          <w:rFonts w:ascii="Arial" w:cs="Arial" w:eastAsia="Arial" w:hAnsi="Arial"/>
          <w:sz w:val="22"/>
          <w:szCs w:val="22"/>
          <w:u w:val="single" w:color="auto"/>
          <w:color w:val="auto"/>
        </w:rPr>
        <w:t>Section 9.06</w:t>
      </w:r>
      <w:r>
        <w:rPr>
          <w:rFonts w:ascii="Arial" w:cs="Arial" w:eastAsia="Arial" w:hAnsi="Arial"/>
          <w:sz w:val="22"/>
          <w:szCs w:val="22"/>
          <w:color w:val="auto"/>
        </w:rPr>
        <w:t>, no Loan Party nor any of its Subsidiaries, may make any Restricted Payment that involves the assignment, contribution, transfer, license, sub-license or other Disposition of any Key IP to any Person other than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-356235</wp:posOffset>
            </wp:positionV>
            <wp:extent cx="2368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9.07</w:t>
      </w:r>
      <w:r>
        <w:rPr>
          <w:sz w:val="20"/>
          <w:szCs w:val="20"/>
          <w:color w:val="auto"/>
        </w:rPr>
        <w:tab/>
      </w:r>
      <w:r>
        <w:rPr>
          <w:rFonts w:ascii="Arial" w:cs="Arial" w:eastAsia="Arial" w:hAnsi="Arial"/>
          <w:sz w:val="19"/>
          <w:szCs w:val="19"/>
          <w:u w:val="single" w:color="auto"/>
          <w:color w:val="auto"/>
        </w:rPr>
        <w:t>Payments and of Indebtedness; Cancellation of Indebtedness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18" w:lineRule="auto"/>
        <w:tabs>
          <w:tab w:leader="none" w:pos="253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Subsidiaries to, make any payment on account of Indebtedness that has been contractually subordinated in right of payment to the Obligations, if such payment is not permitted at such time under the subordination terms and conditions applicable thereto; provided that any Loan Party and any Subsidiary thereof may also make any such payment solely:</w:t>
      </w:r>
    </w:p>
    <w:p>
      <w:pPr>
        <w:spacing w:after="0" w:line="160" w:lineRule="exact"/>
        <w:rPr>
          <w:rFonts w:ascii="Arial" w:cs="Arial" w:eastAsia="Arial" w:hAnsi="Arial"/>
          <w:sz w:val="22"/>
          <w:szCs w:val="22"/>
          <w:color w:val="auto"/>
        </w:rPr>
      </w:pPr>
    </w:p>
    <w:p>
      <w:pPr>
        <w:jc w:val="both"/>
        <w:ind w:left="660" w:firstLine="1940"/>
        <w:spacing w:after="0" w:line="247" w:lineRule="auto"/>
        <w:tabs>
          <w:tab w:leader="none" w:pos="3087" w:val="left"/>
        </w:tabs>
        <w:numPr>
          <w:ilvl w:val="1"/>
          <w:numId w:val="194"/>
        </w:numPr>
        <w:rPr>
          <w:rFonts w:ascii="Arial" w:cs="Arial" w:eastAsia="Arial" w:hAnsi="Arial"/>
          <w:sz w:val="19"/>
          <w:szCs w:val="19"/>
          <w:color w:val="auto"/>
        </w:rPr>
      </w:pPr>
      <w:r>
        <w:rPr>
          <w:rFonts w:ascii="Arial" w:cs="Arial" w:eastAsia="Arial" w:hAnsi="Arial"/>
          <w:sz w:val="19"/>
          <w:szCs w:val="19"/>
          <w:color w:val="auto"/>
        </w:rPr>
        <w:t>with (x) shares of Capital Stock of the Borrower (other than Disqualified Capital Stock) or (y) net cash proceeds of the purchase of, or in exchange for, Capital Stock of the Borrower (other than Disqualified Capital Stock or net cash proceeds of the PIPE Transactions) or cash capital contribution to the Borrower, in each case under this clause (y) by equityholders of the Borrower; provided, that (1) such purchase, exchange or contribution occurs substantially concurrently with the consummation of such payment and (2) such purchase, exchange or contribution is clearly identified pursuant to a certificate executed and delivered by an Authorized Officer of the Borrower to the Administrative Agent as a purchase, exchange or contribution to be used in connection with such payment); and</w:t>
      </w:r>
    </w:p>
    <w:p>
      <w:pPr>
        <w:spacing w:after="0" w:line="153" w:lineRule="exact"/>
        <w:rPr>
          <w:rFonts w:ascii="Arial" w:cs="Arial" w:eastAsia="Arial" w:hAnsi="Arial"/>
          <w:sz w:val="19"/>
          <w:szCs w:val="19"/>
          <w:color w:val="auto"/>
        </w:rPr>
      </w:pPr>
    </w:p>
    <w:p>
      <w:pPr>
        <w:ind w:left="660" w:firstLine="1940"/>
        <w:spacing w:after="0" w:line="232" w:lineRule="auto"/>
        <w:tabs>
          <w:tab w:leader="none" w:pos="3121" w:val="left"/>
        </w:tabs>
        <w:numPr>
          <w:ilvl w:val="1"/>
          <w:numId w:val="194"/>
        </w:numPr>
        <w:rPr>
          <w:rFonts w:ascii="Arial" w:cs="Arial" w:eastAsia="Arial" w:hAnsi="Arial"/>
          <w:sz w:val="22"/>
          <w:szCs w:val="22"/>
          <w:color w:val="auto"/>
        </w:rPr>
      </w:pPr>
      <w:r>
        <w:rPr>
          <w:rFonts w:ascii="Arial" w:cs="Arial" w:eastAsia="Arial" w:hAnsi="Arial"/>
          <w:sz w:val="22"/>
          <w:szCs w:val="22"/>
          <w:color w:val="auto"/>
        </w:rPr>
        <w:t xml:space="preserve">in an aggregate amount not to exceed the Available Amount as of the date of such Restricted Payment;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of the following conditions are satisfied on such date:</w:t>
      </w:r>
    </w:p>
    <w:p>
      <w:pPr>
        <w:spacing w:after="0" w:line="158" w:lineRule="exact"/>
        <w:rPr>
          <w:rFonts w:ascii="Arial" w:cs="Arial" w:eastAsia="Arial" w:hAnsi="Arial"/>
          <w:sz w:val="22"/>
          <w:szCs w:val="22"/>
          <w:color w:val="auto"/>
        </w:rPr>
      </w:pPr>
    </w:p>
    <w:p>
      <w:pPr>
        <w:ind w:left="3800" w:hanging="552"/>
        <w:spacing w:after="0"/>
        <w:tabs>
          <w:tab w:leader="none" w:pos="3800" w:val="left"/>
        </w:tabs>
        <w:numPr>
          <w:ilvl w:val="2"/>
          <w:numId w:val="194"/>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 or would result</w:t>
      </w:r>
    </w:p>
    <w:p>
      <w:pPr>
        <w:spacing w:after="0" w:line="1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therefrom; and</w:t>
      </w:r>
    </w:p>
    <w:p>
      <w:pPr>
        <w:spacing w:after="0" w:line="161" w:lineRule="exact"/>
        <w:rPr>
          <w:rFonts w:ascii="Arial" w:cs="Arial" w:eastAsia="Arial" w:hAnsi="Arial"/>
          <w:sz w:val="19"/>
          <w:szCs w:val="19"/>
          <w:color w:val="auto"/>
        </w:rPr>
      </w:pPr>
    </w:p>
    <w:p>
      <w:pPr>
        <w:ind w:left="660" w:firstLine="1940"/>
        <w:spacing w:after="0" w:line="232" w:lineRule="auto"/>
        <w:tabs>
          <w:tab w:leader="none" w:pos="3186"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after giving effect to such Restricted Payment, on a pro forma basis, as of the most recently completed Test Period, the Total Net Leverage Ratio shall not be greater than 3.50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-2139315</wp:posOffset>
            </wp:positionV>
            <wp:extent cx="35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5560" cy="8890"/>
                    </a:xfrm>
                    <a:prstGeom prst="rect">
                      <a:avLst/>
                    </a:prstGeom>
                    <a:noFill/>
                  </pic:spPr>
                </pic:pic>
              </a:graphicData>
            </a:graphic>
          </wp:anchor>
        </w:drawing>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9.08</w:t>
      </w:r>
      <w:r>
        <w:rPr>
          <w:sz w:val="20"/>
          <w:szCs w:val="20"/>
          <w:color w:val="auto"/>
        </w:rPr>
        <w:tab/>
      </w:r>
      <w:r>
        <w:rPr>
          <w:rFonts w:ascii="Arial" w:cs="Arial" w:eastAsia="Arial" w:hAnsi="Arial"/>
          <w:sz w:val="19"/>
          <w:szCs w:val="19"/>
          <w:u w:val="single" w:color="auto"/>
          <w:color w:val="auto"/>
        </w:rPr>
        <w:t>Modification of Certain Agreements</w:t>
      </w:r>
    </w:p>
    <w:p>
      <w:pPr>
        <w:sectPr>
          <w:pgSz w:w="11900" w:h="16838" w:orient="portrait"/>
          <w:cols w:equalWidth="0" w:num="1">
            <w:col w:w="11240"/>
          </w:cols>
          <w:pgMar w:left="320" w:top="1440" w:right="339" w:bottom="1440" w:gutter="0" w:footer="0" w:header="0"/>
        </w:sectPr>
      </w:pPr>
    </w:p>
    <w:bookmarkStart w:id="168" w:name="page169"/>
    <w:bookmarkEnd w:id="168"/>
    <w:p>
      <w:pPr>
        <w:jc w:val="both"/>
        <w:ind w:left="-656" w:firstLine="656"/>
        <w:spacing w:after="0" w:line="244" w:lineRule="auto"/>
        <w:tabs>
          <w:tab w:leader="none" w:pos="103" w:val="left"/>
        </w:tabs>
        <w:numPr>
          <w:ilvl w:val="0"/>
          <w:numId w:val="195"/>
        </w:numPr>
        <w:rPr>
          <w:rFonts w:ascii="Arial" w:cs="Arial" w:eastAsia="Arial" w:hAnsi="Arial"/>
          <w:sz w:val="19"/>
          <w:szCs w:val="19"/>
          <w:color w:val="auto"/>
        </w:rPr>
      </w:pPr>
      <w:r>
        <w:rPr>
          <w:rFonts w:ascii="Arial" w:cs="Arial" w:eastAsia="Arial" w:hAnsi="Arial"/>
          <w:sz w:val="19"/>
          <w:szCs w:val="19"/>
          <w:color w:val="auto"/>
        </w:rPr>
        <w:t>Each Loan Party will not, and will not permit any of its Subsidiaries to, amend, supplement, waive, otherwise modify, or forbear from exercising any rights with respect to the terms or provisions of, or consent to any amendment, supplement, waiver, other modification or forbearance from exercising any rights with respect to the terms or provisions of: (a) any Material Contract or any Organization Document, in each case, other than any amendment, supplement, waiver, modification or forbearance that is not materially adverse to a Secured Party or the Loan Parties; (b) any document, agreement or instrument evidencing or governing any Indebtedness that has been subordinated to the Obligations in right of payment or any Liens that have been subordinated in priority to the Liens of the Collateral Agent, unless such amendment, supplement, waiver, other modification or forbearance is expressly permitted under the terms of the subordination agreement applicable thereto or (c) in any material respect, any contract, license, sublicense or agreement related to any Key IP.</w:t>
      </w:r>
    </w:p>
    <w:p>
      <w:pPr>
        <w:spacing w:after="0" w:line="161"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8"/>
          <w:szCs w:val="18"/>
          <w:u w:val="single" w:color="auto"/>
          <w:color w:val="auto"/>
        </w:rPr>
        <w:t>Sale and Leaseback</w:t>
      </w:r>
    </w:p>
    <w:p>
      <w:pPr>
        <w:spacing w:after="0" w:line="179" w:lineRule="exact"/>
        <w:rPr>
          <w:sz w:val="20"/>
          <w:szCs w:val="20"/>
          <w:color w:val="auto"/>
        </w:rPr>
      </w:pPr>
    </w:p>
    <w:p>
      <w:pPr>
        <w:jc w:val="both"/>
        <w:ind w:left="-656" w:firstLine="656"/>
        <w:spacing w:after="0" w:line="223" w:lineRule="auto"/>
        <w:tabs>
          <w:tab w:leader="none" w:pos="101"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Subsidiaries to, directly or indirectly, enter into any agreement or arrangement providing for the sale or transfer by it of any property (now owned or hereafter acquired) to a Person and the subsequent lease or rental of such property or other similar property from such Person.</w:t>
      </w:r>
    </w:p>
    <w:p>
      <w:pPr>
        <w:spacing w:after="0" w:line="159"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9.10</w:t>
      </w:r>
      <w:r>
        <w:rPr>
          <w:sz w:val="20"/>
          <w:szCs w:val="20"/>
          <w:color w:val="auto"/>
        </w:rPr>
        <w:tab/>
      </w:r>
      <w:r>
        <w:rPr>
          <w:rFonts w:ascii="Arial" w:cs="Arial" w:eastAsia="Arial" w:hAnsi="Arial"/>
          <w:sz w:val="19"/>
          <w:szCs w:val="19"/>
          <w:u w:val="single" w:color="auto"/>
          <w:color w:val="auto"/>
        </w:rPr>
        <w:t>Transactions with Affiliates</w:t>
      </w:r>
    </w:p>
    <w:p>
      <w:pPr>
        <w:spacing w:after="0" w:line="179" w:lineRule="exact"/>
        <w:rPr>
          <w:sz w:val="20"/>
          <w:szCs w:val="20"/>
          <w:color w:val="auto"/>
        </w:rPr>
      </w:pPr>
    </w:p>
    <w:p>
      <w:pPr>
        <w:jc w:val="both"/>
        <w:ind w:left="-656" w:firstLine="656"/>
        <w:spacing w:after="0" w:line="242" w:lineRule="auto"/>
        <w:tabs>
          <w:tab w:leader="none" w:pos="10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9.10</w:t>
      </w:r>
      <w:r>
        <w:rPr>
          <w:rFonts w:ascii="Arial" w:cs="Arial" w:eastAsia="Arial" w:hAnsi="Arial"/>
          <w:sz w:val="19"/>
          <w:szCs w:val="19"/>
          <w:color w:val="auto"/>
        </w:rPr>
        <w:t>, each Loan Party will not, and will not permit any of its Subsidiaries to, enter into or cause or permit to exist any arrangement, transaction or contract (including for the purchase, lease or exchange of property or the rendering of services) with any Affiliate involving aggregate payments or consideration in excess of $1,000,000 (each, an “</w:t>
      </w:r>
      <w:r>
        <w:rPr>
          <w:rFonts w:ascii="Arial" w:cs="Arial" w:eastAsia="Arial" w:hAnsi="Arial"/>
          <w:sz w:val="19"/>
          <w:szCs w:val="19"/>
          <w:u w:val="single" w:color="auto"/>
          <w:color w:val="auto"/>
        </w:rPr>
        <w:t>Affiliate Transaction</w:t>
      </w:r>
      <w:r>
        <w:rPr>
          <w:rFonts w:ascii="Arial" w:cs="Arial" w:eastAsia="Arial" w:hAnsi="Arial"/>
          <w:sz w:val="19"/>
          <w:szCs w:val="19"/>
          <w:color w:val="auto"/>
        </w:rPr>
        <w:t>”) except: (a) on terms and conditions, taken as a whole, no less favorable to such Loan Party or such Subsidiary than such Person could obtain in an arm’s-length transaction with a Person that is not an Affiliate; (b) any transaction expressly permitted under this Loan Agreement (including Indebtedness permitted under Section 9.01(j)); (c) so long as it has been approved by the Borrower’s or its applicable Subsidiary’s board of directors or other governing body to the extent required in accordance with Applicable Law, (i) reasonable and customary compensation and indemnifications of non-officer directors of the Loan Parties and their respective Subsidiaries and (ii) the payment of reasonable and customary compensation, severance and indemnification arrangements and benefit plans for officers and employees of the Loan Parties and their respective Subsidiaries in the Ordinary Course of Business and (d) any arrangement, transaction and contract with or among any other Loan Party in the Ordinary Course of Business.</w:t>
      </w:r>
    </w:p>
    <w:p>
      <w:pPr>
        <w:spacing w:after="0" w:line="164" w:lineRule="exact"/>
        <w:rPr>
          <w:sz w:val="20"/>
          <w:szCs w:val="20"/>
          <w:color w:val="auto"/>
        </w:rPr>
      </w:pPr>
    </w:p>
    <w:p>
      <w:pPr>
        <w:ind w:left="4"/>
        <w:spacing w:after="0"/>
        <w:tabs>
          <w:tab w:leader="none" w:pos="1264" w:val="left"/>
        </w:tabs>
        <w:rPr>
          <w:sz w:val="20"/>
          <w:szCs w:val="20"/>
          <w:color w:val="auto"/>
        </w:rPr>
      </w:pPr>
      <w:r>
        <w:rPr>
          <w:rFonts w:ascii="Arial" w:cs="Arial" w:eastAsia="Arial" w:hAnsi="Arial"/>
          <w:sz w:val="22"/>
          <w:szCs w:val="22"/>
          <w:color w:val="auto"/>
        </w:rPr>
        <w:t>Section 9.11</w:t>
      </w:r>
      <w:r>
        <w:rPr>
          <w:sz w:val="20"/>
          <w:szCs w:val="20"/>
          <w:color w:val="auto"/>
        </w:rPr>
        <w:tab/>
      </w:r>
      <w:r>
        <w:rPr>
          <w:rFonts w:ascii="Arial" w:cs="Arial" w:eastAsia="Arial" w:hAnsi="Arial"/>
          <w:sz w:val="19"/>
          <w:szCs w:val="19"/>
          <w:u w:val="single" w:color="auto"/>
          <w:color w:val="auto"/>
        </w:rPr>
        <w:t>Restrictive Agreements, etc</w:t>
      </w:r>
    </w:p>
    <w:p>
      <w:pPr>
        <w:spacing w:after="0" w:line="179" w:lineRule="exact"/>
        <w:rPr>
          <w:sz w:val="20"/>
          <w:szCs w:val="20"/>
          <w:color w:val="auto"/>
        </w:rPr>
      </w:pPr>
    </w:p>
    <w:p>
      <w:pPr>
        <w:ind w:left="-656" w:firstLine="656"/>
        <w:spacing w:after="0" w:line="232" w:lineRule="auto"/>
        <w:tabs>
          <w:tab w:leader="none" w:pos="14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Subsidiaries to, enter into any agreement prohibiting or conflicting with any right granted hereunder with respect to:</w:t>
      </w:r>
    </w:p>
    <w:p>
      <w:pPr>
        <w:spacing w:after="0" w:line="158" w:lineRule="exact"/>
        <w:rPr>
          <w:rFonts w:ascii="Arial" w:cs="Arial" w:eastAsia="Arial" w:hAnsi="Arial"/>
          <w:sz w:val="22"/>
          <w:szCs w:val="22"/>
          <w:color w:val="auto"/>
        </w:rPr>
      </w:pPr>
    </w:p>
    <w:p>
      <w:pPr>
        <w:ind w:left="-656" w:firstLine="1952"/>
        <w:spacing w:after="0" w:line="298" w:lineRule="auto"/>
        <w:tabs>
          <w:tab w:leader="none" w:pos="1759"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the creation or assumption of any Lien upon its properties, revenues or assets, whether now owned or hereafter acquired, in each case, to secure the Obligations (other than Permitted Liens and documentation related thereto); or</w:t>
      </w:r>
    </w:p>
    <w:p>
      <w:pPr>
        <w:spacing w:after="0" w:line="105" w:lineRule="exact"/>
        <w:rPr>
          <w:rFonts w:ascii="Arial" w:cs="Arial" w:eastAsia="Arial" w:hAnsi="Arial"/>
          <w:sz w:val="19"/>
          <w:szCs w:val="19"/>
          <w:color w:val="auto"/>
        </w:rPr>
      </w:pPr>
    </w:p>
    <w:p>
      <w:pPr>
        <w:jc w:val="both"/>
        <w:ind w:left="-656" w:firstLine="1952"/>
        <w:spacing w:after="0" w:line="223" w:lineRule="auto"/>
        <w:tabs>
          <w:tab w:leader="none" w:pos="1776" w:val="left"/>
        </w:tabs>
        <w:numPr>
          <w:ilvl w:val="1"/>
          <w:numId w:val="198"/>
        </w:numPr>
        <w:rPr>
          <w:rFonts w:ascii="Arial" w:cs="Arial" w:eastAsia="Arial" w:hAnsi="Arial"/>
          <w:sz w:val="22"/>
          <w:szCs w:val="22"/>
          <w:color w:val="auto"/>
        </w:rPr>
      </w:pPr>
      <w:r>
        <w:rPr>
          <w:rFonts w:ascii="Arial" w:cs="Arial" w:eastAsia="Arial" w:hAnsi="Arial"/>
          <w:sz w:val="22"/>
          <w:szCs w:val="22"/>
          <w:color w:val="auto"/>
        </w:rPr>
        <w:t>the ability of such Person to make any payments, directly or indirectly, to the Borrower, including by way of dividends, advances, repayments of loans, reimbursements of management and other intercompany charges, expenses and accruals or other returns on investments;</w:t>
      </w:r>
    </w:p>
    <w:p>
      <w:pPr>
        <w:sectPr>
          <w:pgSz w:w="11900" w:h="16838" w:orient="portrait"/>
          <w:cols w:equalWidth="0" w:num="1">
            <w:col w:w="10584"/>
          </w:cols>
          <w:pgMar w:left="976" w:top="1401" w:right="339" w:bottom="1440" w:gutter="0" w:footer="0" w:header="0"/>
        </w:sectPr>
      </w:pPr>
    </w:p>
    <w:bookmarkStart w:id="169" w:name="page170"/>
    <w:bookmarkEnd w:id="169"/>
    <w:p>
      <w:pPr>
        <w:jc w:val="both"/>
        <w:spacing w:after="0" w:line="23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foregoing prohibitions shall not apply to restrictions that: (i) are set forth in an agreement governing any secured Indebtedness permitted by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as to the transfer of assets financed with the proceeds of such Indebtedness if such restrictions apply only to the property or assets securing such Indebtedness, (ii) arise under customary provisions restricting assignments, subletting or other transfers (including the granting of any Lien) contained in leases, subleases, licenses, sublicenses, joint venture agreements and other agreements entered into in the Ordinary Course of Business; (iii) that are or were created by virtue of any Lien granted upon, transfer of, agreement to transfer or grant of, any option or right with respect to any assets or Capital Stock not otherwise prohibited under this Loan Agreement; (iv) are set forth in any agreement for any Disposition of any Subsidiary (or all or substantially all of the assets thereof) that restricts the payment of dividends or other distributions or the making of cash loans or advances by such Subsidiary pending such Disposition solely to the extent it relates only to property being sold in such Disposition; (v) are binding on a Subsidiary at the time such Subsidiary first becomes a Subsidiary, so long as such restrictions were not entered into solely in contemplation of such Person becoming a Subsidiary; (vi) are customary restrictions in leases, subleases, licenses or asset sale agreements otherwise permitted hereby so long as such restrictions relate solely to the assets subject thereto; (vii) are customary provisions restricting subletting or assignment of any lease governing a leasehold interest of the Borrower or any Subsidiary; (viii) are on cash, other deposits or net worth or similar restrictions imposed by any Person under any contract entered into in the Ordinary Course of Business or for whose benefit such cash, other deposits or net worth or similar restrictions exist and to the extent limited solely to such assets; (ix) arise under or as a result of applicable Law or the terms of any license, authorization, concession or permit provided by a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-2247265</wp:posOffset>
            </wp:positionV>
            <wp:extent cx="406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jc w:val="both"/>
        <w:ind w:firstLine="8"/>
        <w:spacing w:after="0" w:line="218" w:lineRule="auto"/>
        <w:tabs>
          <w:tab w:leader="none" w:pos="308"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relating to any asset (or all of the assets) of or the Capital Stock of the Borrower or any Subsidiary which is imposed pursuant to an agreement entered into in connection with any Disposition of such asset (or assets) or all or a portion of the Capital Stock of the relevant Person that is permitted or not restricted by this Loan Agreement (provided that any such agreement with respect to the Borrower shall result in a Change of Control); (xi) set forth in any agreement relating to any Permitted Lien that limits the right of the Borrower or any Subsidiary to Dispose of or encumber the assets subject thereto so long as no such agreement prohibits any Loan Party from creating or granting a Lien on any of its properties or assets to secure the Obligations; and (xii) are amendments, modifications, restatements, refinancings or renewals of the agreements, contracts or instruments referred to in subclauses (i) through (xi) of this proviso;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amendments, modifications, restatements, refinancings or renewals are not materially more restrictive with respect to such encumbrances and restrictions than those contained in such predecessor agreements, contracts or instruments.</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9.12</w:t>
      </w:r>
      <w:r>
        <w:rPr>
          <w:sz w:val="20"/>
          <w:szCs w:val="20"/>
          <w:color w:val="auto"/>
        </w:rPr>
        <w:tab/>
      </w:r>
      <w:r>
        <w:rPr>
          <w:rFonts w:ascii="Arial" w:cs="Arial" w:eastAsia="Arial" w:hAnsi="Arial"/>
          <w:sz w:val="19"/>
          <w:szCs w:val="19"/>
          <w:u w:val="single" w:color="auto"/>
          <w:color w:val="auto"/>
        </w:rPr>
        <w:t>Changes in Business and Fiscal Year</w:t>
      </w:r>
    </w:p>
    <w:p>
      <w:pPr>
        <w:spacing w:after="0" w:line="179" w:lineRule="exact"/>
        <w:rPr>
          <w:sz w:val="20"/>
          <w:szCs w:val="20"/>
          <w:color w:val="auto"/>
        </w:rPr>
      </w:pPr>
    </w:p>
    <w:p>
      <w:pPr>
        <w:ind w:left="760" w:hanging="104"/>
        <w:spacing w:after="0"/>
        <w:tabs>
          <w:tab w:leader="none" w:pos="76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Subsidiaries to:</w:t>
      </w:r>
    </w:p>
    <w:p>
      <w:pPr>
        <w:spacing w:after="0" w:line="179" w:lineRule="exact"/>
        <w:rPr>
          <w:rFonts w:ascii="Arial" w:cs="Arial" w:eastAsia="Arial" w:hAnsi="Arial"/>
          <w:sz w:val="22"/>
          <w:szCs w:val="22"/>
          <w:color w:val="auto"/>
        </w:rPr>
      </w:pPr>
    </w:p>
    <w:p>
      <w:pPr>
        <w:ind w:left="2400" w:hanging="448"/>
        <w:spacing w:after="0"/>
        <w:tabs>
          <w:tab w:leader="none" w:pos="24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engage in any business activity other than the Business;</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modify or change its fiscal year to end other than on December 31 of each year;</w:t>
      </w:r>
    </w:p>
    <w:p>
      <w:pPr>
        <w:spacing w:after="0" w:line="179" w:lineRule="exact"/>
        <w:rPr>
          <w:rFonts w:ascii="Arial" w:cs="Arial" w:eastAsia="Arial" w:hAnsi="Arial"/>
          <w:sz w:val="22"/>
          <w:szCs w:val="22"/>
          <w:color w:val="auto"/>
        </w:rPr>
      </w:pPr>
    </w:p>
    <w:p>
      <w:pPr>
        <w:ind w:left="2520" w:hanging="568"/>
        <w:spacing w:after="0"/>
        <w:tabs>
          <w:tab w:leader="none" w:pos="252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modify or change its method of accounting in any material respect except as may be required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conform to GAAP; or</w:t>
      </w:r>
    </w:p>
    <w:p>
      <w:pPr>
        <w:spacing w:after="0" w:line="161" w:lineRule="exact"/>
        <w:rPr>
          <w:rFonts w:ascii="Arial" w:cs="Arial" w:eastAsia="Arial" w:hAnsi="Arial"/>
          <w:sz w:val="19"/>
          <w:szCs w:val="19"/>
          <w:color w:val="auto"/>
        </w:rPr>
      </w:pPr>
    </w:p>
    <w:p>
      <w:pPr>
        <w:jc w:val="both"/>
        <w:ind w:firstLine="1952"/>
        <w:spacing w:after="0" w:line="218" w:lineRule="auto"/>
        <w:tabs>
          <w:tab w:leader="none" w:pos="2606" w:val="left"/>
        </w:tabs>
        <w:numPr>
          <w:ilvl w:val="1"/>
          <w:numId w:val="200"/>
        </w:numPr>
        <w:rPr>
          <w:rFonts w:ascii="Arial" w:cs="Arial" w:eastAsia="Arial" w:hAnsi="Arial"/>
          <w:sz w:val="22"/>
          <w:szCs w:val="22"/>
          <w:color w:val="auto"/>
        </w:rPr>
      </w:pPr>
      <w:r>
        <w:rPr>
          <w:rFonts w:ascii="Arial" w:cs="Arial" w:eastAsia="Arial" w:hAnsi="Arial"/>
          <w:sz w:val="22"/>
          <w:szCs w:val="22"/>
          <w:color w:val="auto"/>
        </w:rPr>
        <w:t xml:space="preserve">modify or change its revenue and expense recognition policies, including any assumptions or estimates used in determining revenues and expenses in connection with such policies, </w:t>
      </w:r>
      <w:r>
        <w:rPr>
          <w:rFonts w:ascii="Arial" w:cs="Arial" w:eastAsia="Arial" w:hAnsi="Arial"/>
          <w:sz w:val="22"/>
          <w:szCs w:val="22"/>
          <w:u w:val="single" w:color="auto"/>
          <w:color w:val="auto"/>
        </w:rPr>
        <w:t>unless</w:t>
      </w:r>
      <w:r>
        <w:rPr>
          <w:rFonts w:ascii="Arial" w:cs="Arial" w:eastAsia="Arial" w:hAnsi="Arial"/>
          <w:sz w:val="22"/>
          <w:szCs w:val="22"/>
          <w:color w:val="auto"/>
        </w:rPr>
        <w:t>, prior to implementing any such changes, it shall have provided, or shall have caused its auditors to provide, to the Administrative Agent and the Lenders reasonable supporting documentation for such changes.</w:t>
      </w:r>
    </w:p>
    <w:p>
      <w:pPr>
        <w:sectPr>
          <w:pgSz w:w="11900" w:h="16838" w:orient="portrait"/>
          <w:cols w:equalWidth="0" w:num="1">
            <w:col w:w="11240"/>
          </w:cols>
          <w:pgMar w:left="320" w:top="1401" w:right="339" w:bottom="1440" w:gutter="0" w:footer="0" w:header="0"/>
        </w:sectPr>
      </w:pPr>
    </w:p>
    <w:bookmarkStart w:id="170" w:name="page171"/>
    <w:bookmarkEnd w:id="170"/>
    <w:p>
      <w:pPr>
        <w:ind w:left="660"/>
        <w:spacing w:after="0"/>
        <w:tabs>
          <w:tab w:leader="none" w:pos="1940" w:val="left"/>
        </w:tabs>
        <w:rPr>
          <w:sz w:val="20"/>
          <w:szCs w:val="20"/>
          <w:color w:val="auto"/>
        </w:rPr>
      </w:pPr>
      <w:r>
        <w:rPr>
          <w:rFonts w:ascii="Arial" w:cs="Arial" w:eastAsia="Arial" w:hAnsi="Arial"/>
          <w:sz w:val="22"/>
          <w:szCs w:val="22"/>
          <w:color w:val="auto"/>
        </w:rPr>
        <w:t>Section 9.13</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18" w:lineRule="auto"/>
        <w:tabs>
          <w:tab w:leader="none" w:pos="243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Maximum Total Net Leverage Ratio</w:t>
      </w:r>
      <w:r>
        <w:rPr>
          <w:rFonts w:ascii="Arial" w:cs="Arial" w:eastAsia="Arial" w:hAnsi="Arial"/>
          <w:sz w:val="22"/>
          <w:szCs w:val="22"/>
          <w:color w:val="auto"/>
        </w:rPr>
        <w:t>. The Loan Parties will not permit the Total Net Leverage Ratio, as of the last day of each fiscal quarter (i) ending June 30, 2020, September 30, 2020 and December 31, 2020, to be greater than 5.00 to 1.00, (ii) ending March 31, 2021 and June 30, 2021, to be greater than 4.50 to 1.00 and (iii) ending September 30, 2021 and December 31, 2021, to be greater than 4.00 to 1.00.</w:t>
      </w:r>
    </w:p>
    <w:p>
      <w:pPr>
        <w:spacing w:after="0" w:line="160" w:lineRule="exact"/>
        <w:rPr>
          <w:rFonts w:ascii="Arial" w:cs="Arial" w:eastAsia="Arial" w:hAnsi="Arial"/>
          <w:sz w:val="22"/>
          <w:szCs w:val="22"/>
          <w:color w:val="auto"/>
        </w:rPr>
      </w:pPr>
    </w:p>
    <w:p>
      <w:pPr>
        <w:jc w:val="both"/>
        <w:ind w:firstLine="1952"/>
        <w:spacing w:after="0" w:line="218" w:lineRule="auto"/>
        <w:tabs>
          <w:tab w:leader="none" w:pos="243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Minimum Consolidated Total Net Sales</w:t>
      </w:r>
      <w:r>
        <w:rPr>
          <w:rFonts w:ascii="Arial" w:cs="Arial" w:eastAsia="Arial" w:hAnsi="Arial"/>
          <w:sz w:val="22"/>
          <w:szCs w:val="22"/>
          <w:color w:val="auto"/>
        </w:rPr>
        <w:t>. The Loan Parties will not permit the Consolidated Total Net Sales, as of the last day of the fiscal quarter ending on March 31, 2022, and as of the last day of each fiscal quarter ending thereafter, (each such date, a “</w:t>
      </w:r>
      <w:r>
        <w:rPr>
          <w:rFonts w:ascii="Arial" w:cs="Arial" w:eastAsia="Arial" w:hAnsi="Arial"/>
          <w:sz w:val="22"/>
          <w:szCs w:val="22"/>
          <w:u w:val="single" w:color="auto"/>
          <w:color w:val="auto"/>
        </w:rPr>
        <w:t>Calculation Date</w:t>
      </w:r>
      <w:r>
        <w:rPr>
          <w:rFonts w:ascii="Arial" w:cs="Arial" w:eastAsia="Arial" w:hAnsi="Arial"/>
          <w:sz w:val="22"/>
          <w:szCs w:val="22"/>
          <w:color w:val="auto"/>
        </w:rPr>
        <w:t>”) to be less than the amount corresponding to such Calculation Date as set forth in the table below (the “</w:t>
      </w:r>
      <w:r>
        <w:rPr>
          <w:rFonts w:ascii="Arial" w:cs="Arial" w:eastAsia="Arial" w:hAnsi="Arial"/>
          <w:sz w:val="22"/>
          <w:szCs w:val="22"/>
          <w:u w:val="single" w:color="auto"/>
          <w:color w:val="auto"/>
        </w:rPr>
        <w:t>Minimum Consolidated Total Net Sales Amount</w:t>
      </w:r>
      <w:r>
        <w:rPr>
          <w:rFonts w:ascii="Arial" w:cs="Arial" w:eastAsia="Arial" w:hAnsi="Arial"/>
          <w:sz w:val="22"/>
          <w:szCs w:val="22"/>
          <w:color w:val="auto"/>
        </w:rPr>
        <w:t>”).</w:t>
      </w:r>
    </w:p>
    <w:p>
      <w:pPr>
        <w:spacing w:after="0" w:line="203" w:lineRule="exact"/>
        <w:rPr>
          <w:sz w:val="20"/>
          <w:szCs w:val="20"/>
          <w:color w:val="auto"/>
        </w:rPr>
      </w:pPr>
    </w:p>
    <w:tbl>
      <w:tblPr>
        <w:tblLayout w:type="fixed"/>
        <w:tblInd w:w="890" w:type="dxa"/>
        <w:tblCellMar>
          <w:top w:w="0" w:type="dxa"/>
          <w:left w:w="0" w:type="dxa"/>
          <w:bottom w:w="0" w:type="dxa"/>
          <w:right w:w="0" w:type="dxa"/>
        </w:tblCellMar>
      </w:tblPr>
      <w:tr>
        <w:trPr>
          <w:trHeight w:val="321"/>
        </w:trPr>
        <w:tc>
          <w:tcPr>
            <w:tcW w:w="4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Calculation Date</w:t>
            </w:r>
          </w:p>
        </w:tc>
        <w:tc>
          <w:tcPr>
            <w:tcW w:w="4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Minimum Consolidated Total Net Sales</w:t>
            </w:r>
          </w:p>
        </w:tc>
        <w:tc>
          <w:tcPr>
            <w:tcW w:w="0" w:type="dxa"/>
            <w:vAlign w:val="bottom"/>
          </w:tcPr>
          <w:p>
            <w:pPr>
              <w:spacing w:after="0"/>
              <w:rPr>
                <w:sz w:val="1"/>
                <w:szCs w:val="1"/>
                <w:color w:val="auto"/>
              </w:rPr>
            </w:pPr>
          </w:p>
        </w:tc>
      </w:tr>
      <w:tr>
        <w:trPr>
          <w:trHeight w:val="148"/>
        </w:trPr>
        <w:tc>
          <w:tcPr>
            <w:tcW w:w="4120" w:type="dxa"/>
            <w:vAlign w:val="bottom"/>
            <w:tcBorders>
              <w:left w:val="single" w:sz="8" w:color="auto"/>
              <w:right w:val="single" w:sz="8" w:color="auto"/>
            </w:tcBorders>
            <w:vMerge w:val="continue"/>
          </w:tcPr>
          <w:p>
            <w:pPr>
              <w:spacing w:after="0"/>
              <w:rPr>
                <w:sz w:val="12"/>
                <w:szCs w:val="12"/>
                <w:color w:val="auto"/>
              </w:rPr>
            </w:pPr>
          </w:p>
        </w:tc>
        <w:tc>
          <w:tcPr>
            <w:tcW w:w="4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1"/>
              </w:rPr>
              <w:t>Amount</w:t>
            </w: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right w:val="single" w:sz="8" w:color="auto"/>
            </w:tcBorders>
          </w:tcPr>
          <w:p>
            <w:pPr>
              <w:spacing w:after="0"/>
              <w:rPr>
                <w:sz w:val="11"/>
                <w:szCs w:val="11"/>
                <w:color w:val="auto"/>
              </w:rPr>
            </w:pPr>
          </w:p>
        </w:tc>
        <w:tc>
          <w:tcPr>
            <w:tcW w:w="4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March 31, 2022</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1"/>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June 30, 2022</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September 30, 2022</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2022</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4"/>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March 31, 2023</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June 30, 2023</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September 30, 2023</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2023</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4"/>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March 31, 2024</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June 30, 2024</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September 30, 2024</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2024</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4"/>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March 31, 2025</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June 30, 2025</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1" w:right="339" w:bottom="1440" w:gutter="0" w:footer="0" w:header="0"/>
        </w:sectPr>
      </w:pPr>
    </w:p>
    <w:bookmarkStart w:id="171" w:name="page172"/>
    <w:bookmarkEnd w:id="171"/>
    <w:p>
      <w:pPr>
        <w:spacing w:after="0" w:line="177" w:lineRule="exact"/>
        <w:rPr>
          <w:sz w:val="20"/>
          <w:szCs w:val="20"/>
          <w:color w:val="auto"/>
        </w:rPr>
      </w:pPr>
    </w:p>
    <w:p>
      <w:pPr>
        <w:jc w:val="both"/>
        <w:ind w:firstLine="1952"/>
        <w:spacing w:after="0" w:line="223" w:lineRule="auto"/>
        <w:tabs>
          <w:tab w:leader="none" w:pos="244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Minimum Liquidity</w:t>
      </w:r>
      <w:r>
        <w:rPr>
          <w:rFonts w:ascii="Arial" w:cs="Arial" w:eastAsia="Arial" w:hAnsi="Arial"/>
          <w:sz w:val="22"/>
          <w:szCs w:val="22"/>
          <w:color w:val="auto"/>
        </w:rPr>
        <w:t>. The Loan Parties will not permit Liquidity of the Borrower and its Subsidiaries at any time (i) prior to the Amendment No. 1 Effective Date, to be less than $10,000,000, and (ii) on and after the Amendment No. 1 Effective Date, to be less than $20,000,000.</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9.16</w:t>
      </w:r>
      <w:r>
        <w:rPr>
          <w:sz w:val="20"/>
          <w:szCs w:val="20"/>
          <w:color w:val="auto"/>
        </w:rPr>
        <w:tab/>
      </w:r>
      <w:r>
        <w:rPr>
          <w:rFonts w:ascii="Arial" w:cs="Arial" w:eastAsia="Arial" w:hAnsi="Arial"/>
          <w:sz w:val="19"/>
          <w:szCs w:val="19"/>
          <w:u w:val="single" w:color="auto"/>
          <w:color w:val="auto"/>
        </w:rPr>
        <w:t>Economic Sanctions/OFAC</w:t>
      </w:r>
    </w:p>
    <w:p>
      <w:pPr>
        <w:spacing w:after="0" w:line="179" w:lineRule="exact"/>
        <w:rPr>
          <w:sz w:val="20"/>
          <w:szCs w:val="20"/>
          <w:color w:val="auto"/>
        </w:rPr>
      </w:pPr>
    </w:p>
    <w:p>
      <w:pPr>
        <w:jc w:val="both"/>
        <w:ind w:firstLine="656"/>
        <w:spacing w:after="0" w:line="246" w:lineRule="auto"/>
        <w:tabs>
          <w:tab w:leader="none" w:pos="76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shall not (i) use, permit the Borrower or any of its Subsidiaries to use, or permit any of its or any of their respective directors, officers, employees, representatives or agents to use, any proceeds of any Loans, directly or knowingly indirectly, or (ii) lend, contribute or otherwise make available any proceeds of any Loans, directly or knowingly indirectly, to any Person: (x) to fund, finance or facilitate any activity, business or transaction of or with any Sanctioned Person or in any Sanctioned Country if such activity, business or transaction would result in, or in the good faith and reasonable opinion of the Borrower would reasonably be expected to result in, a violation of any Sanctions (including OFAC Sanctions) applicable to a Loan Party, a Subsidiary of a Loan Party, or a Secured Party; or (y) in any manner that would result in a violation of any Sanctions (including OFAC Sanctions) applicable to a Loan Party, a Subsidiary of a Loan Party, or a Secured Party.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9.17</w:t>
      </w:r>
      <w:r>
        <w:rPr>
          <w:sz w:val="20"/>
          <w:szCs w:val="20"/>
          <w:color w:val="auto"/>
        </w:rPr>
        <w:tab/>
      </w:r>
      <w:r>
        <w:rPr>
          <w:rFonts w:ascii="Arial" w:cs="Arial" w:eastAsia="Arial" w:hAnsi="Arial"/>
          <w:sz w:val="19"/>
          <w:szCs w:val="19"/>
          <w:u w:val="single" w:color="auto"/>
          <w:color w:val="auto"/>
        </w:rPr>
        <w:t>Anti-Terrorism Laws; Foreign Corrupt Practices Act</w:t>
      </w:r>
    </w:p>
    <w:p>
      <w:pPr>
        <w:spacing w:after="0" w:line="179" w:lineRule="exact"/>
        <w:rPr>
          <w:sz w:val="20"/>
          <w:szCs w:val="20"/>
          <w:color w:val="auto"/>
        </w:rPr>
      </w:pPr>
    </w:p>
    <w:p>
      <w:pPr>
        <w:jc w:val="both"/>
        <w:ind w:firstLine="656"/>
        <w:spacing w:after="0" w:line="214" w:lineRule="auto"/>
        <w:tabs>
          <w:tab w:leader="none" w:pos="75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(15 U.S.C. § 78dd-1). The Loan Parties shall not fail in any material respects to comply with (x) any Anti-Terrorism Law or other Law referred to in </w:t>
      </w:r>
      <w:r>
        <w:rPr>
          <w:rFonts w:ascii="Arial" w:cs="Arial" w:eastAsia="Arial" w:hAnsi="Arial"/>
          <w:sz w:val="22"/>
          <w:szCs w:val="22"/>
          <w:u w:val="single" w:color="auto"/>
          <w:color w:val="auto"/>
        </w:rPr>
        <w:t>Section 7.29</w:t>
      </w:r>
      <w:r>
        <w:rPr>
          <w:rFonts w:ascii="Arial" w:cs="Arial" w:eastAsia="Arial" w:hAnsi="Arial"/>
          <w:sz w:val="22"/>
          <w:szCs w:val="22"/>
          <w:color w:val="auto"/>
        </w:rPr>
        <w:t xml:space="preserve"> or (y) the Foreign Corrupt Practices Act or other applicable anti-corruption laws. The Borrower shall not, directly or indirectly, use the Loan proceeds, or lend, contribute or otherwise make available such proceeds to any Subsidiary, joint venture partner or other Person, directly or indirectly, in whole or in part, to fund or facilitate any activities or business in violation of any Anti-Terrorism Law or other Law referred to in </w:t>
      </w:r>
      <w:r>
        <w:rPr>
          <w:rFonts w:ascii="Arial" w:cs="Arial" w:eastAsia="Arial" w:hAnsi="Arial"/>
          <w:sz w:val="22"/>
          <w:szCs w:val="22"/>
          <w:u w:val="single" w:color="auto"/>
          <w:color w:val="auto"/>
        </w:rPr>
        <w:t>Section 7.29</w:t>
      </w:r>
      <w:r>
        <w:rPr>
          <w:rFonts w:ascii="Arial" w:cs="Arial" w:eastAsia="Arial" w:hAnsi="Arial"/>
          <w:sz w:val="22"/>
          <w:szCs w:val="22"/>
          <w:color w:val="auto"/>
        </w:rPr>
        <w:t xml:space="preserve"> or the Foreign Corrupt Practices Act or other applicable anti-corruption laws.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Use of Proceeds</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u w:val="single" w:color="auto"/>
          <w:color w:val="0000FF"/>
        </w:rPr>
        <w:t>Section 9.18 Use of Proceeds</w:t>
      </w:r>
      <w:r>
        <w:rPr>
          <w:rFonts w:ascii="Arial" w:cs="Arial" w:eastAsia="Arial" w:hAnsi="Arial"/>
          <w:sz w:val="22"/>
          <w:szCs w:val="22"/>
          <w:color w:val="000000"/>
        </w:rPr>
        <w:t>. No Loan Party shall, and no Loan Party shall permit any of its Subsidiaries, to use any</w:t>
      </w:r>
      <w:r>
        <w:rPr>
          <w:rFonts w:ascii="Arial" w:cs="Arial" w:eastAsia="Arial" w:hAnsi="Arial"/>
          <w:sz w:val="22"/>
          <w:szCs w:val="22"/>
          <w:color w:val="0000FF"/>
        </w:rPr>
        <w:t xml:space="preserve"> </w:t>
      </w:r>
      <w:r>
        <w:rPr>
          <w:rFonts w:ascii="Arial" w:cs="Arial" w:eastAsia="Arial" w:hAnsi="Arial"/>
          <w:sz w:val="22"/>
          <w:szCs w:val="22"/>
          <w:color w:val="000000"/>
        </w:rPr>
        <w:t>portion of the Loan proceeds, directly or indirectly, to purchase or carry Margin Stock or repay or otherwise refinance Indebtedness of any Loan Party or others incurred to purchase or carry Margin Stock, or otherwise in any manner which is in contravention of any Law or in violation of this Loan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EVENTS OF DEFAULT</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Listing of Events of Default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Each of the following events or occurrences described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shall constitute an “Event of Default”:</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7" w:lineRule="exact"/>
        <w:rPr>
          <w:sz w:val="20"/>
          <w:szCs w:val="20"/>
          <w:color w:val="auto"/>
        </w:rPr>
      </w:pPr>
    </w:p>
    <w:p>
      <w:pPr>
        <w:ind w:left="1280" w:hanging="448"/>
        <w:spacing w:after="0"/>
        <w:tabs>
          <w:tab w:leader="none" w:pos="128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Non-Payment of Obligations</w:t>
      </w:r>
      <w:r>
        <w:rPr>
          <w:rFonts w:ascii="Arial" w:cs="Arial" w:eastAsia="Arial" w:hAnsi="Arial"/>
          <w:sz w:val="22"/>
          <w:szCs w:val="22"/>
          <w:color w:val="auto"/>
        </w:rPr>
        <w:t>. The Borrower shall default in the payment of:</w:t>
      </w:r>
    </w:p>
    <w:p>
      <w:pPr>
        <w:spacing w:after="0" w:line="179" w:lineRule="exact"/>
        <w:rPr>
          <w:rFonts w:ascii="Arial" w:cs="Arial" w:eastAsia="Arial" w:hAnsi="Arial"/>
          <w:sz w:val="22"/>
          <w:szCs w:val="22"/>
          <w:color w:val="auto"/>
        </w:rPr>
      </w:pPr>
    </w:p>
    <w:p>
      <w:pPr>
        <w:ind w:left="-460" w:firstLine="1940"/>
        <w:spacing w:after="0" w:line="247" w:lineRule="auto"/>
        <w:tabs>
          <w:tab w:leader="none" w:pos="194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 xml:space="preserve">any principal of any Loan when such amount is due;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Event of Default under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shall result from a Lender declining a payment in writing in accordance with </w:t>
      </w:r>
      <w:r>
        <w:rPr>
          <w:rFonts w:ascii="Arial" w:cs="Arial" w:eastAsia="Arial" w:hAnsi="Arial"/>
          <w:sz w:val="21"/>
          <w:szCs w:val="21"/>
          <w:u w:val="single" w:color="auto"/>
          <w:color w:val="auto"/>
        </w:rPr>
        <w:t>Section 4.05</w:t>
      </w:r>
      <w:r>
        <w:rPr>
          <w:rFonts w:ascii="Arial" w:cs="Arial" w:eastAsia="Arial" w:hAnsi="Arial"/>
          <w:sz w:val="21"/>
          <w:szCs w:val="21"/>
          <w:color w:val="auto"/>
        </w:rPr>
        <w:t>; or</w:t>
      </w:r>
    </w:p>
    <w:p>
      <w:pPr>
        <w:spacing w:after="0" w:line="150" w:lineRule="exact"/>
        <w:rPr>
          <w:rFonts w:ascii="Arial" w:cs="Arial" w:eastAsia="Arial" w:hAnsi="Arial"/>
          <w:sz w:val="21"/>
          <w:szCs w:val="21"/>
          <w:color w:val="auto"/>
        </w:rPr>
      </w:pPr>
    </w:p>
    <w:p>
      <w:pPr>
        <w:ind w:left="-460" w:firstLine="1940"/>
        <w:spacing w:after="0" w:line="232" w:lineRule="auto"/>
        <w:tabs>
          <w:tab w:leader="none" w:pos="201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any interest on any Loan and such default shall continue unremedied for a period of five (5) Business Days after such amount is due; or</w:t>
      </w:r>
    </w:p>
    <w:p>
      <w:pPr>
        <w:spacing w:after="0" w:line="158" w:lineRule="exact"/>
        <w:rPr>
          <w:rFonts w:ascii="Arial" w:cs="Arial" w:eastAsia="Arial" w:hAnsi="Arial"/>
          <w:sz w:val="22"/>
          <w:szCs w:val="22"/>
          <w:color w:val="auto"/>
        </w:rPr>
      </w:pPr>
    </w:p>
    <w:p>
      <w:pPr>
        <w:ind w:left="-460" w:firstLine="1940"/>
        <w:spacing w:after="0" w:line="232" w:lineRule="auto"/>
        <w:tabs>
          <w:tab w:leader="none" w:pos="214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 xml:space="preserve">any fee described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any other monetary Obligation, and such default shall continue unremedied for a period of five (5) Business Days after such amount is due.</w:t>
      </w:r>
    </w:p>
    <w:p>
      <w:pPr>
        <w:spacing w:after="0" w:line="158" w:lineRule="exact"/>
        <w:rPr>
          <w:rFonts w:ascii="Arial" w:cs="Arial" w:eastAsia="Arial" w:hAnsi="Arial"/>
          <w:sz w:val="22"/>
          <w:szCs w:val="22"/>
          <w:color w:val="auto"/>
        </w:rPr>
      </w:pPr>
    </w:p>
    <w:p>
      <w:pPr>
        <w:jc w:val="both"/>
        <w:ind w:left="-1120" w:firstLine="1952"/>
        <w:spacing w:after="0" w:line="252" w:lineRule="auto"/>
        <w:tabs>
          <w:tab w:leader="none" w:pos="1292"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Breach of Representation or Warranty</w:t>
      </w:r>
      <w:r>
        <w:rPr>
          <w:rFonts w:ascii="Arial" w:cs="Arial" w:eastAsia="Arial" w:hAnsi="Arial"/>
          <w:sz w:val="19"/>
          <w:szCs w:val="19"/>
          <w:color w:val="auto"/>
        </w:rPr>
        <w:t xml:space="preserve">. Any representation or warranty made or deemed to be made by any Loan Party in any Loan Document (including any certificate delivered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w:t>
      </w:r>
      <w:r>
        <w:rPr>
          <w:rFonts w:ascii="Arial" w:cs="Arial" w:eastAsia="Arial" w:hAnsi="Arial"/>
          <w:sz w:val="19"/>
          <w:szCs w:val="19"/>
          <w:color w:val="auto"/>
        </w:rPr>
        <w:t>) is or shall be incorrect in any material respect on or as of the date when made or deemed to have been made (or, in the case of any representation or warranty that is already qualified in the text thereof as to “materiality”, “Material Adverse Effect”, or similar language, is or shall be incorrect in any respect on or as of the date when made or deemed to have been made).</w:t>
      </w:r>
    </w:p>
    <w:p>
      <w:pPr>
        <w:spacing w:after="0" w:line="148" w:lineRule="exact"/>
        <w:rPr>
          <w:rFonts w:ascii="Arial" w:cs="Arial" w:eastAsia="Arial" w:hAnsi="Arial"/>
          <w:sz w:val="19"/>
          <w:szCs w:val="19"/>
          <w:color w:val="auto"/>
        </w:rPr>
      </w:pPr>
    </w:p>
    <w:p>
      <w:pPr>
        <w:jc w:val="both"/>
        <w:ind w:left="-1120" w:firstLine="1952"/>
        <w:spacing w:after="0" w:line="257" w:lineRule="auto"/>
        <w:tabs>
          <w:tab w:leader="none" w:pos="139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Non-Performance of Certain Covenants and Obligations</w:t>
      </w:r>
      <w:r>
        <w:rPr>
          <w:rFonts w:ascii="Arial" w:cs="Arial" w:eastAsia="Arial" w:hAnsi="Arial"/>
          <w:sz w:val="19"/>
          <w:szCs w:val="19"/>
          <w:color w:val="auto"/>
        </w:rPr>
        <w:t xml:space="preserve">. Any Loan Party shall default in the due performance or observance of any of its obligations under </w:t>
      </w:r>
      <w:r>
        <w:rPr>
          <w:rFonts w:ascii="Arial" w:cs="Arial" w:eastAsia="Arial" w:hAnsi="Arial"/>
          <w:sz w:val="19"/>
          <w:szCs w:val="19"/>
          <w:u w:val="single" w:color="auto"/>
          <w:color w:val="auto"/>
        </w:rPr>
        <w:t>Section 8.01(f)-(n)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8.17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8.19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IX</w:t>
      </w:r>
      <w:r>
        <w:rPr>
          <w:rFonts w:ascii="Arial" w:cs="Arial" w:eastAsia="Arial" w:hAnsi="Arial"/>
          <w:sz w:val="19"/>
          <w:szCs w:val="19"/>
          <w:color w:val="auto"/>
        </w:rPr>
        <w:t>, or any Loan Party shall default in the due performance or observance of its obligations under any covenant applicable to it under the Guaranty and Security Agreement.</w:t>
      </w:r>
    </w:p>
    <w:p>
      <w:pPr>
        <w:spacing w:after="0" w:line="144" w:lineRule="exact"/>
        <w:rPr>
          <w:rFonts w:ascii="Arial" w:cs="Arial" w:eastAsia="Arial" w:hAnsi="Arial"/>
          <w:sz w:val="19"/>
          <w:szCs w:val="19"/>
          <w:color w:val="auto"/>
        </w:rPr>
      </w:pPr>
    </w:p>
    <w:p>
      <w:pPr>
        <w:jc w:val="both"/>
        <w:ind w:left="-1120" w:firstLine="1952"/>
        <w:spacing w:after="0" w:line="214" w:lineRule="auto"/>
        <w:tabs>
          <w:tab w:leader="none" w:pos="1503"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Non-Performance of Section 8.01</w:t>
      </w:r>
      <w:r>
        <w:rPr>
          <w:rFonts w:ascii="Arial" w:cs="Arial" w:eastAsia="Arial" w:hAnsi="Arial"/>
          <w:sz w:val="22"/>
          <w:szCs w:val="22"/>
          <w:color w:val="auto"/>
        </w:rPr>
        <w:t xml:space="preserve">. Any Loan Party shall default in the due performance and observance of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such default shall continue unremedied for a period of two (2) Business Days;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grace period in this </w:t>
      </w:r>
      <w:r>
        <w:rPr>
          <w:rFonts w:ascii="Arial" w:cs="Arial" w:eastAsia="Arial" w:hAnsi="Arial"/>
          <w:sz w:val="22"/>
          <w:szCs w:val="22"/>
          <w:u w:val="single" w:color="auto"/>
          <w:color w:val="auto"/>
        </w:rPr>
        <w:t>Section 10.01(d)</w:t>
      </w:r>
      <w:r>
        <w:rPr>
          <w:rFonts w:ascii="Arial" w:cs="Arial" w:eastAsia="Arial" w:hAnsi="Arial"/>
          <w:sz w:val="22"/>
          <w:szCs w:val="22"/>
          <w:color w:val="auto"/>
        </w:rPr>
        <w:t xml:space="preserve"> shall be available no more than three (3) times in each fiscal year, and the Borrower and its Subsidiaries shall provide the Administrative Agent with notice of any actual or expected delay of any deliverables subject to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on or prior to the applicable date such deliverables are required to be delivered pursuant to such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120" w:firstLine="1952"/>
        <w:spacing w:after="0" w:line="216" w:lineRule="auto"/>
        <w:tabs>
          <w:tab w:leader="none" w:pos="1424"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Non-Performance of Other Covenants and Obligations</w:t>
      </w:r>
      <w:r>
        <w:rPr>
          <w:rFonts w:ascii="Arial" w:cs="Arial" w:eastAsia="Arial" w:hAnsi="Arial"/>
          <w:sz w:val="22"/>
          <w:szCs w:val="22"/>
          <w:color w:val="auto"/>
        </w:rPr>
        <w:t xml:space="preserve">. Any Loan Party shall default in the due performance and observance of any obligation contained in any Loan Document executed by it (other than as specified in </w:t>
      </w:r>
      <w:r>
        <w:rPr>
          <w:rFonts w:ascii="Arial" w:cs="Arial" w:eastAsia="Arial" w:hAnsi="Arial"/>
          <w:sz w:val="22"/>
          <w:szCs w:val="22"/>
          <w:u w:val="single" w:color="auto"/>
          <w:color w:val="auto"/>
        </w:rPr>
        <w:t>Sections 10.01(a)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(c)</w:t>
      </w:r>
      <w:r>
        <w:rPr>
          <w:rFonts w:ascii="Arial" w:cs="Arial" w:eastAsia="Arial" w:hAnsi="Arial"/>
          <w:sz w:val="22"/>
          <w:szCs w:val="22"/>
          <w:color w:val="auto"/>
        </w:rPr>
        <w:t>), and such default shall continue unremedied for a period of thirty (30) Business Days after earlier of (1) receipt by the Borrower of notice from the Administrative Agent of such default and (2) actual knowledge of the Borrower or any other Loan Party of such default.</w:t>
      </w:r>
    </w:p>
    <w:p>
      <w:pPr>
        <w:spacing w:after="0" w:line="157" w:lineRule="exact"/>
        <w:rPr>
          <w:rFonts w:ascii="Arial" w:cs="Arial" w:eastAsia="Arial" w:hAnsi="Arial"/>
          <w:sz w:val="22"/>
          <w:szCs w:val="22"/>
          <w:color w:val="auto"/>
        </w:rPr>
      </w:pPr>
    </w:p>
    <w:p>
      <w:pPr>
        <w:jc w:val="both"/>
        <w:ind w:left="-1120" w:firstLine="1952"/>
        <w:spacing w:after="0" w:line="216" w:lineRule="auto"/>
        <w:tabs>
          <w:tab w:leader="none" w:pos="137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Suspension, Debarment or Exclusion</w:t>
      </w:r>
      <w:r>
        <w:rPr>
          <w:rFonts w:ascii="Arial" w:cs="Arial" w:eastAsia="Arial" w:hAnsi="Arial"/>
          <w:sz w:val="22"/>
          <w:szCs w:val="22"/>
          <w:color w:val="auto"/>
        </w:rPr>
        <w:t>. (x) Any Loan Party is suspended, debarred, or excluded in accordance with 21 U.S.C. § 335a, 42 U.S.C. § 1320a-7, or similar provision of Law, or (y) any officer or employee of any Loan Party is suspended, debarred, or excluded in accordance with 21 U.S.C. § 335a, 42 U.S.C. § 1320a-7, or similar provision of Law and, solely in the case of this sub-clause (y), such suspension, debarment or exclusion would reasonably be expected to have a Material Adverse Effect.</w:t>
      </w:r>
    </w:p>
    <w:p>
      <w:pPr>
        <w:spacing w:after="0" w:line="157" w:lineRule="exact"/>
        <w:rPr>
          <w:rFonts w:ascii="Arial" w:cs="Arial" w:eastAsia="Arial" w:hAnsi="Arial"/>
          <w:sz w:val="22"/>
          <w:szCs w:val="22"/>
          <w:color w:val="auto"/>
        </w:rPr>
      </w:pPr>
    </w:p>
    <w:p>
      <w:pPr>
        <w:jc w:val="both"/>
        <w:ind w:left="-1120" w:firstLine="1952"/>
        <w:spacing w:after="0" w:line="223" w:lineRule="auto"/>
        <w:tabs>
          <w:tab w:leader="none" w:pos="1313"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Default on Other Indebtedness</w:t>
      </w:r>
      <w:r>
        <w:rPr>
          <w:rFonts w:ascii="Arial" w:cs="Arial" w:eastAsia="Arial" w:hAnsi="Arial"/>
          <w:sz w:val="22"/>
          <w:szCs w:val="22"/>
          <w:color w:val="auto"/>
        </w:rPr>
        <w:t>. (i) A Loan Party or Subsidiary thereof shall default in the payment of any amount when due (subject to any applicable grace period), whether by acceleration or otherwise, of any principal or stated amount of, or interest or</w:t>
      </w:r>
    </w:p>
    <w:p>
      <w:pPr>
        <w:sectPr>
          <w:pgSz w:w="11900" w:h="16838" w:orient="portrait"/>
          <w:cols w:equalWidth="0" w:num="1">
            <w:col w:w="10120"/>
          </w:cols>
          <w:pgMar w:left="1440" w:top="1440" w:right="339" w:bottom="1440" w:gutter="0" w:footer="0" w:header="0"/>
        </w:sectPr>
      </w:pPr>
    </w:p>
    <w:bookmarkStart w:id="173" w:name="page174"/>
    <w:bookmarkEnd w:id="173"/>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fees on any Material Indebtedness, or a Loan Party or Subsidiary thereof shall default in the performance or observance of any covenant, obligation or condition with respect any Material Indebtedness and the effect of such default is to accelerate the maturity of such Material Indebtedness or to permit the holder or holders of such Material Indebtedness, or any trustee or agent for such holders, to cause or declare any such Material Indebtedness to become immediately due and payable, or to require any such Material Indebtedness to be or prepaid, redeemed, purchased or defeased, or to require an offer to purchase or defease any such Material Indebtedness to be made, prior to its expressed maturity, or (ii) any Material Indebtedness shall otherwise be required to be prepaid, redeemed, purchased or defeased, or require an offer to purchase or defease such Material Indebtedness to be made, prior to its expressed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shall not apply to (x) secured Indebtedness permitted under this Loan Agreement that becomes due as a result of the Disposition (including as a result of a casualty or condemnation event) of the property or assets securing such Indebtedness, to the extent such Indebtedness is promptly repaid in full with the proceeds thereof, and (y) guarantees of Indebtedness that are satisfied promptly upon demand;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this clause (g) shall not apply if the relevant circumstance or event has been remedied or waived by the holders of such Material Indebtedness prior to any exercise of remedies pursuant to Section 10.02.</w:t>
      </w:r>
    </w:p>
    <w:p>
      <w:pPr>
        <w:spacing w:after="0" w:line="160" w:lineRule="exact"/>
        <w:rPr>
          <w:sz w:val="20"/>
          <w:szCs w:val="20"/>
          <w:color w:val="auto"/>
        </w:rPr>
      </w:pPr>
    </w:p>
    <w:p>
      <w:pPr>
        <w:ind w:left="2420" w:hanging="468"/>
        <w:spacing w:after="0"/>
        <w:tabs>
          <w:tab w:leader="none" w:pos="242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Criminal Conviction</w:t>
      </w:r>
      <w:r>
        <w:rPr>
          <w:rFonts w:ascii="Arial" w:cs="Arial" w:eastAsia="Arial" w:hAnsi="Arial"/>
          <w:sz w:val="22"/>
          <w:szCs w:val="22"/>
          <w:color w:val="auto"/>
        </w:rPr>
        <w:t>. Any Loan Party or Subsidiary thereof is convicted of a federal crime.</w:t>
      </w:r>
    </w:p>
    <w:p>
      <w:pPr>
        <w:spacing w:after="0" w:line="179" w:lineRule="exact"/>
        <w:rPr>
          <w:rFonts w:ascii="Arial" w:cs="Arial" w:eastAsia="Arial" w:hAnsi="Arial"/>
          <w:sz w:val="22"/>
          <w:szCs w:val="22"/>
          <w:color w:val="auto"/>
        </w:rPr>
      </w:pPr>
    </w:p>
    <w:p>
      <w:pPr>
        <w:jc w:val="both"/>
        <w:ind w:firstLine="1952"/>
        <w:spacing w:after="0" w:line="244" w:lineRule="auto"/>
        <w:tabs>
          <w:tab w:leader="none" w:pos="259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Any final judgment, order, court approved settlement or other settlement (of any litigation) for the payment of money individually or in the aggregate in excess of $5,000,000 (exclusive of any amounts fully covered (x) by third-party indemnification as to which the indemnitor has been notified of such indemnification obligation and acknowledged its responsibility to cover such judgement, order, court-approved settlement or other settlement or (y) by insurance (less any applicable deductible) and as to which the insurer has acknowledged its responsibility to cover such judgment, order, court-approved settlement or other settlement) shall be rendered against any Loan Party or any Subsidiary of any Loan Party and such judgment, order, court approved settlement or other settlement shall not have been paid, vacated or discharged or effectively stayed or bonded pending appeal within thirty (30) days after the entry thereof or enforcement proceedings shall have been commenced by any creditor upon such judgment, order or court-approved settlement, and such enforcement proceedings have not been effectively stayed, vacated or bonded.</w:t>
      </w:r>
    </w:p>
    <w:p>
      <w:pPr>
        <w:spacing w:after="0" w:line="154" w:lineRule="exact"/>
        <w:rPr>
          <w:rFonts w:ascii="Arial" w:cs="Arial" w:eastAsia="Arial" w:hAnsi="Arial"/>
          <w:sz w:val="19"/>
          <w:szCs w:val="19"/>
          <w:color w:val="auto"/>
        </w:rPr>
      </w:pPr>
    </w:p>
    <w:p>
      <w:pPr>
        <w:ind w:left="2380" w:hanging="428"/>
        <w:spacing w:after="0"/>
        <w:tabs>
          <w:tab w:leader="none" w:pos="238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Any of the following events shall occur:</w:t>
      </w:r>
    </w:p>
    <w:p>
      <w:pPr>
        <w:spacing w:after="0" w:line="179" w:lineRule="exact"/>
        <w:rPr>
          <w:rFonts w:ascii="Arial" w:cs="Arial" w:eastAsia="Arial" w:hAnsi="Arial"/>
          <w:sz w:val="22"/>
          <w:szCs w:val="22"/>
          <w:color w:val="auto"/>
        </w:rPr>
      </w:pPr>
    </w:p>
    <w:p>
      <w:pPr>
        <w:jc w:val="both"/>
        <w:ind w:left="660" w:firstLine="1940"/>
        <w:spacing w:after="0" w:line="223" w:lineRule="auto"/>
        <w:tabs>
          <w:tab w:leader="none" w:pos="3033" w:val="left"/>
        </w:tabs>
        <w:numPr>
          <w:ilvl w:val="1"/>
          <w:numId w:val="206"/>
        </w:numPr>
        <w:rPr>
          <w:rFonts w:ascii="Arial" w:cs="Arial" w:eastAsia="Arial" w:hAnsi="Arial"/>
          <w:sz w:val="22"/>
          <w:szCs w:val="22"/>
          <w:color w:val="auto"/>
        </w:rPr>
      </w:pPr>
      <w:r>
        <w:rPr>
          <w:rFonts w:ascii="Arial" w:cs="Arial" w:eastAsia="Arial" w:hAnsi="Arial"/>
          <w:sz w:val="22"/>
          <w:szCs w:val="22"/>
          <w:color w:val="auto"/>
        </w:rPr>
        <w:t>one or more ERISA Events that, together with all other such events or conditions, if any, could reasonably be expected to result in the imposition of a liability or obligation on any Loan Party or any ERISA Affiliate in excess of $2,500,000; or</w:t>
      </w:r>
    </w:p>
    <w:p>
      <w:pPr>
        <w:spacing w:after="0" w:line="158" w:lineRule="exact"/>
        <w:rPr>
          <w:rFonts w:ascii="Arial" w:cs="Arial" w:eastAsia="Arial" w:hAnsi="Arial"/>
          <w:sz w:val="22"/>
          <w:szCs w:val="22"/>
          <w:color w:val="auto"/>
        </w:rPr>
      </w:pPr>
    </w:p>
    <w:p>
      <w:pPr>
        <w:ind w:left="660" w:firstLine="1940"/>
        <w:spacing w:after="0" w:line="232" w:lineRule="auto"/>
        <w:tabs>
          <w:tab w:leader="none" w:pos="315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a contribution failure occurs with respect to any Plan sufficient to give rise to a Lien under Sections 303(k) or 4068 of ERISA or Section 430(k) of the Code.</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Bankruptcy, Insolvency, etc</w:t>
      </w:r>
      <w:r>
        <w:rPr>
          <w:rFonts w:ascii="Arial" w:cs="Arial" w:eastAsia="Arial" w:hAnsi="Arial"/>
          <w:sz w:val="22"/>
          <w:szCs w:val="22"/>
          <w:color w:val="auto"/>
        </w:rPr>
        <w:t>. Any Loan Party or any Subsidiary of any Loan Party shall:</w:t>
      </w:r>
    </w:p>
    <w:p>
      <w:pPr>
        <w:spacing w:after="0" w:line="179" w:lineRule="exact"/>
        <w:rPr>
          <w:rFonts w:ascii="Arial" w:cs="Arial" w:eastAsia="Arial" w:hAnsi="Arial"/>
          <w:sz w:val="22"/>
          <w:szCs w:val="22"/>
          <w:color w:val="auto"/>
        </w:rPr>
      </w:pPr>
    </w:p>
    <w:p>
      <w:pPr>
        <w:ind w:left="660" w:firstLine="1940"/>
        <w:spacing w:after="0" w:line="232" w:lineRule="auto"/>
        <w:tabs>
          <w:tab w:leader="none" w:pos="312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become insolvent or generally fail to pay, or admit in writing its inability or unwillingness generally to pay, its debts as they become due;</w:t>
      </w:r>
    </w:p>
    <w:p>
      <w:pPr>
        <w:spacing w:after="0" w:line="158" w:lineRule="exact"/>
        <w:rPr>
          <w:rFonts w:ascii="Arial" w:cs="Arial" w:eastAsia="Arial" w:hAnsi="Arial"/>
          <w:sz w:val="22"/>
          <w:szCs w:val="22"/>
          <w:color w:val="auto"/>
        </w:rPr>
      </w:pPr>
    </w:p>
    <w:p>
      <w:pPr>
        <w:ind w:left="660" w:firstLine="1940"/>
        <w:spacing w:after="0" w:line="232" w:lineRule="auto"/>
        <w:tabs>
          <w:tab w:leader="none" w:pos="316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apply for, consent to, or acquiesce in the appointment of a trustee, receiver, sequestrator or other custodian for any substantial part of the assets or</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other property of any such Person, or make a general assignment for the benefit of creditors;</w:t>
      </w:r>
    </w:p>
    <w:p>
      <w:pPr>
        <w:spacing w:after="0" w:line="179" w:lineRule="exact"/>
        <w:rPr>
          <w:sz w:val="20"/>
          <w:szCs w:val="20"/>
          <w:color w:val="auto"/>
        </w:rPr>
      </w:pPr>
    </w:p>
    <w:p>
      <w:pPr>
        <w:jc w:val="both"/>
        <w:ind w:firstLine="1940"/>
        <w:spacing w:after="0" w:line="252" w:lineRule="auto"/>
        <w:tabs>
          <w:tab w:leader="none" w:pos="2557"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in the absence of such application, consent or acquiesce to or permit or suffer to exist, the appointment of a trustee, receiver, sequestrator or other custodian for a substantial part of the property of any thereof, and such trustee, receiver, sequestrator or other custodian shall not be discharged within sixty (60) days; </w:t>
      </w:r>
      <w:r>
        <w:rPr>
          <w:rFonts w:ascii="Arial" w:cs="Arial" w:eastAsia="Arial" w:hAnsi="Arial"/>
          <w:sz w:val="19"/>
          <w:szCs w:val="19"/>
          <w:u w:val="single" w:color="auto"/>
          <w:color w:val="auto"/>
        </w:rPr>
        <w:t>provided</w:t>
      </w:r>
      <w:r>
        <w:rPr>
          <w:rFonts w:ascii="Arial" w:cs="Arial" w:eastAsia="Arial" w:hAnsi="Arial"/>
          <w:sz w:val="19"/>
          <w:szCs w:val="19"/>
          <w:color w:val="auto"/>
        </w:rPr>
        <w:t>, that each Loan Party hereby expressly authorizes each Secured Party to appear in any court conducting any relevant proceeding during such 60-day period to preserve, protect and defend such Secured Party’s rights under the Loan Documents;</w:t>
      </w:r>
    </w:p>
    <w:p>
      <w:pPr>
        <w:spacing w:after="0" w:line="148" w:lineRule="exact"/>
        <w:rPr>
          <w:rFonts w:ascii="Arial" w:cs="Arial" w:eastAsia="Arial" w:hAnsi="Arial"/>
          <w:sz w:val="19"/>
          <w:szCs w:val="19"/>
          <w:color w:val="auto"/>
        </w:rPr>
      </w:pPr>
    </w:p>
    <w:p>
      <w:pPr>
        <w:jc w:val="both"/>
        <w:ind w:firstLine="1940"/>
        <w:spacing w:after="0" w:line="247" w:lineRule="auto"/>
        <w:tabs>
          <w:tab w:leader="none" w:pos="2710"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permit or suffer to exist the commencement of any bankruptcy, reorganization, debt arrangement or other case or proceeding or action under the Bankruptcy Code or any other bankruptcy or insolvency law or any dissolution, winding up or liquidation proceeding in respect thereof, and, if any such case or proceeding is not commenced by such Person, such case or proceeding shall be consented to or acquiesced to by such Person or shall result in the entry of an order for relief or shall remain undismissed for sixty (60) days; </w:t>
      </w:r>
      <w:r>
        <w:rPr>
          <w:rFonts w:ascii="Arial" w:cs="Arial" w:eastAsia="Arial" w:hAnsi="Arial"/>
          <w:sz w:val="19"/>
          <w:szCs w:val="19"/>
          <w:u w:val="single" w:color="auto"/>
          <w:color w:val="auto"/>
        </w:rPr>
        <w:t>provided</w:t>
      </w:r>
      <w:r>
        <w:rPr>
          <w:rFonts w:ascii="Arial" w:cs="Arial" w:eastAsia="Arial" w:hAnsi="Arial"/>
          <w:sz w:val="19"/>
          <w:szCs w:val="19"/>
          <w:color w:val="auto"/>
        </w:rPr>
        <w:t>, that each Loan Party hereby expressly authorizes each Secured Party to appear in any court conducting any such case or proceeding during such 60-day period to preserve, protect and defend such Secured Party’s rights under the Loan Documents; or</w:t>
      </w:r>
    </w:p>
    <w:p>
      <w:pPr>
        <w:spacing w:after="0" w:line="153" w:lineRule="exact"/>
        <w:rPr>
          <w:rFonts w:ascii="Arial" w:cs="Arial" w:eastAsia="Arial" w:hAnsi="Arial"/>
          <w:sz w:val="19"/>
          <w:szCs w:val="19"/>
          <w:color w:val="auto"/>
        </w:rPr>
      </w:pPr>
    </w:p>
    <w:p>
      <w:pPr>
        <w:ind w:left="2400" w:hanging="460"/>
        <w:spacing w:after="0"/>
        <w:tabs>
          <w:tab w:leader="none" w:pos="240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take any action authorizing, or in furtherance of, any of the foregoing.</w:t>
      </w:r>
    </w:p>
    <w:p>
      <w:pPr>
        <w:spacing w:after="0" w:line="179" w:lineRule="exact"/>
        <w:rPr>
          <w:rFonts w:ascii="Arial" w:cs="Arial" w:eastAsia="Arial" w:hAnsi="Arial"/>
          <w:sz w:val="22"/>
          <w:szCs w:val="22"/>
          <w:color w:val="auto"/>
        </w:rPr>
      </w:pPr>
    </w:p>
    <w:p>
      <w:pPr>
        <w:jc w:val="both"/>
        <w:ind w:left="-660" w:firstLine="1952"/>
        <w:spacing w:after="0" w:line="244" w:lineRule="auto"/>
        <w:tabs>
          <w:tab w:leader="none" w:pos="171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Impairment of Security, etc</w:t>
      </w:r>
      <w:r>
        <w:rPr>
          <w:rFonts w:ascii="Arial" w:cs="Arial" w:eastAsia="Arial" w:hAnsi="Arial"/>
          <w:sz w:val="19"/>
          <w:szCs w:val="19"/>
          <w:color w:val="auto"/>
        </w:rPr>
        <w:t>. Any Loan Document or any Lien with respect to more than $1,000,000 of the Collateral granted under any Loan Document shall, in whole or in part, terminate, cease to be effective or cease to be the legally valid, binding and enforceable obligation of any Loan Party party thereto (other than as the result of the action or inaction of the Administrative Agent), or any Loan Party shall, directly or indirectly, contest, deny or limit in any manner such effectiveness, validity, binding nature or enforceability; or, except as expressly permitted under any Loan Document, any Lien with respect to more than $1,000,000 of the Collateral securing any Obligation shall, in whole or in part, cease to be a valid and perfected Lien (other than as the result of the action or inaction of the Administrative Agent, the Collateral Agent or the Lenders), or shall become subordinated to any Lien not securing any Obligation, or any Loan Party or any Affiliate of any Loan Party shall assert that any Lien securing any Obligation shall, in whole or in part, ceases to be a valid or perfected Lien.</w:t>
      </w:r>
    </w:p>
    <w:p>
      <w:pPr>
        <w:spacing w:after="0" w:line="160" w:lineRule="exact"/>
        <w:rPr>
          <w:rFonts w:ascii="Arial" w:cs="Arial" w:eastAsia="Arial" w:hAnsi="Arial"/>
          <w:sz w:val="19"/>
          <w:szCs w:val="19"/>
          <w:color w:val="auto"/>
        </w:rPr>
      </w:pPr>
    </w:p>
    <w:p>
      <w:pPr>
        <w:ind w:left="1820" w:hanging="528"/>
        <w:spacing w:after="0"/>
        <w:tabs>
          <w:tab w:leader="none" w:pos="182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 occurrence of a Change of Control.</w:t>
      </w:r>
    </w:p>
    <w:p>
      <w:pPr>
        <w:spacing w:after="0" w:line="179" w:lineRule="exact"/>
        <w:rPr>
          <w:rFonts w:ascii="Arial" w:cs="Arial" w:eastAsia="Arial" w:hAnsi="Arial"/>
          <w:sz w:val="22"/>
          <w:szCs w:val="22"/>
          <w:color w:val="auto"/>
        </w:rPr>
      </w:pPr>
    </w:p>
    <w:p>
      <w:pPr>
        <w:jc w:val="both"/>
        <w:ind w:left="-660" w:firstLine="1952"/>
        <w:spacing w:after="0" w:line="222" w:lineRule="auto"/>
        <w:tabs>
          <w:tab w:leader="none" w:pos="1876"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Restraint of Operations; Loss of Assets</w:t>
      </w:r>
      <w:r>
        <w:rPr>
          <w:rFonts w:ascii="Arial" w:cs="Arial" w:eastAsia="Arial" w:hAnsi="Arial"/>
          <w:sz w:val="21"/>
          <w:szCs w:val="21"/>
          <w:color w:val="auto"/>
        </w:rPr>
        <w:t>. If any Loan Party or any Subsidiary of a Loan Party is enjoined, restrained or in any way prevented by court order or other Governmental Authority from continuing to conduct all or any material part of its business affairs, or if any material portion of any Loan Party’s or any Loan Party’s Subsidiary’s assets is attached, seized, subjected to a writ or distress warrant, or is levied upon, or comes into the possession of any third Person and the same is not discharged before the earlier of forty-five (45) days after the date it first arises or five (5) days prior to the date on which such property or asset is subject to forfeiture by such Loan Party or the applicable Subsidiary; in each case, which would reasonably be expected to result in a Material Adverse Effect.</w:t>
      </w:r>
    </w:p>
    <w:p>
      <w:pPr>
        <w:spacing w:after="0" w:line="164" w:lineRule="exact"/>
        <w:rPr>
          <w:rFonts w:ascii="Arial" w:cs="Arial" w:eastAsia="Arial" w:hAnsi="Arial"/>
          <w:sz w:val="21"/>
          <w:szCs w:val="21"/>
          <w:color w:val="auto"/>
        </w:rPr>
      </w:pPr>
    </w:p>
    <w:p>
      <w:pPr>
        <w:jc w:val="both"/>
        <w:ind w:left="-660" w:firstLine="1952"/>
        <w:spacing w:after="0" w:line="268" w:lineRule="auto"/>
        <w:tabs>
          <w:tab w:leader="none" w:pos="1779"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Invalidity of Subordination Provisions</w:t>
      </w:r>
      <w:r>
        <w:rPr>
          <w:rFonts w:ascii="Arial" w:cs="Arial" w:eastAsia="Arial" w:hAnsi="Arial"/>
          <w:sz w:val="19"/>
          <w:szCs w:val="19"/>
          <w:color w:val="auto"/>
        </w:rPr>
        <w:t>. The subordination provisions of any agreement or instrument governing any Indebtedness required to be subordinated to the Obligations pursuant to the terms hereof shall for any reason be revoked or invalidated, or otherwise cease to be in full force and effect, or any Loan Party shall contest in</w:t>
      </w:r>
    </w:p>
    <w:p>
      <w:pPr>
        <w:sectPr>
          <w:pgSz w:w="11900" w:h="16838" w:orient="portrait"/>
          <w:cols w:equalWidth="0" w:num="1">
            <w:col w:w="10580"/>
          </w:cols>
          <w:pgMar w:left="980" w:top="1440" w:right="339" w:bottom="1440" w:gutter="0" w:footer="0" w:header="0"/>
        </w:sectPr>
      </w:pPr>
    </w:p>
    <w:bookmarkStart w:id="175" w:name="page176"/>
    <w:bookmarkEnd w:id="175"/>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any manner the validity or enforceability thereof or deny that it has any further liability or obligation thereunder, or the Obligations, for any reason shall not have the priority contemplated by this Loan Agreement or such subordination provisions.</w:t>
      </w:r>
    </w:p>
    <w:p>
      <w:pPr>
        <w:spacing w:after="0" w:line="1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Remedies Upon Event of Default</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3" w:lineRule="auto"/>
        <w:tabs>
          <w:tab w:leader="none" w:pos="2523"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If any Event of Default under </w:t>
      </w:r>
      <w:r>
        <w:rPr>
          <w:rFonts w:ascii="Arial" w:cs="Arial" w:eastAsia="Arial" w:hAnsi="Arial"/>
          <w:sz w:val="19"/>
          <w:szCs w:val="19"/>
          <w:u w:val="single" w:color="auto"/>
          <w:color w:val="auto"/>
        </w:rPr>
        <w:t>Section 10.01(k)</w:t>
      </w:r>
      <w:r>
        <w:rPr>
          <w:rFonts w:ascii="Arial" w:cs="Arial" w:eastAsia="Arial" w:hAnsi="Arial"/>
          <w:sz w:val="19"/>
          <w:szCs w:val="19"/>
          <w:color w:val="auto"/>
        </w:rPr>
        <w:t xml:space="preserve"> shall occur for any reason, whether voluntary or involuntary, all of the outstanding principal amount of the Loans and other Obligations shall automatically be due and payable together with the Prepayment Premium (payable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4.02(a)(vii)</w:t>
      </w:r>
      <w:r>
        <w:rPr>
          <w:rFonts w:ascii="Arial" w:cs="Arial" w:eastAsia="Arial" w:hAnsi="Arial"/>
          <w:sz w:val="19"/>
          <w:szCs w:val="19"/>
          <w:color w:val="auto"/>
        </w:rPr>
        <w:t xml:space="preserve">) applicable to the date such Event of Default occurs, and any Commitments shall be terminated, in each case, without further notice, demand or presentment. The parties hereto acknowledge and agree that the Prepayment Premium referred to in this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(i) is additional consideration for providing the Loans, (ii) constitutes reasonable liquidated damages to compensate the Lenders for (and is a proportionate quantification of) the actual loss of the anticipated stream of interest payments upon an acceleration of the Loans (such damages being otherwise impossible to ascertain or even estimate for various reasons, including, without limitation, because such damages would depend on, among other things, (x) when the Loans might otherwise be repaid and (y) future changes in interest rates which are not readily ascertainable on the date hereof or the Closing Date), and (iii) is not a penalty to punish the Borrower for its early prepayment of the Loans or for the occurrence of any Event of Default or acceleration.</w:t>
      </w:r>
    </w:p>
    <w:p>
      <w:pPr>
        <w:spacing w:after="0" w:line="158" w:lineRule="exact"/>
        <w:rPr>
          <w:rFonts w:ascii="Arial" w:cs="Arial" w:eastAsia="Arial" w:hAnsi="Arial"/>
          <w:sz w:val="19"/>
          <w:szCs w:val="19"/>
          <w:color w:val="auto"/>
        </w:rPr>
      </w:pPr>
    </w:p>
    <w:p>
      <w:pPr>
        <w:jc w:val="both"/>
        <w:ind w:firstLine="1952"/>
        <w:spacing w:after="0" w:line="238" w:lineRule="auto"/>
        <w:tabs>
          <w:tab w:leader="none" w:pos="2447"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If any Event of Default (other than any Event of Default under </w:t>
      </w:r>
      <w:r>
        <w:rPr>
          <w:rFonts w:ascii="Arial" w:cs="Arial" w:eastAsia="Arial" w:hAnsi="Arial"/>
          <w:sz w:val="19"/>
          <w:szCs w:val="19"/>
          <w:u w:val="single" w:color="auto"/>
          <w:color w:val="auto"/>
        </w:rPr>
        <w:t>Section 10.01(k)</w:t>
      </w:r>
      <w:r>
        <w:rPr>
          <w:rFonts w:ascii="Arial" w:cs="Arial" w:eastAsia="Arial" w:hAnsi="Arial"/>
          <w:sz w:val="19"/>
          <w:szCs w:val="19"/>
          <w:color w:val="auto"/>
        </w:rPr>
        <w:t xml:space="preserve">) shall occur for any reason, whether voluntary or involuntary, and be continuing, the Administrative Agent may with the consent of, and shall upon the direction of, the Required Lenders, by notice to the Borrower take any or all of the following actions: (y) declare all or any portion of the outstanding principal amount of the Loans and other Obligations to be due and payable together with the Prepayment Premium (payable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4.02(a)(vii)</w:t>
      </w:r>
      <w:r>
        <w:rPr>
          <w:rFonts w:ascii="Arial" w:cs="Arial" w:eastAsia="Arial" w:hAnsi="Arial"/>
          <w:sz w:val="19"/>
          <w:szCs w:val="19"/>
          <w:color w:val="auto"/>
        </w:rPr>
        <w:t xml:space="preserve">) applicable to the date such Event of Default occurs, and any commitments shall be terminated, whereupon the full unpaid amount of such Loans, Prepayment Premium and other Obligations that shall be so declared due and payable shall be and become immediately due and payable, in each case, without further notice, demand or presentment and (z) exercise on behalf of itself and the Lenders all rights and remedies available to it and the Lenders under the Loan Documents or applicable Laws. The parties hereto acknowledge and agree that the Prepayment Premium referred to in this </w:t>
      </w:r>
      <w:r>
        <w:rPr>
          <w:rFonts w:ascii="Arial" w:cs="Arial" w:eastAsia="Arial" w:hAnsi="Arial"/>
          <w:sz w:val="19"/>
          <w:szCs w:val="19"/>
          <w:u w:val="single" w:color="auto"/>
          <w:color w:val="auto"/>
        </w:rPr>
        <w:t>Section 10.02(b)</w:t>
      </w:r>
      <w:r>
        <w:rPr>
          <w:rFonts w:ascii="Arial" w:cs="Arial" w:eastAsia="Arial" w:hAnsi="Arial"/>
          <w:sz w:val="19"/>
          <w:szCs w:val="19"/>
          <w:color w:val="auto"/>
        </w:rPr>
        <w:t xml:space="preserve"> (i) is additional consideration for providing the Loans, (ii) constitutes reasonable liquidated damages to compensate the Lenders for (and is a proportionate quantification of) the actual loss of the anticipated stream of interest payments upon an acceleration of the Loans (such damages being otherwise impossible to ascertain or even estimate for various reasons, including, without limitation, because such damages would depend on, among other things,</w:t>
      </w:r>
    </w:p>
    <w:p>
      <w:pPr>
        <w:spacing w:after="0" w:line="9" w:lineRule="exact"/>
        <w:rPr>
          <w:rFonts w:ascii="Arial" w:cs="Arial" w:eastAsia="Arial" w:hAnsi="Arial"/>
          <w:sz w:val="19"/>
          <w:szCs w:val="19"/>
          <w:color w:val="auto"/>
        </w:rPr>
      </w:pPr>
    </w:p>
    <w:p>
      <w:pPr>
        <w:jc w:val="both"/>
        <w:ind w:firstLine="8"/>
        <w:spacing w:after="0" w:line="217" w:lineRule="auto"/>
        <w:tabs>
          <w:tab w:leader="none" w:pos="317" w:val="left"/>
        </w:tabs>
        <w:numPr>
          <w:ilvl w:val="0"/>
          <w:numId w:val="210"/>
        </w:numPr>
        <w:rPr>
          <w:rFonts w:ascii="Arial" w:cs="Arial" w:eastAsia="Arial" w:hAnsi="Arial"/>
          <w:sz w:val="22"/>
          <w:szCs w:val="22"/>
          <w:color w:val="auto"/>
        </w:rPr>
      </w:pPr>
      <w:r>
        <w:rPr>
          <w:rFonts w:ascii="Arial" w:cs="Arial" w:eastAsia="Arial" w:hAnsi="Arial"/>
          <w:sz w:val="22"/>
          <w:szCs w:val="22"/>
          <w:color w:val="auto"/>
        </w:rPr>
        <w:t>when the Loans might otherwise be repaid and (y) future changes in interest rates which are not readily ascertainable on the date hereof or the Closing Date), and (iii) is not a penalty to punish the Borrower for its early prepayment of the Loans or for the occurrence of any Event of Default or acceleration.</w:t>
      </w:r>
    </w:p>
    <w:p>
      <w:pPr>
        <w:spacing w:after="0" w:line="159" w:lineRule="exact"/>
        <w:rPr>
          <w:rFonts w:ascii="Arial" w:cs="Arial" w:eastAsia="Arial" w:hAnsi="Arial"/>
          <w:sz w:val="22"/>
          <w:szCs w:val="22"/>
          <w:color w:val="auto"/>
        </w:rPr>
      </w:pPr>
    </w:p>
    <w:p>
      <w:pPr>
        <w:jc w:val="both"/>
        <w:ind w:firstLine="1952"/>
        <w:spacing w:after="0" w:line="214" w:lineRule="auto"/>
        <w:tabs>
          <w:tab w:leader="none" w:pos="248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 Event of Default, Agents may enter, and is hereby given a right, then exercisable in Agents’ discretion, to occupy, any of Borrower’s premises or other premises without legal process and without incurring liability to Borrower therefor, and Agents may thereupon, or at any time thereafter, in their discretion without notice or demand, take the Collateral and remove the same to such place (on any premises of the Borrower or any other premises) as Agents may deem advisable and Agents may require Borrower to make the Collateral available to Agents at a convenient place.</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7"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With or without having the Collateral at the time or place of sale, Agents may sell the Collateral, or any part thereof, at public or private sale, at any time or place, in one or more sales, at such price or prices, and upon such terms, either for cash, credit or future delivery, as Agents may elect. Except as to that part of the Collateral which is perishable or threatens to decline speedily in value or is of a type customarily sold on a recognized market, Agents shall give Borrower reasonable notification of such sale or sales, it being agreed that in all events written notice mailed to Borrower at least ten (10) days prior to such sale or sales is reasonable notification. At any public sale Agents or any Lender may bid (and credit bid) for and become the purchaser, and Agents, any Lender or any other purchaser at any such sale thereafter shall hold the Collateral sold absolutely free from any claim or right of whatsoever kind, including any equity of redemption and all such claims, rights and equities are hereby expressly waived and released by the Borrower. In connection with the exercise of the foregoing remedies (and only exercisable upon the occurrence and during the continuance of an Event of Default), including the sale of Inventory, subject to Permitted Liens, the terms of licenses to any Loan Party with respect to IP Rights licensed to such Loan Party, and to the extent such Loan Party is able to grant a license or sublicense in the underlying license, Agents are granted a perpetual (during the continuance of an Event of Default) irrevocable (during the continuance of an Event of Default), non-exclusive license (without any payment of royalties to any Loan Party) and permission to use all of such Loan Party’s (x) IP Rights which are used or useful in connection with Inventory for the purpose of marketing, advertising for sale and selling or otherwise disposing of such Inventory, subject, in the case of trademarks and service marks, to the maintenance of standards of quality reasonably comparable to those maintained by such Loan Party as of the date Agents commenced their exercise of such remedies and (y) equipment for the purpose of completing the manufacture of unfinished goods. The cash proceeds realized from the sale of any Collateral shall be applied to the Obligations in the order set forth in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hereof. Noncash proceeds will only be applied to the Obligations as they are converted into cash. If any deficiency shall arise, Borrower shall remain liable to Agents and Lenders therefor.</w:t>
      </w:r>
    </w:p>
    <w:p>
      <w:pPr>
        <w:spacing w:after="0" w:line="166" w:lineRule="exact"/>
        <w:rPr>
          <w:sz w:val="20"/>
          <w:szCs w:val="20"/>
          <w:color w:val="auto"/>
        </w:rPr>
      </w:pPr>
    </w:p>
    <w:p>
      <w:pPr>
        <w:jc w:val="both"/>
        <w:ind w:firstLine="1952"/>
        <w:spacing w:after="0"/>
        <w:tabs>
          <w:tab w:leader="none" w:pos="242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To the extent that applicable law imposes duties on any Agent to exercise remedies in a commercially reasonable manner, Borrower acknowledges and agrees that it is not commercially unreasonable for any Agent (i) to fail to incur expenses reasonably deemed significant by such Agent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the Borrower,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such Agent against risks of loss, collection or disposition of Collateral or to provide to Agents a guaranteed return from the collection or disposition of Collateral, or (xii) to the extent deemed appropriate by such Agent, to obtain the services of other brokers, investment bankers, consultants and other professionals to assist such Agent in the collection or disposition of any of the Collateral. Borrower acknowledges that the purpose of this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is to provide non-exhaustive indications</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of what actions or omissions by the Agents would not be commercially unreasonable in the Agents’ exercise of remedies against the Collateral and that other actions or omissions by any Agent shall not be deemed commercially unreasonable solely on account of not being indicated in this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Without limitation upon the foregoing, nothing contained in this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shall be construed to grant any rights to Borrower or to impose any duties on any Agent that would not have been granted or imposed by this Loan Agreement or by Applicable Law in the absence of this </w:t>
      </w:r>
      <w:r>
        <w:rPr>
          <w:rFonts w:ascii="Arial" w:cs="Arial" w:eastAsia="Arial" w:hAnsi="Arial"/>
          <w:sz w:val="19"/>
          <w:szCs w:val="19"/>
          <w:u w:val="single" w:color="auto"/>
          <w:color w:val="auto"/>
        </w:rPr>
        <w:t>Section 10.02(d)</w:t>
      </w:r>
      <w:r>
        <w:rPr>
          <w:rFonts w:ascii="Arial" w:cs="Arial" w:eastAsia="Arial" w:hAnsi="Arial"/>
          <w:sz w:val="19"/>
          <w:szCs w:val="19"/>
          <w:color w:val="auto"/>
        </w:rPr>
        <w:t>.</w:t>
      </w:r>
    </w:p>
    <w:p>
      <w:pPr>
        <w:spacing w:after="0" w:line="149" w:lineRule="exact"/>
        <w:rPr>
          <w:sz w:val="20"/>
          <w:szCs w:val="20"/>
          <w:color w:val="auto"/>
        </w:rPr>
      </w:pPr>
    </w:p>
    <w:p>
      <w:pPr>
        <w:jc w:val="both"/>
        <w:ind w:firstLine="1952"/>
        <w:spacing w:after="0" w:line="242" w:lineRule="auto"/>
        <w:tabs>
          <w:tab w:leader="none" w:pos="2424" w:val="left"/>
        </w:tabs>
        <w:numPr>
          <w:ilvl w:val="0"/>
          <w:numId w:val="212"/>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subject to the prior rights, if any, of holders of Permitted Liens, the Agents shall have the right to take possession of the Collateral and the Collateral in whatever physical form contained, including: labels, stationery, documents, instruments and advertising materials. If any Agent exercises this right to take possession of the Collateral, Borrower shall, upon demand, assemble it in the best manner reasonably possible and make it available to such Agent at a place reasonably convenient to such Agent. In addition, with respect to all Collateral, the Agents and Lenders shall be entitled to all of the rights and remedies set forth herein and further provided by the Uniform Commercial Code or other applicable law. Upon the occurrence and during the continuance of an Event of Default, Borrower shall at the request of any Agent, and each Agent may, at its option, instruct all suppliers, carriers, forwarders, warehousers or others receiving or holding cash, checks, Inventory, documents or instruments in which such Agent holds a security interest to deliver same to such Agent and/or subject to such Agent’s orders and if they shall come into a Borrower’s possession, they, and each of them, shall be held by the Borrower in trust as Agents’ trustee, and Borrower will immediately deliver them to such Agent in their original form together with any necessary endorsement.</w:t>
      </w:r>
    </w:p>
    <w:p>
      <w:pPr>
        <w:spacing w:after="0" w:line="164" w:lineRule="exact"/>
        <w:rPr>
          <w:rFonts w:ascii="Arial" w:cs="Arial" w:eastAsia="Arial" w:hAnsi="Arial"/>
          <w:sz w:val="19"/>
          <w:szCs w:val="19"/>
          <w:color w:val="auto"/>
        </w:rPr>
      </w:pPr>
    </w:p>
    <w:p>
      <w:pPr>
        <w:jc w:val="both"/>
        <w:ind w:firstLine="1952"/>
        <w:spacing w:after="0" w:line="223" w:lineRule="auto"/>
        <w:tabs>
          <w:tab w:leader="none" w:pos="247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All Prepayment Premium referred to in </w:t>
      </w:r>
      <w:r>
        <w:rPr>
          <w:rFonts w:ascii="Arial" w:cs="Arial" w:eastAsia="Arial" w:hAnsi="Arial"/>
          <w:sz w:val="22"/>
          <w:szCs w:val="22"/>
          <w:u w:val="single" w:color="auto"/>
          <w:color w:val="auto"/>
        </w:rPr>
        <w:t>Sections 10.02(a)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shall be payable upon an acceleration of any Obligations, whether before, during or after the commencement of any proceeding under the Bankruptcy Code involving the Borrower or any other Loan Party.</w:t>
      </w:r>
    </w:p>
    <w:p>
      <w:pPr>
        <w:spacing w:after="0" w:line="158" w:lineRule="exact"/>
        <w:rPr>
          <w:rFonts w:ascii="Arial" w:cs="Arial" w:eastAsia="Arial" w:hAnsi="Arial"/>
          <w:sz w:val="22"/>
          <w:szCs w:val="22"/>
          <w:color w:val="auto"/>
        </w:rPr>
      </w:pPr>
    </w:p>
    <w:p>
      <w:pPr>
        <w:ind w:firstLine="1952"/>
        <w:spacing w:after="0" w:line="232" w:lineRule="auto"/>
        <w:tabs>
          <w:tab w:leader="none" w:pos="24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Lenders and the Agents shall have all other rights and remedies available at law or in equity or pursuant to this Loan Agreement or any other Loan Document.</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XI</w:t>
      </w:r>
    </w:p>
    <w:p>
      <w:pPr>
        <w:spacing w:after="0" w:line="179" w:lineRule="exact"/>
        <w:rPr>
          <w:sz w:val="20"/>
          <w:szCs w:val="20"/>
          <w:color w:val="auto"/>
        </w:rPr>
      </w:pPr>
    </w:p>
    <w:p>
      <w:pPr>
        <w:ind w:left="4940"/>
        <w:spacing w:after="0"/>
        <w:rPr>
          <w:sz w:val="20"/>
          <w:szCs w:val="20"/>
          <w:color w:val="auto"/>
        </w:rPr>
      </w:pPr>
      <w:r>
        <w:rPr>
          <w:rFonts w:ascii="Arial" w:cs="Arial" w:eastAsia="Arial" w:hAnsi="Arial"/>
          <w:sz w:val="22"/>
          <w:szCs w:val="22"/>
          <w:b w:val="1"/>
          <w:bCs w:val="1"/>
          <w:u w:val="single" w:color="auto"/>
          <w:color w:val="auto"/>
        </w:rPr>
        <w:t>THE AGENTS</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u w:val="single" w:color="auto"/>
          <w:color w:val="auto"/>
        </w:rPr>
        <w:t>Appointments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24" w:lineRule="auto"/>
        <w:tabs>
          <w:tab w:leader="none" w:pos="2613" w:val="left"/>
        </w:tabs>
        <w:numPr>
          <w:ilvl w:val="0"/>
          <w:numId w:val="213"/>
        </w:numPr>
        <w:rPr>
          <w:rFonts w:ascii="Arial" w:cs="Arial" w:eastAsia="Arial" w:hAnsi="Arial"/>
          <w:sz w:val="21"/>
          <w:szCs w:val="21"/>
          <w:color w:val="auto"/>
        </w:rPr>
      </w:pPr>
      <w:r>
        <w:rPr>
          <w:rFonts w:ascii="Arial" w:cs="Arial" w:eastAsia="Arial" w:hAnsi="Arial"/>
          <w:sz w:val="21"/>
          <w:szCs w:val="21"/>
          <w:color w:val="auto"/>
        </w:rPr>
        <w:t>Each Lender and each other Secured Party hereby appoints HAYFIN SERVICES LLP as its Administrative Agent under and for purposes of each Loan Document, and hereby authorizes the Administrative Agent to act on behalf of such Secured Party under each Loan Document and, in the absence of other written instructions from the Lenders pursuant to the terms of the Loan Documents received from time to time by the Administrative Agent, to exercise such powers hereunder and thereunder as are specifically delegated to or required of the Administrative Agent by the terms hereof and thereof, together with such powers as may be incidental thereto.</w:t>
      </w:r>
    </w:p>
    <w:p>
      <w:pPr>
        <w:spacing w:after="0" w:line="159" w:lineRule="exact"/>
        <w:rPr>
          <w:rFonts w:ascii="Arial" w:cs="Arial" w:eastAsia="Arial" w:hAnsi="Arial"/>
          <w:sz w:val="21"/>
          <w:szCs w:val="21"/>
          <w:color w:val="auto"/>
        </w:rPr>
      </w:pPr>
    </w:p>
    <w:p>
      <w:pPr>
        <w:jc w:val="both"/>
        <w:ind w:firstLine="1952"/>
        <w:spacing w:after="0" w:line="218" w:lineRule="auto"/>
        <w:tabs>
          <w:tab w:leader="none" w:pos="248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Each Lender and each other Secured Party hereby appoints HAYFIN SERVICES LLP, a Delaware limited liability company, as its Collateral Agent under and for purposes of each Loan Document, and hereby authorizes the Collateral Agent to act on behalf of such Secured Party under each Loan Document and, in the absence of other written instructions</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from the Lenders pursuant to the terms of the Loan Documents received from time to time by the Collateral Agent, to exercise such powers hereunder and thereunder as are specifically delegated to or required of the Collateral Agent by the terms hereof and thereof, together with such powers as may be incidental thereto.</w:t>
      </w:r>
    </w:p>
    <w:p>
      <w:pPr>
        <w:spacing w:after="0" w:line="159" w:lineRule="exact"/>
        <w:rPr>
          <w:sz w:val="20"/>
          <w:szCs w:val="20"/>
          <w:color w:val="auto"/>
        </w:rPr>
      </w:pPr>
    </w:p>
    <w:p>
      <w:pPr>
        <w:jc w:val="both"/>
        <w:ind w:firstLine="1952"/>
        <w:spacing w:after="0" w:line="242" w:lineRule="auto"/>
        <w:tabs>
          <w:tab w:leader="none" w:pos="242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Each Lender and each other Secured Party hereby directs the Agents to execute and deliver the Loan Documents (including any intercreditor agreements and subordination agreements contemplated hereby and, in each case, any amendments, supplements and other modifications thereto not prohibited by the terms of the Loan Agreement) on behalf of such Secured Party, in all cases in such form as the applicable Agent shall determine. Upon execution and delivery of the Loan Documents by an Agent, each Secured Party shall be bound by the terms and conditions thereof. Without limiting the foregoing, the Administrative Agent is hereby expressly authorized to execute and deliver any and all such documents (including releases) with respect to the Collateral and the rights of the Secured Parties with respect thereto, as contemplated by and in accordance with the terms and conditions of this Loan Agreement and the other Loan Documents. For purposes of determining compliance with, and satisfaction of, the conditions specified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w:t>
      </w:r>
      <w:r>
        <w:rPr>
          <w:rFonts w:ascii="Arial" w:cs="Arial" w:eastAsia="Arial" w:hAnsi="Arial"/>
          <w:sz w:val="19"/>
          <w:szCs w:val="19"/>
          <w:color w:val="auto"/>
        </w:rPr>
        <w:t>, each Lender that has signed this Loan Agreement (or an Assignment and Acceptance, as applicable) shall be deemed to have consented to, approved, accepted and be satisfied with, each document or other matter required thereunder to be consented to, approved by or otherwise satisfactory or acceptable to such Lender unless the Administrative Agent shall have received written notice from such Lender prior to the Closing Date specifying such Lender’s objection thereto.</w:t>
      </w:r>
    </w:p>
    <w:p>
      <w:pPr>
        <w:spacing w:after="0" w:line="160" w:lineRule="exact"/>
        <w:rPr>
          <w:rFonts w:ascii="Arial" w:cs="Arial" w:eastAsia="Arial" w:hAnsi="Arial"/>
          <w:sz w:val="19"/>
          <w:szCs w:val="19"/>
          <w:color w:val="auto"/>
        </w:rPr>
      </w:pPr>
    </w:p>
    <w:p>
      <w:pPr>
        <w:jc w:val="both"/>
        <w:ind w:firstLine="1952"/>
        <w:spacing w:after="0"/>
        <w:tabs>
          <w:tab w:leader="none" w:pos="2437" w:val="left"/>
        </w:tabs>
        <w:numPr>
          <w:ilvl w:val="0"/>
          <w:numId w:val="214"/>
        </w:numPr>
        <w:rPr>
          <w:rFonts w:ascii="Arial" w:cs="Arial" w:eastAsia="Arial" w:hAnsi="Arial"/>
          <w:sz w:val="19"/>
          <w:szCs w:val="19"/>
          <w:color w:val="auto"/>
        </w:rPr>
      </w:pPr>
      <w:r>
        <w:rPr>
          <w:rFonts w:ascii="Arial" w:cs="Arial" w:eastAsia="Arial" w:hAnsi="Arial"/>
          <w:sz w:val="19"/>
          <w:szCs w:val="19"/>
          <w:color w:val="auto"/>
        </w:rPr>
        <w:t>Each Lender and each other Secured Party hereby irrevocably designates and appoints each Agent as the agent of such Lender. Notwithstanding any provision to the contrary elsewhere in this Loan Agreement, (i) each Agent is acting solely on behalf of the Secured Parties and with duties that are entirely administrative in nature, notwithstanding the use of the terms “Administrative Agent,” “Collateral Agent,” “Agent,” and “agent,” which terms are used for title purposes only, and (ii) no Agent shall have any duties or responsibilities, except those expressly set forth herein, or any fiduciary relationship with any Lender or other Secured Party, and no implied covenants, functions, responsibilities, duties, obligations or liabilities shall be read into this Loan Agreement or any other Loan Document or otherwise exist against any Agent. Anything contained in any of the Loan Documents to the contrary notwithstanding, each Loan Party, the Administrative Agent, the Collateral Agent and each Secured Party hereby agree that (i) no Secured Party (other than the Agents) shall have any right individually to realize upon any of the Collateral or to enforce the Guaranty and Security Agreement or any other Security Documents, it being understood and agreed that all powers, rights and remedies hereunder or thereunder may be exercised solely by the Agents, on behalf of the Secured Parties, in accordance with the terms hereof or thereof (including, without limitation, acting at the direction of the Required Lenders), as applicable, and (ii) in the event of a foreclosure by any of the Agents on any of the Collateral pursuant to a public or private sale or other disposition, any Agent or any Lender may be the purchaser or licensor of any or all of such Collateral at any such sale or other disposition and each Agent as agent for and representative of the Secured Parties (but not any Lender or Lenders in its or their respective individual capacities), shall be entitled, for the purpose of bidding and making settlement or payment of the purchase price for all or any portion of the Collateral sold at any such public sale, to use and apply any of the Obligations (including Obligations owed to any other Secured Party) as a credit on account of the purchase price for any Collateral payable by such Agent at such sale or other disposition, the Lenders hereby agreeing that they may not exercise any right to credit bid at any public or private foreclosure sale or other disposition of Collateral unless instructed to do so by the applicable Agent in writing.</w:t>
      </w:r>
    </w:p>
    <w:p>
      <w:pPr>
        <w:spacing w:after="0" w:line="38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Delegation of Duties</w:t>
      </w:r>
    </w:p>
    <w:p>
      <w:pPr>
        <w:sectPr>
          <w:pgSz w:w="11900" w:h="16838" w:orient="portrait"/>
          <w:cols w:equalWidth="0" w:num="1">
            <w:col w:w="11240"/>
          </w:cols>
          <w:pgMar w:left="320" w:top="1440" w:right="339" w:bottom="1440" w:gutter="0" w:footer="0" w:header="0"/>
        </w:sectPr>
      </w:pPr>
    </w:p>
    <w:bookmarkStart w:id="179" w:name="page180"/>
    <w:bookmarkEnd w:id="179"/>
    <w:p>
      <w:pPr>
        <w:jc w:val="both"/>
        <w:ind w:firstLine="656"/>
        <w:spacing w:after="0" w:line="268" w:lineRule="auto"/>
        <w:tabs>
          <w:tab w:leader="none" w:pos="78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Each Agent may execute any of its duties under this Loan Agreement and the other Loan Documents by or through agents or attorneys in fact and shall be entitled to advice of counsel concerning all matters pertaining to such duties. No Agent shall be responsible for the negligence or misconduct of any agents or attorneys in fact selected by it with reasonable care.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Exculpatory Provisions</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u w:val="single" w:color="auto"/>
          <w:color w:val="0000FF"/>
        </w:rPr>
        <w:t>Section 11.03 Exculpatory Provisions</w:t>
      </w:r>
      <w:r>
        <w:rPr>
          <w:rFonts w:ascii="Arial" w:cs="Arial" w:eastAsia="Arial" w:hAnsi="Arial"/>
          <w:sz w:val="19"/>
          <w:szCs w:val="19"/>
          <w:color w:val="000000"/>
        </w:rPr>
        <w:t>. Neither an Agent nor any of their respective officers, directors, employees,</w:t>
      </w:r>
      <w:r>
        <w:rPr>
          <w:rFonts w:ascii="Arial" w:cs="Arial" w:eastAsia="Arial" w:hAnsi="Arial"/>
          <w:sz w:val="19"/>
          <w:szCs w:val="19"/>
          <w:color w:val="0000FF"/>
        </w:rPr>
        <w:t xml:space="preserve"> </w:t>
      </w:r>
      <w:r>
        <w:rPr>
          <w:rFonts w:ascii="Arial" w:cs="Arial" w:eastAsia="Arial" w:hAnsi="Arial"/>
          <w:sz w:val="19"/>
          <w:szCs w:val="19"/>
          <w:color w:val="000000"/>
        </w:rPr>
        <w:t>agents, attorneys in fact or Affiliates shall be (a) liable for any action lawfully taken or omitted to be taken by it or such Person under or in connection with this Loan Agreement or any other Loan Document (including that any Agent shall not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Bankruptcy Code or any other bankruptcy or insolvency laws or that may effect a forfeiture, modification or termination of property of a Defaulting Lender in violation of the Bankruptcy Code or any other bankruptcy or insolvency law), except to the extent that any of the foregoing are found by a final, non-appealable order of a court of competent jurisdiction to have resulted from its or such Person’s (as applicable) own gross negligence or willful misconduct, or (b) responsible in any manner to any of the Lenders or any other Secured Party for any recitals, statements, representations or warranties made or deemed made by or on behalf of any Loan Party or any officer thereof in this Loan Agreement or any other Loan Document or in any certificate, report, statement or other document referred to or provided for in, or received by the Agents under or in connection with, this Loan Agreement or any other Loan Document or for the value, validity, effectiveness, genuineness, enforceability or sufficiency of this Loan Agreement or any other Loan Document or for any failure of any Loan Party or other Person to perform its obligations hereunder or thereunder. The Agents shall not be under any obligation to any Lender to ascertain or to inquire as to the observance or performance of any of the agreements contained in, or conditions of, this Loan Agreement or any other Loan Document, or to inspect the properties, books or records of any Loan Party.</w:t>
      </w:r>
    </w:p>
    <w:p>
      <w:pPr>
        <w:spacing w:after="0" w:line="3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u w:val="single" w:color="auto"/>
          <w:color w:val="auto"/>
        </w:rPr>
        <w:t>Reliance by Agents</w:t>
      </w:r>
    </w:p>
    <w:p>
      <w:pPr>
        <w:spacing w:after="0" w:line="179" w:lineRule="exact"/>
        <w:rPr>
          <w:sz w:val="20"/>
          <w:szCs w:val="20"/>
          <w:color w:val="auto"/>
        </w:rPr>
      </w:pPr>
    </w:p>
    <w:p>
      <w:pPr>
        <w:jc w:val="both"/>
        <w:ind w:firstLine="656"/>
        <w:spacing w:after="0" w:line="242" w:lineRule="auto"/>
        <w:tabs>
          <w:tab w:leader="none" w:pos="781" w:val="left"/>
        </w:tabs>
        <w:numPr>
          <w:ilvl w:val="0"/>
          <w:numId w:val="216"/>
        </w:numPr>
        <w:rPr>
          <w:rFonts w:ascii="Arial" w:cs="Arial" w:eastAsia="Arial" w:hAnsi="Arial"/>
          <w:sz w:val="19"/>
          <w:szCs w:val="19"/>
          <w:color w:val="auto"/>
        </w:rPr>
      </w:pPr>
      <w:r>
        <w:rPr>
          <w:rFonts w:ascii="Arial" w:cs="Arial" w:eastAsia="Arial" w:hAnsi="Arial"/>
          <w:sz w:val="19"/>
          <w:szCs w:val="19"/>
          <w:color w:val="auto"/>
        </w:rPr>
        <w:t>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Agents. Each Agent shall be fully justified in failing or refusing to take any action under this Loan Agreement or any other Loan Document unless it shall first receive such advice or concurrence of Required Lenders (or, if so specified by this Loan Agreement, all or other requisite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Loan Agreement and the other Loan Documents in accordance with a request of the Required Lenders (or, if so specified by this Loan Agreement, all Lenders), and such request and any action taken or failure to act pursuant thereto shall be binding upon all the Lenders and all future holders of the Loans and all other Secured Parties.</w:t>
      </w:r>
    </w:p>
    <w:p>
      <w:pPr>
        <w:spacing w:after="0" w:line="37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u w:val="single" w:color="auto"/>
          <w:color w:val="auto"/>
        </w:rPr>
        <w:t>Notice of Default</w:t>
      </w:r>
    </w:p>
    <w:p>
      <w:pPr>
        <w:sectPr>
          <w:pgSz w:w="11900" w:h="16838" w:orient="portrait"/>
          <w:cols w:equalWidth="0" w:num="1">
            <w:col w:w="11240"/>
          </w:cols>
          <w:pgMar w:left="320" w:top="1401" w:right="339" w:bottom="1440" w:gutter="0" w:footer="0" w:header="0"/>
        </w:sectPr>
      </w:pPr>
    </w:p>
    <w:bookmarkStart w:id="180" w:name="page181"/>
    <w:bookmarkEnd w:id="180"/>
    <w:p>
      <w:pPr>
        <w:jc w:val="both"/>
        <w:ind w:left="-656" w:firstLine="656"/>
        <w:spacing w:after="0" w:line="243" w:lineRule="auto"/>
        <w:tabs>
          <w:tab w:leader="none" w:pos="12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No Administrative Agent shall be deemed to have knowledge or notice of the occurrence of any Default or Event of Default, unless the Administrative Agent has received written notice from a Lender or the Borrower referring to this Loan Agreement, describing such Default or Event of Default, and stating that such notice is a “notice of default”. The Collateral Agent shall not be deemed to have knowledge or notice of the occurrence of any Default or Event of Default unless the Collateral Agent has received notice from a Lender or the Borrower referring to this Loan Agreement, describing such Default or Event of Default, and stating that such notice is a “notice of default”. In the event that an Agent receives such a notice, such Agent shall give notice thereof to the other Agent and the Lenders. Each Agent shall take such action with respect to such Default or Event of Default as shall be reasonably directed by the Required Lenders (or, if so specified by this Loan Agreement, all Lenders or any other instructing group of Lenders specified by this Loan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the applicable Agent shall have received such directions, such Agent may (but shall not be obligated to) take such action, or refrain from taking such action, with respect to such Default or Event of Default as such Agent shall deem advisable in the best interests of the Secured Parties.</w:t>
      </w:r>
    </w:p>
    <w:p>
      <w:pPr>
        <w:spacing w:after="0" w:line="159"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u w:val="single" w:color="auto"/>
          <w:color w:val="auto"/>
        </w:rPr>
        <w:t>Non-Reliance on Agents and Other Lenders</w:t>
      </w:r>
    </w:p>
    <w:p>
      <w:pPr>
        <w:spacing w:after="0" w:line="179" w:lineRule="exact"/>
        <w:rPr>
          <w:sz w:val="20"/>
          <w:szCs w:val="20"/>
          <w:color w:val="auto"/>
        </w:rPr>
      </w:pPr>
    </w:p>
    <w:p>
      <w:pPr>
        <w:jc w:val="both"/>
        <w:ind w:left="-656" w:firstLine="656"/>
        <w:spacing w:after="0" w:line="241" w:lineRule="auto"/>
        <w:tabs>
          <w:tab w:leader="none" w:pos="11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Each Lender expressly acknowledges that neither the Agents nor any of their respective officers, directors, employees, agents, attorneys in fact or Affiliates have made any representations or warranties to such Lender and that no act by any Agent hereafter taken, including any review of the affairs of a Loan Party or any Affiliate of a Loan Party, shall be deemed to constitute any representation or warranty by any Agent to any Secured Party. Each Lender represents to the Agents that such Lender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Loan Parties and their Affiliates and made its own decision to enter into this Loan Agreement and make its Loans hereunder. Each Lender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Loan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any Agent hereunder, the Agents shall not have any duty or responsibility to provide any Lender or any other Secured Party with any credit or other information concerning the business, operations, property, condition (financial or otherwise), prospects or creditworthiness of any Loan Party or any Affiliate of a Loan Party that may come into the possession of such Agent or any of its officers, directors, employees, agents, attorneys in fact or Affiliates.</w:t>
      </w:r>
    </w:p>
    <w:p>
      <w:pPr>
        <w:spacing w:after="0" w:line="158"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11.07</w:t>
      </w:r>
      <w:r>
        <w:rPr>
          <w:sz w:val="20"/>
          <w:szCs w:val="20"/>
          <w:color w:val="auto"/>
        </w:rPr>
        <w:tab/>
      </w:r>
      <w:r>
        <w:rPr>
          <w:rFonts w:ascii="Arial" w:cs="Arial" w:eastAsia="Arial" w:hAnsi="Arial"/>
          <w:sz w:val="19"/>
          <w:szCs w:val="19"/>
          <w:u w:val="single" w:color="auto"/>
          <w:color w:val="auto"/>
        </w:rPr>
        <w:t>Indemnification by Lenders</w:t>
      </w:r>
    </w:p>
    <w:p>
      <w:pPr>
        <w:spacing w:after="0" w:line="179" w:lineRule="exact"/>
        <w:rPr>
          <w:sz w:val="20"/>
          <w:szCs w:val="20"/>
          <w:color w:val="auto"/>
        </w:rPr>
      </w:pPr>
    </w:p>
    <w:p>
      <w:pPr>
        <w:jc w:val="both"/>
        <w:ind w:left="-656" w:firstLine="656"/>
        <w:spacing w:after="0" w:line="246" w:lineRule="auto"/>
        <w:tabs>
          <w:tab w:leader="none" w:pos="10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The Lenders agree to indemnify each Agent in its capacity as such (to the extent not reimbursed by the Loan Parties and without limiting the obligation of the Loan Parties to do so), ratably according to their respective Total Credit Exposure in effect on the date on which indemnification is sought under this </w:t>
      </w:r>
      <w:r>
        <w:rPr>
          <w:rFonts w:ascii="Arial" w:cs="Arial" w:eastAsia="Arial" w:hAnsi="Arial"/>
          <w:sz w:val="19"/>
          <w:szCs w:val="19"/>
          <w:u w:val="single" w:color="auto"/>
          <w:color w:val="auto"/>
        </w:rPr>
        <w:t>Section 11.07</w:t>
      </w:r>
      <w:r>
        <w:rPr>
          <w:rFonts w:ascii="Arial" w:cs="Arial" w:eastAsia="Arial" w:hAnsi="Arial"/>
          <w:sz w:val="19"/>
          <w:szCs w:val="19"/>
          <w:color w:val="auto"/>
        </w:rPr>
        <w:t xml:space="preserve"> (or, if indemnification is sought after the date upon which the Commitments shall have terminated and the Loans shall have been paid in full, ratably in accordance with such Total Credit Exposure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Loan Agreement, any of the other</w:t>
      </w:r>
    </w:p>
    <w:p>
      <w:pPr>
        <w:sectPr>
          <w:pgSz w:w="11900" w:h="16838" w:orient="portrait"/>
          <w:cols w:equalWidth="0" w:num="1">
            <w:col w:w="10584"/>
          </w:cols>
          <w:pgMar w:left="976" w:top="1401" w:right="339" w:bottom="1440" w:gutter="0" w:footer="0" w:header="0"/>
        </w:sectPr>
      </w:pPr>
    </w:p>
    <w:bookmarkStart w:id="181" w:name="page182"/>
    <w:bookmarkEnd w:id="181"/>
    <w:p>
      <w:pPr>
        <w:jc w:val="both"/>
        <w:spacing w:after="0" w:line="224" w:lineRule="auto"/>
        <w:rPr>
          <w:sz w:val="20"/>
          <w:szCs w:val="20"/>
          <w:color w:val="auto"/>
        </w:rPr>
      </w:pPr>
      <w:r>
        <w:rPr>
          <w:rFonts w:ascii="Arial" w:cs="Arial" w:eastAsia="Arial" w:hAnsi="Arial"/>
          <w:sz w:val="21"/>
          <w:szCs w:val="21"/>
          <w:color w:val="auto"/>
        </w:rPr>
        <w:t xml:space="preserve">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Lender shall be liable for the payment of any portion of such liabilities, obligations, losses, damages, penalties, actions, judgments, suits, costs, expenses or disbursements that are found by a final, non-appealable order of a court of competent jurisdiction to have resulted from such Agent’s gross negligence or willful misconduct. The agreements in this </w:t>
      </w:r>
      <w:r>
        <w:rPr>
          <w:rFonts w:ascii="Arial" w:cs="Arial" w:eastAsia="Arial" w:hAnsi="Arial"/>
          <w:sz w:val="21"/>
          <w:szCs w:val="21"/>
          <w:u w:val="single" w:color="auto"/>
          <w:color w:val="auto"/>
        </w:rPr>
        <w:t>Section 11.07</w:t>
      </w:r>
      <w:r>
        <w:rPr>
          <w:rFonts w:ascii="Arial" w:cs="Arial" w:eastAsia="Arial" w:hAnsi="Arial"/>
          <w:sz w:val="21"/>
          <w:szCs w:val="21"/>
          <w:color w:val="auto"/>
        </w:rPr>
        <w:t xml:space="preserve"> shall survive the payment of the Loans and all other amounts payable hereunder.</w:t>
      </w:r>
    </w:p>
    <w:p>
      <w:pPr>
        <w:spacing w:after="0" w:line="16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11.08</w:t>
      </w:r>
      <w:r>
        <w:rPr>
          <w:sz w:val="20"/>
          <w:szCs w:val="20"/>
          <w:color w:val="auto"/>
        </w:rPr>
        <w:tab/>
      </w:r>
      <w:r>
        <w:rPr>
          <w:rFonts w:ascii="Arial" w:cs="Arial" w:eastAsia="Arial" w:hAnsi="Arial"/>
          <w:sz w:val="19"/>
          <w:szCs w:val="19"/>
          <w:u w:val="single" w:color="auto"/>
          <w:color w:val="auto"/>
        </w:rPr>
        <w:t>Agents in their Individual Capacities</w:t>
      </w:r>
    </w:p>
    <w:p>
      <w:pPr>
        <w:spacing w:after="0" w:line="179" w:lineRule="exact"/>
        <w:rPr>
          <w:sz w:val="20"/>
          <w:szCs w:val="20"/>
          <w:color w:val="auto"/>
        </w:rPr>
      </w:pPr>
    </w:p>
    <w:p>
      <w:pPr>
        <w:jc w:val="both"/>
        <w:ind w:firstLine="656"/>
        <w:spacing w:after="0" w:line="252" w:lineRule="auto"/>
        <w:tabs>
          <w:tab w:leader="none" w:pos="758" w:val="left"/>
        </w:tabs>
        <w:numPr>
          <w:ilvl w:val="0"/>
          <w:numId w:val="220"/>
        </w:numPr>
        <w:rPr>
          <w:rFonts w:ascii="Arial" w:cs="Arial" w:eastAsia="Arial" w:hAnsi="Arial"/>
          <w:sz w:val="19"/>
          <w:szCs w:val="19"/>
          <w:color w:val="auto"/>
        </w:rPr>
      </w:pPr>
      <w:r>
        <w:rPr>
          <w:rFonts w:ascii="Arial" w:cs="Arial" w:eastAsia="Arial" w:hAnsi="Arial"/>
          <w:sz w:val="19"/>
          <w:szCs w:val="19"/>
          <w:color w:val="auto"/>
        </w:rPr>
        <w:t>Each Agent and its Affiliates may make loans to, accept deposits from and generally engage in any kind of business with any Loan Party, and any Affiliate of any Loan Party, all as though such Agent were not an Agent. With respect to its Loans made or renewed by it, each Agent shall have the same rights and powers under this Loan Agreement and the other Loan Documents as any Lender and may exercise the same as though it were not an Agent, and the terms “Lender”, “Lenders”, “Secured Party” and “Secured Parties” shall include each Agent in its individual capacity.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Successor Agents</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u w:val="single" w:color="auto"/>
          <w:color w:val="0000FF"/>
        </w:rPr>
        <w:t>Section 11.09 Successor Agents</w:t>
      </w:r>
      <w:r>
        <w:rPr>
          <w:rFonts w:ascii="Arial" w:cs="Arial" w:eastAsia="Arial" w:hAnsi="Arial"/>
          <w:sz w:val="19"/>
          <w:szCs w:val="19"/>
          <w:color w:val="000000"/>
        </w:rPr>
        <w:t>. Either Agent may resign as Agent upon thirty (30) days’ written notice to the Lenders,</w:t>
      </w:r>
      <w:r>
        <w:rPr>
          <w:rFonts w:ascii="Arial" w:cs="Arial" w:eastAsia="Arial" w:hAnsi="Arial"/>
          <w:sz w:val="19"/>
          <w:szCs w:val="19"/>
          <w:color w:val="0000FF"/>
        </w:rPr>
        <w:t xml:space="preserve"> </w:t>
      </w:r>
      <w:r>
        <w:rPr>
          <w:rFonts w:ascii="Arial" w:cs="Arial" w:eastAsia="Arial" w:hAnsi="Arial"/>
          <w:sz w:val="19"/>
          <w:szCs w:val="19"/>
          <w:color w:val="000000"/>
        </w:rPr>
        <w:t xml:space="preserve">the other Agent and the Borrower;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either Agent may resign as an Agent immediately upon written notice to the Lenders, the other Agent and the Borrower if a Default or Event of Default has occurred and is continuing. If either Agent shall resign as such Agent in its applicable capacity under this Loan Agreement and the other Loan Documents, then Required Lenders shall appoint from among the Lenders a successor agent, which successor agent shall (unless an Event of Default shall have occurred and be continuing) be subject to approval by the Borrower (which approval shall not be unreasonably withheld, delayed, conditioned or burdened), whereupon such successor agent shall succeed to the rights, powers and duties of such Agent in its applicable capacity, and the term “Administrative Agent” or “Collateral Agent”, as applicable, shall thereafter mean such successor agent effective upon such appointment and approval, and the former Agent’s rights, powers and duties as Agent in its applicable capacity shall be terminated, without any other or further act or deed on the part of such former Agent or any of the other parties to this Loan Agreement or any holders of the Loans. If no successor agent has accepted appointment as such Agent in its applicable capacity by the date upon which such retiring Agent’s notice of resignation is effective in accordance with the first sentence of this </w:t>
      </w:r>
      <w:r>
        <w:rPr>
          <w:rFonts w:ascii="Arial" w:cs="Arial" w:eastAsia="Arial" w:hAnsi="Arial"/>
          <w:sz w:val="19"/>
          <w:szCs w:val="19"/>
          <w:u w:val="single" w:color="auto"/>
          <w:color w:val="000000"/>
        </w:rPr>
        <w:t>Section 11.09</w:t>
      </w:r>
      <w:r>
        <w:rPr>
          <w:rFonts w:ascii="Arial" w:cs="Arial" w:eastAsia="Arial" w:hAnsi="Arial"/>
          <w:sz w:val="19"/>
          <w:szCs w:val="19"/>
          <w:color w:val="000000"/>
        </w:rPr>
        <w:t xml:space="preserve">, such retiring Agent’s resignation shall nevertheless become effective on the applicable date and the Lenders shall assume and perform all of the duties of such Agent hereunder until such time, if any, as Required Lenders appoint a successor agent as provided for above. After any retiring Agent’s resignation as the Administrative Agent or the Collateral Agent, as applicable, the provisions of this </w:t>
      </w:r>
      <w:r>
        <w:rPr>
          <w:rFonts w:ascii="Arial" w:cs="Arial" w:eastAsia="Arial" w:hAnsi="Arial"/>
          <w:sz w:val="19"/>
          <w:szCs w:val="19"/>
          <w:u w:val="single" w:color="auto"/>
          <w:color w:val="000000"/>
        </w:rPr>
        <w:t>Article XI</w:t>
      </w:r>
      <w:r>
        <w:rPr>
          <w:rFonts w:ascii="Arial" w:cs="Arial" w:eastAsia="Arial" w:hAnsi="Arial"/>
          <w:sz w:val="19"/>
          <w:szCs w:val="19"/>
          <w:color w:val="000000"/>
        </w:rPr>
        <w:t xml:space="preserve"> shall inure to its benefit as to any actions taken or omitted to be taken by it while it was an Agent under this Loan Agreement and the other Loan Documents.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Agents Generally</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u w:val="single" w:color="auto"/>
          <w:color w:val="0000FF"/>
        </w:rPr>
        <w:t>Section 11.10 Agents Generally</w:t>
      </w:r>
      <w:r>
        <w:rPr>
          <w:rFonts w:ascii="Arial" w:cs="Arial" w:eastAsia="Arial" w:hAnsi="Arial"/>
          <w:sz w:val="22"/>
          <w:szCs w:val="22"/>
          <w:color w:val="000000"/>
        </w:rPr>
        <w:t>. Except as expressly set forth in this Loan Agreement or any other Loan Document, no</w:t>
      </w:r>
      <w:r>
        <w:rPr>
          <w:rFonts w:ascii="Arial" w:cs="Arial" w:eastAsia="Arial" w:hAnsi="Arial"/>
          <w:sz w:val="22"/>
          <w:szCs w:val="22"/>
          <w:color w:val="0000FF"/>
        </w:rPr>
        <w:t xml:space="preserve"> </w:t>
      </w:r>
      <w:r>
        <w:rPr>
          <w:rFonts w:ascii="Arial" w:cs="Arial" w:eastAsia="Arial" w:hAnsi="Arial"/>
          <w:sz w:val="22"/>
          <w:szCs w:val="22"/>
          <w:color w:val="000000"/>
        </w:rPr>
        <w:t>Agent shall have any duties or responsibilities hereunder in its capacity as such.</w:t>
      </w:r>
    </w:p>
    <w:p>
      <w:pPr>
        <w:spacing w:after="0" w:line="15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u w:val="single" w:color="auto"/>
          <w:color w:val="auto"/>
        </w:rPr>
        <w:t>Restrictions on Actions by Secured Parties; Sharing of Payments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ectPr>
          <w:pgSz w:w="11900" w:h="16838" w:orient="portrait"/>
          <w:cols w:equalWidth="0" w:num="1">
            <w:col w:w="11240"/>
          </w:cols>
          <w:pgMar w:left="320" w:top="1401" w:right="339" w:bottom="1440" w:gutter="0" w:footer="0" w:header="0"/>
        </w:sectPr>
      </w:pPr>
    </w:p>
    <w:bookmarkStart w:id="182" w:name="page183"/>
    <w:bookmarkEnd w:id="182"/>
    <w:p>
      <w:pPr>
        <w:spacing w:after="0" w:line="177" w:lineRule="exact"/>
        <w:rPr>
          <w:sz w:val="20"/>
          <w:szCs w:val="20"/>
          <w:color w:val="auto"/>
        </w:rPr>
      </w:pPr>
    </w:p>
    <w:p>
      <w:pPr>
        <w:jc w:val="both"/>
        <w:ind w:firstLine="1952"/>
        <w:spacing w:after="0" w:line="220" w:lineRule="auto"/>
        <w:tabs>
          <w:tab w:leader="none" w:pos="2505"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Each of the Lenders agrees that it shall not, without the express written consent of the Collateral Agent, and that it shall, to the extent it is lawfully entitled to do so, upon the written request of the Collateral Agent, set off against the Obligations, any amounts owing by such Lender to any Loan Party or any of their respective Subsidiaries or any deposit accounts of any Loan Party or any of their respective Subsidiaries now or hereafter maintained with such Lender. Each of the Lenders further agrees that it shall not, unless specifically requested to do so in writing by the Collateral Agent or the Collateral Agent otherwise consents in writing, take or cause to be taken any action, including the commencement of any legal or equitable proceedings, judicial or otherwise, to enforce any Loan Document or any right or remedy against any Loan Party or to foreclose any Lien on, or otherwise enforce any security interest in, any of the Collateral. The provisions of this </w:t>
      </w:r>
      <w:r>
        <w:rPr>
          <w:rFonts w:ascii="Arial" w:cs="Arial" w:eastAsia="Arial" w:hAnsi="Arial"/>
          <w:sz w:val="21"/>
          <w:szCs w:val="21"/>
          <w:u w:val="single" w:color="auto"/>
          <w:color w:val="auto"/>
        </w:rPr>
        <w:t>Section 11.11(a)</w:t>
      </w:r>
      <w:r>
        <w:rPr>
          <w:rFonts w:ascii="Arial" w:cs="Arial" w:eastAsia="Arial" w:hAnsi="Arial"/>
          <w:sz w:val="21"/>
          <w:szCs w:val="21"/>
          <w:color w:val="auto"/>
        </w:rPr>
        <w:t xml:space="preserve"> are for the sole benefit of the Secured Parties and shall not afford any right to, or constitute a defense available to, any Loan Party or other Person.</w:t>
      </w:r>
    </w:p>
    <w:p>
      <w:pPr>
        <w:spacing w:after="0" w:line="162" w:lineRule="exact"/>
        <w:rPr>
          <w:rFonts w:ascii="Arial" w:cs="Arial" w:eastAsia="Arial" w:hAnsi="Arial"/>
          <w:sz w:val="21"/>
          <w:szCs w:val="21"/>
          <w:color w:val="auto"/>
        </w:rPr>
      </w:pPr>
    </w:p>
    <w:p>
      <w:pPr>
        <w:jc w:val="both"/>
        <w:ind w:firstLine="1952"/>
        <w:spacing w:after="0" w:line="242" w:lineRule="auto"/>
        <w:tabs>
          <w:tab w:leader="none" w:pos="245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12.09(b)</w:t>
      </w:r>
      <w:r>
        <w:rPr>
          <w:rFonts w:ascii="Arial" w:cs="Arial" w:eastAsia="Arial" w:hAnsi="Arial"/>
          <w:sz w:val="19"/>
          <w:szCs w:val="19"/>
          <w:color w:val="auto"/>
        </w:rPr>
        <w:t xml:space="preserve">, if at any time or times any Lender receives (i) by payment, foreclosure, setoff, or otherwise, any proceeds of Collateral or any payments with respect to the Obligations, except for any such proceeds or payments received by such Lender from the Administrative Agent pursuant to the terms of this Loan Agreement, or (ii) payments from the Administrative Agent in excess of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all such distributions by the Agents, then in each such case such Lender promptly shall (A) turn the same over to the Collateral Agent, in kind, and with such endorsements as may be required to negotiate the same to the Collateral Agent, or in immediately available funds, as applicable, for the account of all of the applicable Lenders and for application to the Obligations in accordance with the applicable provisions of this Loan Agreement, or (B) purchase, without recourse or warranty, an undivided interest and participation in the Obligations owed to the other applicable Lenders so that such excess payment received shall be applied ratably as among the applicable Lenders in accordance with their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6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u w:val="single" w:color="auto"/>
          <w:color w:val="auto"/>
        </w:rPr>
        <w:t>Agency for Perfection</w:t>
      </w:r>
    </w:p>
    <w:p>
      <w:pPr>
        <w:spacing w:after="0" w:line="179" w:lineRule="exact"/>
        <w:rPr>
          <w:sz w:val="20"/>
          <w:szCs w:val="20"/>
          <w:color w:val="auto"/>
        </w:rPr>
      </w:pPr>
    </w:p>
    <w:p>
      <w:pPr>
        <w:jc w:val="both"/>
        <w:ind w:firstLine="656"/>
        <w:spacing w:after="0" w:line="221" w:lineRule="auto"/>
        <w:tabs>
          <w:tab w:leader="none" w:pos="776"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Collateral Agent hereby appoints each other Secured Party as its agent and bailee and as sub-agent for the other Secured Parties (and each Secured Party hereby accepts such appointment) for the purpose of perfecting all Liens with respect to the Collateral, including with respect to assets which, in accordance with Article 8 or Article 9, as applicable, of the Uniform Commercial Code of any applicable state can be perfected by possession or control. Should any Secured Party obtain possession or control of any such Collateral, such Secured Party shall notify the Collateral Agent thereof and, promptly upon the Collateral Agent’s request therefor, shall deliver possession or control of such Collateral to the Collateral Agent and take such other actions as agent or sub-agent in accordance with the Collateral Agent’s instructions to the extent, and only to the extent, so authorized or directed by the Collateral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Credit Bid</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u w:val="single" w:color="auto"/>
          <w:color w:val="0000FF"/>
        </w:rPr>
        <w:t>Section 11.13 Credit Bid</w:t>
      </w:r>
      <w:r>
        <w:rPr>
          <w:rFonts w:ascii="Arial" w:cs="Arial" w:eastAsia="Arial" w:hAnsi="Arial"/>
          <w:sz w:val="22"/>
          <w:szCs w:val="22"/>
          <w:color w:val="000000"/>
        </w:rPr>
        <w:t>. Each Loan Party, each Lender and the Collateral Agent each hereby irrevocably authorizes the</w:t>
      </w:r>
      <w:r>
        <w:rPr>
          <w:rFonts w:ascii="Arial" w:cs="Arial" w:eastAsia="Arial" w:hAnsi="Arial"/>
          <w:sz w:val="22"/>
          <w:szCs w:val="22"/>
          <w:color w:val="0000FF"/>
        </w:rPr>
        <w:t xml:space="preserve"> </w:t>
      </w:r>
      <w:r>
        <w:rPr>
          <w:rFonts w:ascii="Arial" w:cs="Arial" w:eastAsia="Arial" w:hAnsi="Arial"/>
          <w:sz w:val="22"/>
          <w:szCs w:val="22"/>
          <w:color w:val="000000"/>
        </w:rPr>
        <w:t>Administrative Agent or its designee, based upon the written instruction of Required Lenders, to bid and purchase for an amount approved by Required Lenders (either directly or through one or more acquisition vehicles) all or any portion of the Collateral at any sale thereof conducted (i) by any Agent under the provisions of the UCC, including pursuant to Sections 9-610 or 9-620 of the UCC, (ii) under the provisions of the</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Bankruptcy Code, including Sections 363, 365 and 1129 of the Bankruptcy Code, or (iii) by any Agent (whether by judicial action or otherwise, including a foreclosure sale) in accordance with Applicable Law (any such sale described clauses (i), (ii) or (iii), a “Collateral Sale</w:t>
      </w:r>
      <w:r>
        <w:rPr>
          <w:rFonts w:ascii="Arial" w:cs="Arial" w:eastAsia="Arial" w:hAnsi="Arial"/>
          <w:sz w:val="19"/>
          <w:szCs w:val="19"/>
          <w:u w:val="single" w:color="auto"/>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and in connection with any Collateral Sale, the Administrative Agent or its designee may (with the consent of Required Lenders) accept non-cash consideration, including debt and equity securities issued by such acquisition vehicle under the direction or control of any Agent and the Administrative Agent may (with the consent of Required Lenders) offset all or any portion of the Obligations against the purchase price for such Collateral.</w:t>
      </w:r>
    </w:p>
    <w:p>
      <w:pPr>
        <w:spacing w:after="0" w:line="15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11.14</w:t>
      </w:r>
      <w:r>
        <w:rPr>
          <w:sz w:val="20"/>
          <w:szCs w:val="20"/>
          <w:color w:val="auto"/>
        </w:rPr>
        <w:tab/>
      </w:r>
      <w:r>
        <w:rPr>
          <w:rFonts w:ascii="Arial" w:cs="Arial" w:eastAsia="Arial" w:hAnsi="Arial"/>
          <w:sz w:val="19"/>
          <w:szCs w:val="19"/>
          <w:u w:val="single" w:color="auto"/>
          <w:color w:val="auto"/>
        </w:rPr>
        <w:t>One Lender Sufficient</w:t>
      </w:r>
    </w:p>
    <w:p>
      <w:pPr>
        <w:spacing w:after="0" w:line="179" w:lineRule="exact"/>
        <w:rPr>
          <w:sz w:val="20"/>
          <w:szCs w:val="20"/>
          <w:color w:val="auto"/>
        </w:rPr>
      </w:pPr>
    </w:p>
    <w:p>
      <w:pPr>
        <w:jc w:val="both"/>
        <w:ind w:firstLine="656"/>
        <w:spacing w:after="0" w:line="218" w:lineRule="auto"/>
        <w:tabs>
          <w:tab w:leader="none" w:pos="77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This Loan Agreement shall be and shall remain in full force and effect, and all agency provisions shall be and shall remain effective, notwithstanding the fact that from time to time (including on the date hereof and on the Closing Date) there may be only one Lender hereunder and the fact that such Lender may be the same Person that is serving as the Administrative Agent or the Collateral Agent hereunder.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18" w:lineRule="auto"/>
        <w:tabs>
          <w:tab w:leader="none" w:pos="242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Neither this Loan Agreement nor any other Loan Document other than the Fee Letter (which may be amended, restated, amended and restated, supplemented or modified in accordance with the terms therein), nor any terms hereof or thereof, may be amended, restated, amended and restated, supplemented or modified except in accordance with the provisions of this </w:t>
      </w:r>
      <w:r>
        <w:rPr>
          <w:rFonts w:ascii="Arial" w:cs="Arial" w:eastAsia="Arial" w:hAnsi="Arial"/>
          <w:sz w:val="22"/>
          <w:szCs w:val="22"/>
          <w:u w:val="single" w:color="auto"/>
          <w:color w:val="auto"/>
        </w:rPr>
        <w:t>Section 12.01</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952"/>
        <w:spacing w:after="0" w:line="247" w:lineRule="auto"/>
        <w:tabs>
          <w:tab w:leader="none" w:pos="251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The Required Lenders may (with a copy to the Administrative Agent), or with the consent of the Required Lenders, the Administrative Agent may, from time to time, (a) enter into with the relevant Loan Party or Loan Parties written amendments, restatements, amendments and restatements, supplements or other modifications hereto and to the other Loan Documents (other than the Fee Letter) and (b) waive, on such terms and conditions as the Required Lenders or the Administrative Agent, as the case may be, may specify in such instrument, any of the requirements of this Loan Agreement or the other Loan Documents (other than the Fee Letter) or any Default or Event of Default and its consequences;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 such amendment, supplement, other modification or waiver shall:</w:t>
      </w:r>
    </w:p>
    <w:p>
      <w:pPr>
        <w:spacing w:after="0" w:line="153" w:lineRule="exact"/>
        <w:rPr>
          <w:rFonts w:ascii="Arial" w:cs="Arial" w:eastAsia="Arial" w:hAnsi="Arial"/>
          <w:sz w:val="19"/>
          <w:szCs w:val="19"/>
          <w:color w:val="auto"/>
        </w:rPr>
      </w:pPr>
    </w:p>
    <w:p>
      <w:pPr>
        <w:ind w:left="3020" w:hanging="420"/>
        <w:spacing w:after="0"/>
        <w:tabs>
          <w:tab w:leader="none" w:pos="3020" w:val="left"/>
        </w:tabs>
        <w:numPr>
          <w:ilvl w:val="1"/>
          <w:numId w:val="224"/>
        </w:numPr>
        <w:rPr>
          <w:rFonts w:ascii="Arial" w:cs="Arial" w:eastAsia="Arial" w:hAnsi="Arial"/>
          <w:sz w:val="21"/>
          <w:szCs w:val="21"/>
          <w:color w:val="auto"/>
        </w:rPr>
      </w:pPr>
      <w:r>
        <w:rPr>
          <w:rFonts w:ascii="Arial" w:cs="Arial" w:eastAsia="Arial" w:hAnsi="Arial"/>
          <w:sz w:val="21"/>
          <w:szCs w:val="21"/>
          <w:color w:val="auto"/>
        </w:rPr>
        <w:t>without the prior written consent of each Lender directly and adversely affected thereby:</w:t>
      </w:r>
    </w:p>
    <w:p>
      <w:pPr>
        <w:spacing w:after="0" w:line="190" w:lineRule="exact"/>
        <w:rPr>
          <w:rFonts w:ascii="Arial" w:cs="Arial" w:eastAsia="Arial" w:hAnsi="Arial"/>
          <w:sz w:val="21"/>
          <w:szCs w:val="21"/>
          <w:color w:val="auto"/>
        </w:rPr>
      </w:pPr>
    </w:p>
    <w:p>
      <w:pPr>
        <w:jc w:val="both"/>
        <w:ind w:left="1300" w:firstLine="1948"/>
        <w:spacing w:after="0" w:line="218" w:lineRule="auto"/>
        <w:tabs>
          <w:tab w:leader="none" w:pos="3807" w:val="left"/>
        </w:tabs>
        <w:numPr>
          <w:ilvl w:val="2"/>
          <w:numId w:val="224"/>
        </w:numPr>
        <w:rPr>
          <w:rFonts w:ascii="Arial" w:cs="Arial" w:eastAsia="Arial" w:hAnsi="Arial"/>
          <w:sz w:val="22"/>
          <w:szCs w:val="22"/>
          <w:color w:val="auto"/>
        </w:rPr>
      </w:pPr>
      <w:r>
        <w:rPr>
          <w:rFonts w:ascii="Arial" w:cs="Arial" w:eastAsia="Arial" w:hAnsi="Arial"/>
          <w:sz w:val="22"/>
          <w:szCs w:val="22"/>
          <w:color w:val="auto"/>
        </w:rPr>
        <w:t xml:space="preserve">reduce or forgive any portion of any Loan, or extend the final expiration date of any Lender’s Commitment, or extend the Maturity Date of any Loan, or reduce the stated interest rate on any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only the consent of the Required Lenders shall be necessary to waive any obligation of the Borrower to pay interest at the “default rate” or amend </w:t>
      </w:r>
      <w:r>
        <w:rPr>
          <w:rFonts w:ascii="Arial" w:cs="Arial" w:eastAsia="Arial" w:hAnsi="Arial"/>
          <w:sz w:val="22"/>
          <w:szCs w:val="22"/>
          <w:u w:val="single" w:color="auto"/>
          <w:color w:val="auto"/>
        </w:rPr>
        <w:t>Section 2.05(d)</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1300" w:firstLine="1948"/>
        <w:spacing w:after="0" w:line="223" w:lineRule="auto"/>
        <w:tabs>
          <w:tab w:leader="none" w:pos="3867" w:val="left"/>
        </w:tabs>
        <w:numPr>
          <w:ilvl w:val="2"/>
          <w:numId w:val="224"/>
        </w:numPr>
        <w:rPr>
          <w:rFonts w:ascii="Arial" w:cs="Arial" w:eastAsia="Arial" w:hAnsi="Arial"/>
          <w:sz w:val="22"/>
          <w:szCs w:val="22"/>
          <w:color w:val="auto"/>
        </w:rPr>
      </w:pPr>
      <w:r>
        <w:rPr>
          <w:rFonts w:ascii="Arial" w:cs="Arial" w:eastAsia="Arial" w:hAnsi="Arial"/>
          <w:sz w:val="22"/>
          <w:szCs w:val="22"/>
          <w:color w:val="auto"/>
        </w:rPr>
        <w:t>reduce or forgive any portion, or extend the date for the payment, of any interest or fee payable hereunder (other than as a result of waiving the applicability of any post-default increase in interest rates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-356235</wp:posOffset>
            </wp:positionV>
            <wp:extent cx="425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7"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than as a result of a waiver or amendment of any mandatory prepayment of Loans or any waiver, amendment, supplement or modification of Section 4.02 (which, in each case, shall not constitute an extension, forgiveness or postponement of any date for payment of principal, interest or fees and may be made with the consent of the Required Lenders only)),</w:t>
      </w:r>
    </w:p>
    <w:p>
      <w:pPr>
        <w:spacing w:after="0" w:line="161" w:lineRule="exact"/>
        <w:rPr>
          <w:sz w:val="20"/>
          <w:szCs w:val="20"/>
          <w:color w:val="auto"/>
        </w:rPr>
      </w:pPr>
    </w:p>
    <w:p>
      <w:pPr>
        <w:ind w:left="3760" w:hanging="512"/>
        <w:spacing w:after="0"/>
        <w:tabs>
          <w:tab w:leader="none" w:pos="3760" w:val="left"/>
        </w:tabs>
        <w:numPr>
          <w:ilvl w:val="2"/>
          <w:numId w:val="225"/>
        </w:numPr>
        <w:rPr>
          <w:rFonts w:ascii="Arial" w:cs="Arial" w:eastAsia="Arial" w:hAnsi="Arial"/>
          <w:sz w:val="22"/>
          <w:szCs w:val="22"/>
          <w:color w:val="auto"/>
        </w:rPr>
      </w:pPr>
      <w:r>
        <w:rPr>
          <w:rFonts w:ascii="Arial" w:cs="Arial" w:eastAsia="Arial" w:hAnsi="Arial"/>
          <w:sz w:val="22"/>
          <w:szCs w:val="22"/>
          <w:color w:val="auto"/>
        </w:rPr>
        <w:t>[reserved], or</w:t>
      </w:r>
    </w:p>
    <w:p>
      <w:pPr>
        <w:spacing w:after="0" w:line="179" w:lineRule="exact"/>
        <w:rPr>
          <w:rFonts w:ascii="Arial" w:cs="Arial" w:eastAsia="Arial" w:hAnsi="Arial"/>
          <w:sz w:val="22"/>
          <w:szCs w:val="22"/>
          <w:color w:val="auto"/>
        </w:rPr>
      </w:pPr>
    </w:p>
    <w:p>
      <w:pPr>
        <w:ind w:left="1300" w:firstLine="1948"/>
        <w:spacing w:after="0" w:line="232" w:lineRule="auto"/>
        <w:tabs>
          <w:tab w:leader="none" w:pos="3817" w:val="left"/>
        </w:tabs>
        <w:numPr>
          <w:ilvl w:val="2"/>
          <w:numId w:val="225"/>
        </w:numPr>
        <w:rPr>
          <w:rFonts w:ascii="Arial" w:cs="Arial" w:eastAsia="Arial" w:hAnsi="Arial"/>
          <w:sz w:val="22"/>
          <w:szCs w:val="22"/>
          <w:color w:val="auto"/>
        </w:rPr>
      </w:pPr>
      <w:r>
        <w:rPr>
          <w:rFonts w:ascii="Arial" w:cs="Arial" w:eastAsia="Arial" w:hAnsi="Arial"/>
          <w:sz w:val="22"/>
          <w:szCs w:val="22"/>
          <w:color w:val="auto"/>
        </w:rPr>
        <w:t xml:space="preserve">amend, modify or waive any provision of this </w:t>
      </w:r>
      <w:r>
        <w:rPr>
          <w:rFonts w:ascii="Arial" w:cs="Arial" w:eastAsia="Arial" w:hAnsi="Arial"/>
          <w:sz w:val="22"/>
          <w:szCs w:val="22"/>
          <w:u w:val="single" w:color="auto"/>
          <w:color w:val="auto"/>
        </w:rPr>
        <w:t>Section 12.01</w:t>
      </w:r>
      <w:r>
        <w:rPr>
          <w:rFonts w:ascii="Arial" w:cs="Arial" w:eastAsia="Arial" w:hAnsi="Arial"/>
          <w:sz w:val="22"/>
          <w:szCs w:val="22"/>
          <w:color w:val="auto"/>
        </w:rPr>
        <w:t>, or amend or otherwise modify the term “Required Lenders”;</w:t>
      </w:r>
    </w:p>
    <w:p>
      <w:pPr>
        <w:spacing w:after="0" w:line="158" w:lineRule="exact"/>
        <w:rPr>
          <w:rFonts w:ascii="Arial" w:cs="Arial" w:eastAsia="Arial" w:hAnsi="Arial"/>
          <w:sz w:val="22"/>
          <w:szCs w:val="22"/>
          <w:color w:val="auto"/>
        </w:rPr>
      </w:pPr>
    </w:p>
    <w:p>
      <w:pPr>
        <w:jc w:val="both"/>
        <w:ind w:left="660" w:firstLine="1940"/>
        <w:spacing w:after="0" w:line="223" w:lineRule="auto"/>
        <w:tabs>
          <w:tab w:leader="none" w:pos="3087" w:val="left"/>
        </w:tabs>
        <w:numPr>
          <w:ilvl w:val="1"/>
          <w:numId w:val="226"/>
        </w:numPr>
        <w:rPr>
          <w:rFonts w:ascii="Arial" w:cs="Arial" w:eastAsia="Arial" w:hAnsi="Arial"/>
          <w:sz w:val="22"/>
          <w:szCs w:val="22"/>
          <w:color w:val="auto"/>
        </w:rPr>
      </w:pPr>
      <w:r>
        <w:rPr>
          <w:rFonts w:ascii="Arial" w:cs="Arial" w:eastAsia="Arial" w:hAnsi="Arial"/>
          <w:sz w:val="22"/>
          <w:szCs w:val="22"/>
          <w:color w:val="auto"/>
        </w:rPr>
        <w:t xml:space="preserve">consent to the assignment or transfer by any Loan Party of its rights and obligations under any Loan Document to which it is a party (except as permitted pursuant to </w:t>
      </w:r>
      <w:r>
        <w:rPr>
          <w:rFonts w:ascii="Arial" w:cs="Arial" w:eastAsia="Arial" w:hAnsi="Arial"/>
          <w:sz w:val="22"/>
          <w:szCs w:val="22"/>
          <w:u w:val="single" w:color="auto"/>
          <w:color w:val="auto"/>
        </w:rPr>
        <w:t>Section 9.03</w:t>
      </w:r>
      <w:r>
        <w:rPr>
          <w:rFonts w:ascii="Arial" w:cs="Arial" w:eastAsia="Arial" w:hAnsi="Arial"/>
          <w:sz w:val="22"/>
          <w:szCs w:val="22"/>
          <w:color w:val="auto"/>
        </w:rPr>
        <w:t>), without the prior written consent of each Lender;</w:t>
      </w:r>
    </w:p>
    <w:p>
      <w:pPr>
        <w:spacing w:after="0" w:line="158" w:lineRule="exact"/>
        <w:rPr>
          <w:rFonts w:ascii="Arial" w:cs="Arial" w:eastAsia="Arial" w:hAnsi="Arial"/>
          <w:sz w:val="22"/>
          <w:szCs w:val="22"/>
          <w:color w:val="auto"/>
        </w:rPr>
      </w:pPr>
    </w:p>
    <w:p>
      <w:pPr>
        <w:ind w:left="3200" w:hanging="600"/>
        <w:spacing w:after="0"/>
        <w:tabs>
          <w:tab w:leader="none" w:pos="320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increase the aggregate amount of any Commitment of any Lender without the prior written</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consent of such Lender;</w:t>
      </w:r>
    </w:p>
    <w:p>
      <w:pPr>
        <w:spacing w:after="0" w:line="161" w:lineRule="exact"/>
        <w:rPr>
          <w:rFonts w:ascii="Arial" w:cs="Arial" w:eastAsia="Arial" w:hAnsi="Arial"/>
          <w:sz w:val="19"/>
          <w:szCs w:val="19"/>
          <w:color w:val="auto"/>
        </w:rPr>
      </w:pPr>
    </w:p>
    <w:p>
      <w:pPr>
        <w:ind w:left="660" w:firstLine="1940"/>
        <w:spacing w:after="0" w:line="232" w:lineRule="auto"/>
        <w:tabs>
          <w:tab w:leader="none" w:pos="324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 xml:space="preserve">amend, modify or waive any provision of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without the prior written consent of then-current Collateral Agent and the Administrative Agent; or</w:t>
      </w:r>
    </w:p>
    <w:p>
      <w:pPr>
        <w:spacing w:after="0" w:line="158" w:lineRule="exact"/>
        <w:rPr>
          <w:rFonts w:ascii="Arial" w:cs="Arial" w:eastAsia="Arial" w:hAnsi="Arial"/>
          <w:sz w:val="22"/>
          <w:szCs w:val="22"/>
          <w:color w:val="auto"/>
        </w:rPr>
      </w:pPr>
    </w:p>
    <w:p>
      <w:pPr>
        <w:jc w:val="both"/>
        <w:ind w:left="660" w:firstLine="1940"/>
        <w:spacing w:after="0" w:line="218" w:lineRule="auto"/>
        <w:tabs>
          <w:tab w:leader="none" w:pos="3254" w:val="left"/>
        </w:tabs>
        <w:numPr>
          <w:ilvl w:val="1"/>
          <w:numId w:val="226"/>
        </w:numPr>
        <w:rPr>
          <w:rFonts w:ascii="Arial" w:cs="Arial" w:eastAsia="Arial" w:hAnsi="Arial"/>
          <w:sz w:val="22"/>
          <w:szCs w:val="22"/>
          <w:color w:val="auto"/>
        </w:rPr>
      </w:pPr>
      <w:r>
        <w:rPr>
          <w:rFonts w:ascii="Arial" w:cs="Arial" w:eastAsia="Arial" w:hAnsi="Arial"/>
          <w:sz w:val="22"/>
          <w:szCs w:val="22"/>
          <w:color w:val="auto"/>
        </w:rPr>
        <w:t xml:space="preserve">without the prior written consent of each Lender, release all or substantially all of the Guarantors under the Guaranty and Security Agreement (except as expressly permitted by the Guaranty and Security Agreement), or release all or substantially all of the Collateral under the Guaranty and Security Agreement and the Mortgages (except as expressly permitted thereby and by </w:t>
      </w:r>
      <w:r>
        <w:rPr>
          <w:rFonts w:ascii="Arial" w:cs="Arial" w:eastAsia="Arial" w:hAnsi="Arial"/>
          <w:sz w:val="22"/>
          <w:szCs w:val="22"/>
          <w:u w:val="single" w:color="auto"/>
          <w:color w:val="auto"/>
        </w:rPr>
        <w:t>Section 12.20</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952"/>
        <w:spacing w:after="0" w:line="241" w:lineRule="auto"/>
        <w:tabs>
          <w:tab w:leader="none" w:pos="247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12.01(b)</w:t>
      </w:r>
      <w:r>
        <w:rPr>
          <w:rFonts w:ascii="Arial" w:cs="Arial" w:eastAsia="Arial" w:hAnsi="Arial"/>
          <w:sz w:val="19"/>
          <w:szCs w:val="19"/>
          <w:color w:val="auto"/>
        </w:rPr>
        <w:t xml:space="preserve"> to the contrary, (1) the Administrative Agent and the Loan Parties, without the consent of any Lenders or any other Loan Parties, may amend, modify or supplement this Loan Agreement or any other Loan Document (i) solely to correct mistakes or typographical errors or cure ambiguities, inconsistencies or omissions herein or therein, so long as (x) such amendment, modification or supplement does not materially and adversely affect the rights of any Lender or (y) the Lenders shall have received at least five (5) Business Days’ prior written notice thereof and the Administrative Agent shall not have received, within five (5) Business Days following the date of such notice to the Lenders, a written notice from the Required Lenders stating that the Required Lenders object to such amendment, modification or supplement and (ii) to effect the granting, perfection, protection, expansion or enhancement of any security interest of the Secured Parties in any Collateral or additional property to become Collateral for the benefit of the Secured Parties or as required by local law to give effect to or protect any such security interests in any property or so that the security interests therein comply with the Loan Documents or Applicable Law or in each case otherwise enhance the rights or benefits of any Agent or any Lender under any Loan Document and (2) solely with the consent of the Hayfin Lenders (or, if there are no Hayfin Lenders at such time, the Administrative Agent) and the Borrower (but without the consent of the Required Lenders or any other Lender) any agreement may waive, amend or modify </w:t>
      </w:r>
      <w:r>
        <w:rPr>
          <w:rFonts w:ascii="Arial" w:cs="Arial" w:eastAsia="Arial" w:hAnsi="Arial"/>
          <w:sz w:val="19"/>
          <w:szCs w:val="19"/>
          <w:u w:val="single" w:color="auto"/>
          <w:color w:val="auto"/>
        </w:rPr>
        <w:t>Section 2.08(b)(vi)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(c)(v)</w:t>
      </w:r>
      <w:r>
        <w:rPr>
          <w:rFonts w:ascii="Arial" w:cs="Arial" w:eastAsia="Arial" w:hAnsi="Arial"/>
          <w:sz w:val="19"/>
          <w:szCs w:val="19"/>
          <w:color w:val="auto"/>
        </w:rPr>
        <w:t xml:space="preserve"> or any of the component definitions used therein.</w:t>
      </w:r>
    </w:p>
    <w:p>
      <w:pPr>
        <w:spacing w:after="0" w:line="16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u w:val="single" w:color="auto"/>
          <w:color w:val="auto"/>
        </w:rPr>
        <w:t>Notices and Other Communications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firstLine="1952"/>
        <w:spacing w:after="0" w:line="232" w:lineRule="auto"/>
        <w:tabs>
          <w:tab w:leader="none" w:pos="241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12.02(c)</w:t>
      </w:r>
      <w:r>
        <w:rPr>
          <w:rFonts w:ascii="Arial" w:cs="Arial" w:eastAsia="Arial" w:hAnsi="Arial"/>
          <w:sz w:val="22"/>
          <w:szCs w:val="22"/>
          <w:color w:val="auto"/>
        </w:rPr>
        <w:t xml:space="preserve"> below, all notices and other communications provided for in, or otherwise given under or in connection with, this Loan</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Agreement or any other Loan Document, shall be in writing and shall be delivered either by hand, by overnight courier service, by certified or registered mail, by telefacsimile or by email (in portable document format (“pdf”) or tagged image file format (“TIFF”)) as follows:</w:t>
      </w:r>
    </w:p>
    <w:p>
      <w:pPr>
        <w:spacing w:after="0" w:line="159" w:lineRule="exact"/>
        <w:rPr>
          <w:sz w:val="20"/>
          <w:szCs w:val="20"/>
          <w:color w:val="auto"/>
        </w:rPr>
      </w:pPr>
    </w:p>
    <w:p>
      <w:pPr>
        <w:ind w:left="3020" w:hanging="420"/>
        <w:spacing w:after="0"/>
        <w:tabs>
          <w:tab w:leader="none" w:pos="302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if to any Loan Party, to it at:</w:t>
      </w:r>
    </w:p>
    <w:p>
      <w:pPr>
        <w:spacing w:after="0" w:line="1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MIMEDX GROUP, INC.</w:t>
      </w:r>
    </w:p>
    <w:p>
      <w:pPr>
        <w:ind w:left="3240"/>
        <w:spacing w:after="0" w:line="204" w:lineRule="auto"/>
        <w:rPr>
          <w:sz w:val="20"/>
          <w:szCs w:val="20"/>
          <w:color w:val="auto"/>
        </w:rPr>
      </w:pPr>
      <w:r>
        <w:rPr>
          <w:rFonts w:ascii="Arial" w:cs="Arial" w:eastAsia="Arial" w:hAnsi="Arial"/>
          <w:sz w:val="22"/>
          <w:szCs w:val="22"/>
          <w:color w:val="auto"/>
        </w:rPr>
        <w:t>1775 West Oak Commons Ct. NE</w:t>
      </w:r>
    </w:p>
    <w:p>
      <w:pPr>
        <w:ind w:left="3240"/>
        <w:spacing w:after="0" w:line="205" w:lineRule="auto"/>
        <w:rPr>
          <w:sz w:val="20"/>
          <w:szCs w:val="20"/>
          <w:color w:val="auto"/>
        </w:rPr>
      </w:pPr>
      <w:r>
        <w:rPr>
          <w:rFonts w:ascii="Arial" w:cs="Arial" w:eastAsia="Arial" w:hAnsi="Arial"/>
          <w:sz w:val="22"/>
          <w:szCs w:val="22"/>
          <w:color w:val="auto"/>
        </w:rPr>
        <w:t>Marietta, GA 30062</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Peter M Carlson</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pcarlson@mimedx.com</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 (which does not constitute notice):</w:t>
      </w:r>
    </w:p>
    <w:p>
      <w:pPr>
        <w:spacing w:after="0" w:line="1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Reed Smith LLP</w:t>
      </w:r>
    </w:p>
    <w:p>
      <w:pPr>
        <w:ind w:left="3240"/>
        <w:spacing w:after="0" w:line="204" w:lineRule="auto"/>
        <w:rPr>
          <w:sz w:val="20"/>
          <w:szCs w:val="20"/>
          <w:color w:val="auto"/>
        </w:rPr>
      </w:pPr>
      <w:r>
        <w:rPr>
          <w:rFonts w:ascii="Arial" w:cs="Arial" w:eastAsia="Arial" w:hAnsi="Arial"/>
          <w:sz w:val="22"/>
          <w:szCs w:val="22"/>
          <w:color w:val="auto"/>
        </w:rPr>
        <w:t>10 S. Wacker Drive</w:t>
      </w:r>
    </w:p>
    <w:p>
      <w:pPr>
        <w:ind w:left="3240"/>
        <w:spacing w:after="0" w:line="205" w:lineRule="auto"/>
        <w:rPr>
          <w:sz w:val="20"/>
          <w:szCs w:val="20"/>
          <w:color w:val="auto"/>
        </w:rPr>
      </w:pPr>
      <w:r>
        <w:rPr>
          <w:rFonts w:ascii="Arial" w:cs="Arial" w:eastAsia="Arial" w:hAnsi="Arial"/>
          <w:sz w:val="22"/>
          <w:szCs w:val="22"/>
          <w:color w:val="auto"/>
        </w:rPr>
        <w:t>Chicago, IL 60606</w:t>
      </w:r>
    </w:p>
    <w:p>
      <w:pPr>
        <w:ind w:left="3240"/>
        <w:spacing w:after="0" w:line="205" w:lineRule="auto"/>
        <w:rPr>
          <w:sz w:val="20"/>
          <w:szCs w:val="20"/>
          <w:color w:val="auto"/>
        </w:rPr>
      </w:pPr>
      <w:r>
        <w:rPr>
          <w:rFonts w:ascii="Arial" w:cs="Arial" w:eastAsia="Arial" w:hAnsi="Arial"/>
          <w:sz w:val="22"/>
          <w:szCs w:val="22"/>
          <w:color w:val="auto"/>
        </w:rPr>
        <w:t>Attention: Benjamin L. Brimeyer</w:t>
      </w:r>
    </w:p>
    <w:p>
      <w:pPr>
        <w:ind w:left="3240"/>
        <w:spacing w:after="0" w:line="205" w:lineRule="auto"/>
        <w:rPr>
          <w:sz w:val="20"/>
          <w:szCs w:val="20"/>
          <w:color w:val="auto"/>
        </w:rPr>
      </w:pPr>
      <w:r>
        <w:rPr>
          <w:rFonts w:ascii="Arial" w:cs="Arial" w:eastAsia="Arial" w:hAnsi="Arial"/>
          <w:sz w:val="22"/>
          <w:szCs w:val="22"/>
          <w:color w:val="auto"/>
        </w:rPr>
        <w:t>Facsimile No.: (312) 207-6400</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bbrimeyer@reedsmith.com</w:t>
      </w:r>
    </w:p>
    <w:p>
      <w:pPr>
        <w:spacing w:after="0" w:line="161" w:lineRule="exact"/>
        <w:rPr>
          <w:sz w:val="20"/>
          <w:szCs w:val="20"/>
          <w:color w:val="auto"/>
        </w:rPr>
      </w:pPr>
    </w:p>
    <w:p>
      <w:pPr>
        <w:ind w:left="3080" w:hanging="480"/>
        <w:spacing w:after="0"/>
        <w:tabs>
          <w:tab w:leader="none" w:pos="30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if the Administrative Agent or the Collateral Agent, to it at:</w:t>
      </w:r>
    </w:p>
    <w:p>
      <w:pPr>
        <w:spacing w:after="0" w:line="142"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4340" w:type="dxa"/>
            <w:vAlign w:val="bottom"/>
            <w:gridSpan w:val="2"/>
          </w:tcPr>
          <w:p>
            <w:pPr>
              <w:spacing w:after="0"/>
              <w:rPr>
                <w:sz w:val="20"/>
                <w:szCs w:val="20"/>
                <w:color w:val="auto"/>
              </w:rPr>
            </w:pPr>
            <w:r>
              <w:rPr>
                <w:rFonts w:ascii="Arial" w:cs="Arial" w:eastAsia="Arial" w:hAnsi="Arial"/>
                <w:sz w:val="22"/>
                <w:szCs w:val="22"/>
                <w:color w:val="auto"/>
              </w:rPr>
              <w:t>HAYFIN SERVICES LLP</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line="216" w:lineRule="exact"/>
              <w:rPr>
                <w:sz w:val="20"/>
                <w:szCs w:val="20"/>
                <w:color w:val="auto"/>
              </w:rPr>
            </w:pPr>
            <w:r>
              <w:rPr>
                <w:rFonts w:ascii="Arial" w:cs="Arial" w:eastAsia="Arial" w:hAnsi="Arial"/>
                <w:sz w:val="22"/>
                <w:szCs w:val="22"/>
                <w:color w:val="auto"/>
              </w:rPr>
              <w:t>One Eagle Place, London, SW1Y 6AF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line="216" w:lineRule="exact"/>
              <w:rPr>
                <w:sz w:val="20"/>
                <w:szCs w:val="20"/>
                <w:color w:val="auto"/>
              </w:rPr>
            </w:pPr>
            <w:r>
              <w:rPr>
                <w:rFonts w:ascii="Arial" w:cs="Arial" w:eastAsia="Arial" w:hAnsi="Arial"/>
                <w:sz w:val="22"/>
                <w:szCs w:val="22"/>
                <w:color w:val="auto"/>
              </w:rPr>
              <w:t>United Kingdom</w:t>
            </w:r>
          </w:p>
        </w:tc>
        <w:tc>
          <w:tcPr>
            <w:tcW w:w="2700" w:type="dxa"/>
            <w:vAlign w:val="bottom"/>
            <w:vMerge w:val="restart"/>
          </w:tcPr>
          <w:p>
            <w:pPr>
              <w:ind w:left="160"/>
              <w:spacing w:after="0"/>
              <w:rPr>
                <w:sz w:val="20"/>
                <w:szCs w:val="20"/>
                <w:color w:val="auto"/>
              </w:rPr>
            </w:pPr>
            <w:r>
              <w:rPr>
                <w:rFonts w:ascii="Arial" w:cs="Arial" w:eastAsia="Arial" w:hAnsi="Arial"/>
                <w:sz w:val="22"/>
                <w:szCs w:val="22"/>
                <w:color w:val="auto"/>
              </w:rPr>
              <w:t>Barrett Polan</w:t>
            </w: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rPr>
              <w:t>Attention:</w:t>
            </w:r>
          </w:p>
        </w:tc>
        <w:tc>
          <w:tcPr>
            <w:tcW w:w="3280" w:type="dxa"/>
            <w:vAlign w:val="bottom"/>
          </w:tcPr>
          <w:p>
            <w:pPr>
              <w:ind w:left="100"/>
              <w:spacing w:after="0" w:line="216" w:lineRule="exact"/>
              <w:rPr>
                <w:sz w:val="20"/>
                <w:szCs w:val="20"/>
                <w:color w:val="auto"/>
              </w:rPr>
            </w:pPr>
            <w:r>
              <w:rPr>
                <w:rFonts w:ascii="Arial" w:cs="Arial" w:eastAsia="Arial" w:hAnsi="Arial"/>
                <w:sz w:val="22"/>
                <w:szCs w:val="22"/>
                <w:color w:val="auto"/>
                <w:w w:val="95"/>
              </w:rPr>
              <w:t>Loanops / Legal, Andrew Merrill &amp;</w:t>
            </w: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4"/>
              </w:rPr>
              <w:t>Telephone:</w:t>
            </w:r>
          </w:p>
        </w:tc>
        <w:tc>
          <w:tcPr>
            <w:tcW w:w="3280" w:type="dxa"/>
            <w:vAlign w:val="bottom"/>
          </w:tcPr>
          <w:p>
            <w:pPr>
              <w:jc w:val="right"/>
              <w:ind w:right="1312"/>
              <w:spacing w:after="0" w:line="216" w:lineRule="exact"/>
              <w:rPr>
                <w:sz w:val="20"/>
                <w:szCs w:val="20"/>
                <w:color w:val="auto"/>
              </w:rPr>
            </w:pPr>
            <w:r>
              <w:rPr>
                <w:rFonts w:ascii="Arial" w:cs="Arial" w:eastAsia="Arial" w:hAnsi="Arial"/>
                <w:sz w:val="22"/>
                <w:szCs w:val="22"/>
                <w:color w:val="auto"/>
                <w:w w:val="96"/>
              </w:rPr>
              <w:t>+44 0207 074 2900</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rPr>
              <w:t>Facsimile:</w:t>
            </w:r>
          </w:p>
        </w:tc>
        <w:tc>
          <w:tcPr>
            <w:tcW w:w="3280" w:type="dxa"/>
            <w:vAlign w:val="bottom"/>
          </w:tcPr>
          <w:p>
            <w:pPr>
              <w:ind w:left="120"/>
              <w:spacing w:after="0" w:line="216" w:lineRule="exact"/>
              <w:rPr>
                <w:sz w:val="20"/>
                <w:szCs w:val="20"/>
                <w:color w:val="auto"/>
              </w:rPr>
            </w:pPr>
            <w:r>
              <w:rPr>
                <w:rFonts w:ascii="Arial" w:cs="Arial" w:eastAsia="Arial" w:hAnsi="Arial"/>
                <w:sz w:val="22"/>
                <w:szCs w:val="22"/>
                <w:color w:val="auto"/>
              </w:rPr>
              <w:t>+44 0207 692 4641</w:t>
            </w:r>
          </w:p>
        </w:tc>
        <w:tc>
          <w:tcPr>
            <w:tcW w:w="2700" w:type="dxa"/>
            <w:vAlign w:val="bottom"/>
            <w:vMerge w:val="restart"/>
          </w:tcPr>
          <w:p>
            <w:pPr>
              <w:ind w:left="120"/>
              <w:spacing w:after="0"/>
              <w:rPr>
                <w:sz w:val="20"/>
                <w:szCs w:val="20"/>
                <w:color w:val="auto"/>
              </w:rPr>
            </w:pPr>
            <w:r>
              <w:rPr>
                <w:rFonts w:ascii="Arial" w:cs="Arial" w:eastAsia="Arial" w:hAnsi="Arial"/>
                <w:sz w:val="22"/>
                <w:szCs w:val="22"/>
                <w:color w:val="auto"/>
                <w:w w:val="92"/>
              </w:rPr>
              <w:t>Andrew.Merrill@hayfin.com,</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line="234" w:lineRule="exact"/>
              <w:rPr>
                <w:sz w:val="20"/>
                <w:szCs w:val="20"/>
                <w:color w:val="auto"/>
              </w:rPr>
            </w:pPr>
            <w:r>
              <w:rPr>
                <w:rFonts w:ascii="Arial" w:cs="Arial" w:eastAsia="Arial" w:hAnsi="Arial"/>
                <w:sz w:val="22"/>
                <w:szCs w:val="22"/>
                <w:color w:val="auto"/>
                <w:w w:val="96"/>
              </w:rPr>
              <w:t>Email:  gc@hayfin.com, loanops@hayfin.com,</w:t>
            </w:r>
          </w:p>
        </w:tc>
        <w:tc>
          <w:tcPr>
            <w:tcW w:w="2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640" w:hanging="392"/>
        <w:spacing w:after="0"/>
        <w:tabs>
          <w:tab w:leader="none" w:pos="36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Barrett.Polan@hayfin.com</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 (which does not constitute notice):</w:t>
      </w:r>
    </w:p>
    <w:p>
      <w:pPr>
        <w:spacing w:after="0" w:line="160" w:lineRule="exact"/>
        <w:rPr>
          <w:sz w:val="20"/>
          <w:szCs w:val="20"/>
          <w:color w:val="auto"/>
        </w:rPr>
      </w:pPr>
    </w:p>
    <w:p>
      <w:pPr>
        <w:ind w:left="3240"/>
        <w:spacing w:after="0"/>
        <w:rPr>
          <w:sz w:val="20"/>
          <w:szCs w:val="20"/>
          <w:color w:val="auto"/>
        </w:rPr>
      </w:pPr>
      <w:r>
        <w:rPr>
          <w:rFonts w:ascii="Arial" w:cs="Arial" w:eastAsia="Arial" w:hAnsi="Arial"/>
          <w:sz w:val="22"/>
          <w:szCs w:val="22"/>
          <w:color w:val="FF0000"/>
          <w:strike w:val="1"/>
        </w:rPr>
        <w:t>Weil, Gotshal &amp; Manges LLP</w:t>
      </w:r>
    </w:p>
    <w:p>
      <w:pPr>
        <w:ind w:left="3620" w:hanging="372"/>
        <w:spacing w:after="0" w:line="204" w:lineRule="auto"/>
        <w:tabs>
          <w:tab w:leader="none" w:pos="3620" w:val="left"/>
        </w:tabs>
        <w:numPr>
          <w:ilvl w:val="0"/>
          <w:numId w:val="232"/>
        </w:numPr>
        <w:rPr>
          <w:rFonts w:ascii="Arial" w:cs="Arial" w:eastAsia="Arial" w:hAnsi="Arial"/>
          <w:sz w:val="22"/>
          <w:szCs w:val="22"/>
          <w:color w:val="FF0000"/>
          <w:strike w:val="1"/>
        </w:rPr>
      </w:pPr>
      <w:r>
        <w:rPr>
          <w:rFonts w:ascii="Arial" w:cs="Arial" w:eastAsia="Arial" w:hAnsi="Arial"/>
          <w:sz w:val="22"/>
          <w:szCs w:val="22"/>
          <w:color w:val="FF0000"/>
          <w:strike w:val="1"/>
        </w:rPr>
        <w:t>Fifth Avenue</w:t>
      </w:r>
    </w:p>
    <w:p>
      <w:pPr>
        <w:ind w:left="3240" w:right="4920"/>
        <w:spacing w:after="0" w:line="214" w:lineRule="auto"/>
        <w:rPr>
          <w:rFonts w:ascii="Arial" w:cs="Arial" w:eastAsia="Arial" w:hAnsi="Arial"/>
          <w:sz w:val="22"/>
          <w:szCs w:val="22"/>
          <w:color w:val="FF0000"/>
          <w:strike w:val="1"/>
        </w:rPr>
      </w:pPr>
      <w:r>
        <w:rPr>
          <w:rFonts w:ascii="Arial" w:cs="Arial" w:eastAsia="Arial" w:hAnsi="Arial"/>
          <w:sz w:val="22"/>
          <w:szCs w:val="22"/>
          <w:color w:val="FF0000"/>
          <w:strike w:val="1"/>
        </w:rPr>
        <w:t>New York, NY 10153 Attention: Damian Ridealgh Facsimile No.: (212) 310-8007 Email: Damian.ridealgh@weil.com</w:t>
      </w:r>
    </w:p>
    <w:p>
      <w:pPr>
        <w:spacing w:after="0" w:line="141"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0000FF"/>
        </w:rPr>
        <w:t>Freshfields Bruckhaus Deringer US LLP</w:t>
      </w:r>
    </w:p>
    <w:p>
      <w:pPr>
        <w:ind w:left="3240"/>
        <w:spacing w:after="0" w:line="204" w:lineRule="auto"/>
        <w:rPr>
          <w:sz w:val="20"/>
          <w:szCs w:val="20"/>
          <w:color w:val="auto"/>
        </w:rPr>
      </w:pPr>
      <w:r>
        <w:rPr>
          <w:rFonts w:ascii="Arial" w:cs="Arial" w:eastAsia="Arial" w:hAnsi="Arial"/>
          <w:sz w:val="22"/>
          <w:szCs w:val="22"/>
          <w:u w:val="single" w:color="auto"/>
          <w:color w:val="0000FF"/>
        </w:rPr>
        <w:t>601 Lexington Avenue, 31st Floor</w:t>
      </w:r>
    </w:p>
    <w:p>
      <w:pPr>
        <w:ind w:left="3240"/>
        <w:spacing w:after="0" w:line="205" w:lineRule="auto"/>
        <w:rPr>
          <w:sz w:val="20"/>
          <w:szCs w:val="20"/>
          <w:color w:val="auto"/>
        </w:rPr>
      </w:pPr>
      <w:r>
        <w:rPr>
          <w:rFonts w:ascii="Arial" w:cs="Arial" w:eastAsia="Arial" w:hAnsi="Arial"/>
          <w:sz w:val="22"/>
          <w:szCs w:val="22"/>
          <w:u w:val="single" w:color="auto"/>
          <w:color w:val="0000FF"/>
        </w:rPr>
        <w:t>New York, NY 10022</w:t>
      </w:r>
    </w:p>
    <w:p>
      <w:pPr>
        <w:ind w:left="3240"/>
        <w:spacing w:after="0" w:line="205" w:lineRule="auto"/>
        <w:rPr>
          <w:sz w:val="20"/>
          <w:szCs w:val="20"/>
          <w:color w:val="auto"/>
        </w:rPr>
      </w:pPr>
      <w:r>
        <w:rPr>
          <w:rFonts w:ascii="Arial" w:cs="Arial" w:eastAsia="Arial" w:hAnsi="Arial"/>
          <w:sz w:val="22"/>
          <w:szCs w:val="22"/>
          <w:u w:val="single" w:color="auto"/>
          <w:color w:val="0000FF"/>
        </w:rPr>
        <w:t>Attention: Damian Ridealgh and H.T. Flanagan</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0000FF"/>
        </w:rPr>
        <w:t>Email: damian.ridealgh@freshfields.com and HT.flanagan@freshfields.com</w:t>
      </w:r>
    </w:p>
    <w:p>
      <w:pPr>
        <w:spacing w:after="0" w:line="161" w:lineRule="exact"/>
        <w:rPr>
          <w:sz w:val="20"/>
          <w:szCs w:val="20"/>
          <w:color w:val="auto"/>
        </w:rPr>
      </w:pPr>
    </w:p>
    <w:p>
      <w:pPr>
        <w:ind w:left="660" w:firstLine="1940"/>
        <w:spacing w:after="0" w:line="298" w:lineRule="auto"/>
        <w:tabs>
          <w:tab w:leader="none" w:pos="316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if to any Lender, to it at its address, facsimile number or email address set forth either on the signature pages hereto or its Assignment and Acceptance or in its Administrative Questionnaire, as applicable.</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7" w:lineRule="exact"/>
        <w:rPr>
          <w:sz w:val="20"/>
          <w:szCs w:val="20"/>
          <w:color w:val="auto"/>
        </w:rPr>
      </w:pPr>
    </w:p>
    <w:p>
      <w:pPr>
        <w:jc w:val="both"/>
        <w:ind w:left="-660" w:firstLine="1952"/>
        <w:spacing w:after="0" w:line="218" w:lineRule="auto"/>
        <w:tabs>
          <w:tab w:leader="none" w:pos="1833"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Any party hereto may change its address, facsimile number or email address for notices and other communications hereunder by notice delivered to all of the other parties hereto in accordance with </w:t>
      </w:r>
      <w:r>
        <w:rPr>
          <w:rFonts w:ascii="Arial" w:cs="Arial" w:eastAsia="Arial" w:hAnsi="Arial"/>
          <w:sz w:val="22"/>
          <w:szCs w:val="22"/>
          <w:u w:val="single" w:color="auto"/>
          <w:color w:val="auto"/>
        </w:rPr>
        <w:t>Section 12.02(a)</w:t>
      </w:r>
      <w:r>
        <w:rPr>
          <w:rFonts w:ascii="Arial" w:cs="Arial" w:eastAsia="Arial" w:hAnsi="Arial"/>
          <w:sz w:val="22"/>
          <w:szCs w:val="22"/>
          <w:color w:val="auto"/>
        </w:rPr>
        <w:t xml:space="preserve"> above; </w:t>
      </w:r>
      <w:r>
        <w:rPr>
          <w:rFonts w:ascii="Arial" w:cs="Arial" w:eastAsia="Arial" w:hAnsi="Arial"/>
          <w:sz w:val="22"/>
          <w:szCs w:val="22"/>
          <w:u w:val="single" w:color="auto"/>
          <w:color w:val="auto"/>
        </w:rPr>
        <w:t>provided</w:t>
      </w:r>
      <w:r>
        <w:rPr>
          <w:rFonts w:ascii="Arial" w:cs="Arial" w:eastAsia="Arial" w:hAnsi="Arial"/>
          <w:sz w:val="22"/>
          <w:szCs w:val="22"/>
          <w:color w:val="auto"/>
        </w:rPr>
        <w:t>, that, for purposes of delivery to the Lenders, or from any Lender, such notice may be provided to the Administrative Agent for distribution to the other applicable parties.</w:t>
      </w:r>
    </w:p>
    <w:p>
      <w:pPr>
        <w:spacing w:after="0" w:line="160" w:lineRule="exact"/>
        <w:rPr>
          <w:rFonts w:ascii="Arial" w:cs="Arial" w:eastAsia="Arial" w:hAnsi="Arial"/>
          <w:sz w:val="22"/>
          <w:szCs w:val="22"/>
          <w:color w:val="auto"/>
        </w:rPr>
      </w:pPr>
    </w:p>
    <w:p>
      <w:pPr>
        <w:jc w:val="both"/>
        <w:ind w:left="-660" w:firstLine="1952"/>
        <w:spacing w:after="0" w:line="242" w:lineRule="auto"/>
        <w:tabs>
          <w:tab w:leader="none" w:pos="176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All notices and other communications given to any party hereto in accordance with the provisions of this Loan Agreement shall be deemed to have been given (i) in the case of notices and other communications delivered by hand or overnight courier service, upon actual receipt thereof, (ii) in the case of notices and other communications delivered by certified or registered mail, upon the earlier of actual delivery and the third Business Day after the date deposited in the U.S. mail with postage prepaid and properly addressed, (iii) in the case of notices and other communications delivered by telefacsimile, upon receipt by the sender of an acknowledgment or transmission report generated by the machine from which the telefacsimile was sent indicating that the telefacsimile was sent in its entirety to the recipient’s telefacsimile number and (iv) in the case of notices and other communications delivered by email, upon receipt by the sender of an acknowledgement from the intended recipient (such as by the “return receipt requested” function, a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each case, if a notice or other communication would be deemed to have been given in accordance with the foregoing at any time other than during the recipient’s normal business hours on a Business Day for such recipient, such notice or other communication shall be deemed given on the next succeeding Business Day for such recipient.</w:t>
      </w:r>
    </w:p>
    <w:p>
      <w:pPr>
        <w:spacing w:after="0" w:line="164" w:lineRule="exact"/>
        <w:rPr>
          <w:rFonts w:ascii="Arial" w:cs="Arial" w:eastAsia="Arial" w:hAnsi="Arial"/>
          <w:sz w:val="19"/>
          <w:szCs w:val="19"/>
          <w:color w:val="auto"/>
        </w:rPr>
      </w:pPr>
    </w:p>
    <w:p>
      <w:pPr>
        <w:jc w:val="both"/>
        <w:ind w:left="-660" w:firstLine="1952"/>
        <w:spacing w:after="0" w:line="218" w:lineRule="auto"/>
        <w:tabs>
          <w:tab w:leader="none" w:pos="1947" w:val="left"/>
        </w:tabs>
        <w:numPr>
          <w:ilvl w:val="0"/>
          <w:numId w:val="234"/>
        </w:numPr>
        <w:rPr>
          <w:rFonts w:ascii="Arial" w:cs="Arial" w:eastAsia="Arial" w:hAnsi="Arial"/>
          <w:sz w:val="22"/>
          <w:szCs w:val="22"/>
          <w:color w:val="auto"/>
        </w:rPr>
      </w:pPr>
      <w:r>
        <w:rPr>
          <w:rFonts w:ascii="Arial" w:cs="Arial" w:eastAsia="Arial" w:hAnsi="Arial"/>
          <w:sz w:val="22"/>
          <w:szCs w:val="22"/>
          <w:color w:val="auto"/>
        </w:rPr>
        <w:t>Each Loan Party and each Secured Party acknowledges and agrees that the use of electronic transmission in general, and email in particular, is not necessarily secure and that there are risks associated with the use thereof, including risks of interception, disclosure and abuse, and each indicates it assumes and accepts such risks by hereby authorizing the use of electronic transmission.</w:t>
      </w:r>
    </w:p>
    <w:p>
      <w:pPr>
        <w:spacing w:after="0" w:line="160" w:lineRule="exact"/>
        <w:rPr>
          <w:rFonts w:ascii="Arial" w:cs="Arial" w:eastAsia="Arial" w:hAnsi="Arial"/>
          <w:sz w:val="22"/>
          <w:szCs w:val="22"/>
          <w:color w:val="auto"/>
        </w:rPr>
      </w:pPr>
    </w:p>
    <w:p>
      <w:pPr>
        <w:jc w:val="both"/>
        <w:ind w:left="-660" w:firstLine="1952"/>
        <w:spacing w:after="0" w:line="218" w:lineRule="auto"/>
        <w:tabs>
          <w:tab w:leader="none" w:pos="1755"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Agents and the Lenders shall be entitled to rely and act upon any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w:t>
      </w:r>
    </w:p>
    <w:p>
      <w:pPr>
        <w:spacing w:after="0" w:line="160" w:lineRule="exact"/>
        <w:rPr>
          <w:rFonts w:ascii="Arial" w:cs="Arial" w:eastAsia="Arial" w:hAnsi="Arial"/>
          <w:sz w:val="22"/>
          <w:szCs w:val="22"/>
          <w:color w:val="auto"/>
        </w:rPr>
      </w:pPr>
    </w:p>
    <w:p>
      <w:pPr>
        <w:jc w:val="both"/>
        <w:ind w:left="-660" w:firstLine="1952"/>
        <w:spacing w:after="0" w:line="219" w:lineRule="auto"/>
        <w:tabs>
          <w:tab w:leader="none" w:pos="173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Each Loan Party acknowledges, understands and agrees that: (a) some or all of the Lenders from time to time borrow funds from one or more lenders pursuant to loan agreements with notice provisions that are strictly enforced by such lenders; (b) the provisions in this Loan Agreement and the other Loan Documents requiring delivery of notices and governing delivery of such notices (i) are of the essence of this Loan Agreement and such other Loan Documents, and without such provisions the Lenders would not enter into this Loan Agreement, (ii) require technical compliance in all respects, not just notice in fact, whether or not there is any prejudice to a Lender or any other Person, and (iii) will not be waived, amended or adjusted in any way in the absence of reasons deemed compelling by the Lenders in their sole and absolute discretion (compelling reasons shall not include the desire of a Loan Party to save money), which discretion shall be subject to no standard of reasonableness or review and shall be evidenced only by a formal written instrument (and not by an email or series of emails); and (c) no Loan Party will request any such waiver, amendment or adjustment, and each Loan Party shall instead strictly comply with every technical requirement of the notice provisions in this Loan Agreement and the other Loan Documents without complaint.</w:t>
      </w:r>
    </w:p>
    <w:p>
      <w:pPr>
        <w:spacing w:after="0" w:line="164"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Section 12.03</w:t>
      </w:r>
      <w:r>
        <w:rPr>
          <w:sz w:val="20"/>
          <w:szCs w:val="20"/>
          <w:color w:val="auto"/>
        </w:rPr>
        <w:tab/>
      </w:r>
      <w:r>
        <w:rPr>
          <w:rFonts w:ascii="Arial" w:cs="Arial" w:eastAsia="Arial" w:hAnsi="Arial"/>
          <w:sz w:val="19"/>
          <w:szCs w:val="19"/>
          <w:u w:val="single" w:color="auto"/>
          <w:color w:val="auto"/>
        </w:rPr>
        <w:t>No Waiver; Cumulative Remedies</w:t>
      </w:r>
    </w:p>
    <w:p>
      <w:pPr>
        <w:sectPr>
          <w:pgSz w:w="11900" w:h="16838" w:orient="portrait"/>
          <w:cols w:equalWidth="0" w:num="1">
            <w:col w:w="10580"/>
          </w:cols>
          <w:pgMar w:left="980" w:top="1440" w:right="339" w:bottom="1440" w:gutter="0" w:footer="0" w:header="0"/>
        </w:sectPr>
      </w:pPr>
    </w:p>
    <w:bookmarkStart w:id="187" w:name="page188"/>
    <w:bookmarkEnd w:id="187"/>
    <w:p>
      <w:pPr>
        <w:jc w:val="both"/>
        <w:ind w:left="-656" w:firstLine="656"/>
        <w:spacing w:after="0" w:line="216" w:lineRule="auto"/>
        <w:tabs>
          <w:tab w:leader="none" w:pos="114" w:val="left"/>
        </w:tabs>
        <w:numPr>
          <w:ilvl w:val="0"/>
          <w:numId w:val="235"/>
        </w:numPr>
        <w:rPr>
          <w:rFonts w:ascii="Arial" w:cs="Arial" w:eastAsia="Arial" w:hAnsi="Arial"/>
          <w:sz w:val="22"/>
          <w:szCs w:val="22"/>
          <w:color w:val="auto"/>
        </w:rPr>
      </w:pPr>
      <w:r>
        <w:rPr>
          <w:rFonts w:ascii="Arial" w:cs="Arial" w:eastAsia="Arial" w:hAnsi="Arial"/>
          <w:sz w:val="22"/>
          <w:szCs w:val="22"/>
          <w:color w:val="auto"/>
        </w:rPr>
        <w:t>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58"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12.04</w:t>
      </w:r>
      <w:r>
        <w:rPr>
          <w:sz w:val="20"/>
          <w:szCs w:val="20"/>
          <w:color w:val="auto"/>
        </w:rPr>
        <w:tab/>
      </w:r>
      <w:r>
        <w:rPr>
          <w:rFonts w:ascii="Arial" w:cs="Arial" w:eastAsia="Arial" w:hAnsi="Arial"/>
          <w:sz w:val="19"/>
          <w:szCs w:val="19"/>
          <w:u w:val="single" w:color="auto"/>
          <w:color w:val="auto"/>
        </w:rPr>
        <w:t>Survival of Representations and Warranties</w:t>
      </w:r>
    </w:p>
    <w:p>
      <w:pPr>
        <w:spacing w:after="0" w:line="179" w:lineRule="exact"/>
        <w:rPr>
          <w:sz w:val="20"/>
          <w:szCs w:val="20"/>
          <w:color w:val="auto"/>
        </w:rPr>
      </w:pPr>
    </w:p>
    <w:p>
      <w:pPr>
        <w:ind w:left="-656" w:firstLine="656"/>
        <w:spacing w:after="0" w:line="232" w:lineRule="auto"/>
        <w:tabs>
          <w:tab w:leader="none" w:pos="113"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All representations and warranties made hereunder and in the other Loan Documents shall survive the execution and delivery of this Loan Agreement and the making of the Loans hereunder.</w:t>
      </w:r>
    </w:p>
    <w:p>
      <w:pPr>
        <w:spacing w:after="0" w:line="159"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12.05</w:t>
      </w:r>
      <w:r>
        <w:rPr>
          <w:sz w:val="20"/>
          <w:szCs w:val="20"/>
          <w:color w:val="auto"/>
        </w:rPr>
        <w:tab/>
      </w:r>
      <w:r>
        <w:rPr>
          <w:rFonts w:ascii="Arial" w:cs="Arial" w:eastAsia="Arial" w:hAnsi="Arial"/>
          <w:sz w:val="19"/>
          <w:szCs w:val="19"/>
          <w:u w:val="single" w:color="auto"/>
          <w:color w:val="auto"/>
        </w:rPr>
        <w:t>Payment of Expenses and Taxes; Indemnification</w:t>
      </w:r>
    </w:p>
    <w:p>
      <w:pPr>
        <w:spacing w:after="0" w:line="179" w:lineRule="exact"/>
        <w:rPr>
          <w:sz w:val="20"/>
          <w:szCs w:val="20"/>
          <w:color w:val="auto"/>
        </w:rPr>
      </w:pPr>
    </w:p>
    <w:p>
      <w:pPr>
        <w:jc w:val="both"/>
        <w:ind w:left="-656" w:firstLine="656"/>
        <w:spacing w:after="0"/>
        <w:tabs>
          <w:tab w:leader="none" w:pos="13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The Borrower and each other Loan Party agrees: (a) to pay or reimburse each Agent and each Lender for all their reasonable and documented out-of-pocket costs, fees and expenses incurred in connection with the development, negotiation, preparation, execution, delivery and administration of, and any amendment, supplement, or other modification to, and any waiver of any provision of, and any consent under, this Loan Agreement and the other Loan Documents and any other documents prepared in connection herewith or therewith, and the consummation and administration of the transactions contemplated hereby and thereby, including without limitation such costs, fees and expenses related to due diligence, appraisal costs, lien searches and filing fees and such costs, fees and expenses in relation to any payoff letter or other termination agreement and associated lien releases, and including the reasonable fees, disbursements and other charges of one primary external counsel to the Agents and the Lenders taken as a whole, including reasonably necessary special counsel and local counsel in each applicable jurisdiction, and external tax professionals, accounting professionals, and other consultants and advisors, in all cases whether or not the Closing Date occurs and whether or not the transactions contemplated hereby are consummated; (b) to pay or reimburse each Agent and each Lender for all of their documented out-of-pocket costs, fees and expenses incurred thereby and by their Affiliates in connection with the enforcement or preservation of any rights under this Loan Agreement, the other Loan Documents and any other documents prepared in connection herewith or therewith, in connection with any workout, restructuring or negotiations in respect thereof, in connection with any action to protect, collect, sell, liquidate or dispose of any Collateral, and in connection with any litigation, arbitration or other contest, dispute, suit, or proceeding relating to any of the foregoing, including in each case the fees, disbursements and other charges of one external counsel to the Agents and the Lenders taken as a whole (and, if reasonably necessary, (x) one local counsel in each relevant jurisdiction and (y) any special counsel), external tax professionals, accounting professionals, and other consultants and advisors of the Agents and the Lenders taken as a whole; (c) to pay, indemnify, and hold harmless each Agent and each Lender from any and all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Loan Agreement, the other Loan Documents and any such other documents; (d) to pay or reimburse each Agent and each Lender for all reasonable fees, costs and expenses incurred in exercising their rights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and to pay and reimburse each Lender for all reasonable fees and expenses incurred in exercising its rights under </w:t>
      </w:r>
      <w:r>
        <w:rPr>
          <w:rFonts w:ascii="Arial" w:cs="Arial" w:eastAsia="Arial" w:hAnsi="Arial"/>
          <w:sz w:val="19"/>
          <w:szCs w:val="19"/>
          <w:u w:val="single" w:color="auto"/>
          <w:color w:val="auto"/>
        </w:rPr>
        <w:t>Section 8.17</w:t>
      </w:r>
      <w:r>
        <w:rPr>
          <w:rFonts w:ascii="Arial" w:cs="Arial" w:eastAsia="Arial" w:hAnsi="Arial"/>
          <w:sz w:val="19"/>
          <w:szCs w:val="19"/>
          <w:color w:val="auto"/>
        </w:rPr>
        <w:t>; and (e) to pay, indemnify and hold harmless each Agent, each Lender, each other Secured Party, and the respective Related Parties of each of them, from and against any and all other liabilities, obligations, losses, damages, penalties, actions, judgments, suits, and reasonable and documented out-of-pocket costs, expenses and disbursements of any kind or nature whatsoever, including reasonable and</w:t>
      </w:r>
    </w:p>
    <w:p>
      <w:pPr>
        <w:sectPr>
          <w:pgSz w:w="11900" w:h="16838" w:orient="portrait"/>
          <w:cols w:equalWidth="0" w:num="1">
            <w:col w:w="10584"/>
          </w:cols>
          <w:pgMar w:left="976" w:top="1401" w:right="339" w:bottom="1440" w:gutter="0" w:footer="0" w:header="0"/>
        </w:sectPr>
      </w:pPr>
    </w:p>
    <w:bookmarkStart w:id="188" w:name="page189"/>
    <w:bookmarkEnd w:id="188"/>
    <w:p>
      <w:pPr>
        <w:jc w:val="both"/>
        <w:spacing w:after="0"/>
        <w:rPr>
          <w:sz w:val="20"/>
          <w:szCs w:val="20"/>
          <w:color w:val="auto"/>
        </w:rPr>
      </w:pPr>
      <w:r>
        <w:rPr>
          <w:rFonts w:ascii="Arial" w:cs="Arial" w:eastAsia="Arial" w:hAnsi="Arial"/>
          <w:sz w:val="19"/>
          <w:szCs w:val="19"/>
          <w:color w:val="auto"/>
        </w:rPr>
        <w:t xml:space="preserve">documented fees, disbursements and other charges of one primary external counsel, with respect to the negotiation, execution, delivery, enforcement, performance and administration of this Loan Agreement, the other Loan Documents and any such other documents, including any of the foregoing relating to any Environmental Claim that relates to any Loan Party or any property owned or leased by any Loan Party, the violation of, noncompliance with or liability under, any Environmental Law by any Loan Party or any property owned or leased by any Loan Party or any actual or alleged presence of Hazardous Materials on any property owned or leased by any Loan Party or resulting from any Loan Party in connection with the operations of any Loan Party, Subsidiary of any Loan Party or any of their Real Property (all the foregoing in this clause (e), collectively, the “Indemnified Liabilities </w:t>
      </w:r>
      <w:r>
        <w:rPr>
          <w:rFonts w:ascii="Arial" w:cs="Arial" w:eastAsia="Arial" w:hAnsi="Arial"/>
          <w:sz w:val="19"/>
          <w:szCs w:val="19"/>
          <w:u w:val="single" w:color="auto"/>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Loan Parties shall have no obligation under this clause (e) to either Agent, any Lender, any other Secured Party, or any Related Party of any of them, for Indemnified Liabilities arising from (A) gross negligence or willful misconduct of the party to be indemnified, as determined by a final, non-appealable order of a court of competent jurisdiction or (B) any claim resulting from one party to be indemnified against any other party to be indemnified and that does not involve an act or omission of Borrower, any Guarantor or any of their respective Subsidiaries or Affiliates or (C) a material breach of any obligations under any Loan Document by such indemnified party, as determined by a final, non-appealable order of a court of competent jurisdiction. The agreements in this </w:t>
      </w:r>
      <w:r>
        <w:rPr>
          <w:rFonts w:ascii="Arial" w:cs="Arial" w:eastAsia="Arial" w:hAnsi="Arial"/>
          <w:sz w:val="19"/>
          <w:szCs w:val="19"/>
          <w:u w:val="single" w:color="auto"/>
          <w:color w:val="auto"/>
        </w:rPr>
        <w:t>Section 12.05</w:t>
      </w:r>
      <w:r>
        <w:rPr>
          <w:rFonts w:ascii="Arial" w:cs="Arial" w:eastAsia="Arial" w:hAnsi="Arial"/>
          <w:sz w:val="19"/>
          <w:szCs w:val="19"/>
          <w:color w:val="auto"/>
        </w:rPr>
        <w:t xml:space="preserve"> shall survive repayment of the Loans and all other amounts payable hereunder and the termination of this Loan Agreement. To the fullest extent permitted by Applicable Law, no Loan Party shall assert, and each Loan Party hereby waives, any claim against any Agent, any Lender, any other Secured Party, and the Related Parties of each of them, on any theory of liability, for any general or consequential damages, or direct or indirect damages, in each case of any kind, and in each case whether special, reliance, punitive, compensatory, benefit of the bargain, “cover”, expectancy, exemplary, incidental, “lost profits”, or similar or other damages (including, but not limited to, damages resulting from loss of profits, revenue or business opportunity, business impact or anticipated savings) or multiples of damages, other than direct, foreseeable, actual out-of-pocket damages, arising out of, in connection with, or as a result of, this Loan Agreement, any other Loan Document or any agreement or instrument contemplated hereby, the transactions contemplated hereby or thereby, any Loan or the use of the proceeds thereof. No Lender, no Agent, no other Secured Party, and no Related Party of any of them shall be liable for any damages arising from the use by unintended recipients of any information or other materials distributed by it through telecommunications, electronic or other information transmission systems in connection with this Loan Agreement or the other Loan Documents or the transactions contemplated hereby or thereby, in the absence of the willful misconduct or gross negligence of such Person as determined by a final, non-appealable order of a court of competent jurisdiction.</w:t>
      </w:r>
    </w:p>
    <w:p>
      <w:pPr>
        <w:spacing w:after="0" w:line="3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12.06</w:t>
      </w:r>
      <w:r>
        <w:rPr>
          <w:sz w:val="20"/>
          <w:szCs w:val="20"/>
          <w:color w:val="auto"/>
        </w:rPr>
        <w:tab/>
      </w:r>
      <w:r>
        <w:rPr>
          <w:rFonts w:ascii="Arial" w:cs="Arial" w:eastAsia="Arial" w:hAnsi="Arial"/>
          <w:sz w:val="19"/>
          <w:szCs w:val="19"/>
          <w:u w:val="single" w:color="auto"/>
          <w:color w:val="auto"/>
        </w:rPr>
        <w:t>Successors and Assigns; Participations and Assignments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4" w:lineRule="auto"/>
        <w:tabs>
          <w:tab w:leader="none" w:pos="2439"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This Loan Agreement shall inure to the benefit of the respective successors and permitted assigns of the parties hereto and of the Related Parties and other indemnified Persons hereunder and their respective successors and permitted assigns, and the obligations and liabilities assumed in this Loan Agreement by the parties hereto shall be binding upon their respective successors and permitted assignees, except that (i) except as permitted under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w:t>
      </w:r>
      <w:r>
        <w:rPr>
          <w:rFonts w:ascii="Arial" w:cs="Arial" w:eastAsia="Arial" w:hAnsi="Arial"/>
          <w:sz w:val="19"/>
          <w:szCs w:val="19"/>
          <w:u w:val="single" w:color="auto"/>
          <w:color w:val="auto"/>
        </w:rPr>
        <w:t>Section 12.06</w:t>
      </w:r>
      <w:r>
        <w:rPr>
          <w:rFonts w:ascii="Arial" w:cs="Arial" w:eastAsia="Arial" w:hAnsi="Arial"/>
          <w:sz w:val="19"/>
          <w:szCs w:val="19"/>
          <w:color w:val="auto"/>
        </w:rPr>
        <w:t xml:space="preserve">, and any attempted assignment or transfer by any Lender not in accordance with this </w:t>
      </w:r>
      <w:r>
        <w:rPr>
          <w:rFonts w:ascii="Arial" w:cs="Arial" w:eastAsia="Arial" w:hAnsi="Arial"/>
          <w:sz w:val="19"/>
          <w:szCs w:val="19"/>
          <w:u w:val="single" w:color="auto"/>
          <w:color w:val="auto"/>
        </w:rPr>
        <w:t>Section 12.06</w:t>
      </w:r>
      <w:r>
        <w:rPr>
          <w:rFonts w:ascii="Arial" w:cs="Arial" w:eastAsia="Arial" w:hAnsi="Arial"/>
          <w:sz w:val="19"/>
          <w:szCs w:val="19"/>
          <w:color w:val="auto"/>
        </w:rPr>
        <w:t xml:space="preserve"> shall be null and void. Nothing in this Loan Agreement, expressed or implied, shall be construed to confer upon any Person (other than the parties hereto,</w:t>
      </w:r>
    </w:p>
    <w:p>
      <w:pPr>
        <w:sectPr>
          <w:pgSz w:w="11900" w:h="16838" w:orient="portrait"/>
          <w:cols w:equalWidth="0" w:num="1">
            <w:col w:w="11240"/>
          </w:cols>
          <w:pgMar w:left="320" w:top="1401" w:right="339" w:bottom="1440" w:gutter="0" w:footer="0" w:header="0"/>
        </w:sectPr>
      </w:pPr>
    </w:p>
    <w:bookmarkStart w:id="189" w:name="page190"/>
    <w:bookmarkEnd w:id="189"/>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their respective successors and assigns permitted hereby, Participants (to the extent provided in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12.06</w:t>
      </w:r>
      <w:r>
        <w:rPr>
          <w:rFonts w:ascii="Arial" w:cs="Arial" w:eastAsia="Arial" w:hAnsi="Arial"/>
          <w:sz w:val="19"/>
          <w:szCs w:val="19"/>
          <w:color w:val="auto"/>
        </w:rPr>
        <w:t>) and, to the extent expressly contemplated hereby, the Related Parties of each of the Agents, the Lenders and the other Secured Parties) any legal or equitable right, remedy or claim under or by reason of this Loan Agreement. Notwithstanding anything to the contrary herein, (a) any Lender shall be permitted to pledge or grant a security interest in all or any portion of such Lender’s rights hereunder including, but not limited to, any Loans (without the consent of, or notice to or any other action by, any other party hereto) to secure the obligations of such Lender or any of its Affiliates to any Person providing any loan, letter of credit or other extension of credit to or for the account of such Lender or any of its Affiliates and (b) the Agents shall be permitted to pledge or grant a security interest in all or any portion of their respective rights hereunder or under the other Loan Documents, including, but not limited to, rights to payment (without the consent of, or notice to or any other action by, any other party hereto), to secure the obligations of such Agent or any of its Affiliates to any Person providing any loan, letter of credit or other extension of credit to or for the account of such Agent or any of its Affiliates.</w:t>
      </w:r>
    </w:p>
    <w:p>
      <w:pPr>
        <w:spacing w:after="0" w:line="159" w:lineRule="exact"/>
        <w:rPr>
          <w:sz w:val="20"/>
          <w:szCs w:val="20"/>
          <w:color w:val="auto"/>
        </w:rPr>
      </w:pPr>
    </w:p>
    <w:p>
      <w:pPr>
        <w:jc w:val="both"/>
        <w:ind w:firstLine="1952"/>
        <w:spacing w:after="0" w:line="218" w:lineRule="auto"/>
        <w:tabs>
          <w:tab w:leader="none" w:pos="2414"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(i) Subject to the conditions set forth in </w:t>
      </w:r>
      <w:r>
        <w:rPr>
          <w:rFonts w:ascii="Arial" w:cs="Arial" w:eastAsia="Arial" w:hAnsi="Arial"/>
          <w:sz w:val="22"/>
          <w:szCs w:val="22"/>
          <w:u w:val="single" w:color="auto"/>
          <w:color w:val="auto"/>
        </w:rPr>
        <w:t>Section 12.06(b)(ii)</w:t>
      </w:r>
      <w:r>
        <w:rPr>
          <w:rFonts w:ascii="Arial" w:cs="Arial" w:eastAsia="Arial" w:hAnsi="Arial"/>
          <w:sz w:val="22"/>
          <w:szCs w:val="22"/>
          <w:color w:val="auto"/>
        </w:rPr>
        <w:t xml:space="preserve"> below, any Lender may assign to one or more assignees (other than to any natural person, any Loan Party or to any Affiliate of any Loan Party, or any Person that is a Disqualified Institution) all or a portion of its rights and obligations under this Loan Agreement (including all or a portion of its Commitments and the Loans at the time owing to it) with the prior written consent of:</w:t>
      </w:r>
    </w:p>
    <w:p>
      <w:pPr>
        <w:spacing w:after="0" w:line="160" w:lineRule="exact"/>
        <w:rPr>
          <w:rFonts w:ascii="Arial" w:cs="Arial" w:eastAsia="Arial" w:hAnsi="Arial"/>
          <w:sz w:val="22"/>
          <w:szCs w:val="22"/>
          <w:color w:val="auto"/>
        </w:rPr>
      </w:pPr>
    </w:p>
    <w:p>
      <w:pPr>
        <w:jc w:val="both"/>
        <w:ind w:left="1300" w:firstLine="1948"/>
        <w:spacing w:after="0" w:line="212" w:lineRule="auto"/>
        <w:tabs>
          <w:tab w:leader="none" w:pos="3921" w:val="left"/>
        </w:tabs>
        <w:numPr>
          <w:ilvl w:val="2"/>
          <w:numId w:val="239"/>
        </w:numPr>
        <w:rPr>
          <w:rFonts w:ascii="Arial" w:cs="Arial" w:eastAsia="Arial" w:hAnsi="Arial"/>
          <w:sz w:val="22"/>
          <w:szCs w:val="22"/>
          <w:color w:val="auto"/>
        </w:rPr>
      </w:pPr>
      <w:r>
        <w:rPr>
          <w:rFonts w:ascii="Arial" w:cs="Arial" w:eastAsia="Arial" w:hAnsi="Arial"/>
          <w:sz w:val="22"/>
          <w:szCs w:val="22"/>
          <w:color w:val="auto"/>
        </w:rPr>
        <w:t xml:space="preserve">the Borrower, which consent shall not be unreasonably withheld, conditioned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(1) no consent of the Borrower shall be required for an assignment to a Lender, to an Affiliate of a Lender, to an Approved Fund or, if a Default or Event of Default has occurred and is continuing, to any other assignee and (2) the Borrower shall be deemed to have consented to any such assignment (and shall not be a party to or be required to sign any Assignment and Acceptance related thereto) unless it objects thereto by written notice delivered to the Administrative Agent within ten (10) Business Days after having received notice thereof; and</w:t>
      </w:r>
    </w:p>
    <w:p>
      <w:pPr>
        <w:spacing w:after="0" w:line="163" w:lineRule="exact"/>
        <w:rPr>
          <w:rFonts w:ascii="Arial" w:cs="Arial" w:eastAsia="Arial" w:hAnsi="Arial"/>
          <w:sz w:val="22"/>
          <w:szCs w:val="22"/>
          <w:color w:val="auto"/>
        </w:rPr>
      </w:pPr>
    </w:p>
    <w:p>
      <w:pPr>
        <w:jc w:val="both"/>
        <w:ind w:left="1300" w:firstLine="1948"/>
        <w:spacing w:after="0" w:line="223" w:lineRule="auto"/>
        <w:tabs>
          <w:tab w:leader="none" w:pos="4009" w:val="left"/>
        </w:tabs>
        <w:numPr>
          <w:ilvl w:val="2"/>
          <w:numId w:val="239"/>
        </w:numPr>
        <w:rPr>
          <w:rFonts w:ascii="Arial" w:cs="Arial" w:eastAsia="Arial" w:hAnsi="Arial"/>
          <w:sz w:val="22"/>
          <w:szCs w:val="22"/>
          <w:color w:val="auto"/>
        </w:rPr>
      </w:pPr>
      <w:r>
        <w:rPr>
          <w:rFonts w:ascii="Arial" w:cs="Arial" w:eastAsia="Arial" w:hAnsi="Arial"/>
          <w:sz w:val="22"/>
          <w:szCs w:val="22"/>
          <w:color w:val="auto"/>
        </w:rPr>
        <w:t xml:space="preserve">the Administrative Agent, which consent shall not be unreasonably withheld, conditioned, delayed or burdened; </w:t>
      </w:r>
      <w:r>
        <w:rPr>
          <w:rFonts w:ascii="Arial" w:cs="Arial" w:eastAsia="Arial" w:hAnsi="Arial"/>
          <w:sz w:val="22"/>
          <w:szCs w:val="22"/>
          <w:u w:val="single" w:color="auto"/>
          <w:color w:val="auto"/>
        </w:rPr>
        <w:t>provided</w:t>
      </w:r>
      <w:r>
        <w:rPr>
          <w:rFonts w:ascii="Arial" w:cs="Arial" w:eastAsia="Arial" w:hAnsi="Arial"/>
          <w:sz w:val="22"/>
          <w:szCs w:val="22"/>
          <w:color w:val="auto"/>
        </w:rPr>
        <w:t>, that no consent of the Administrative Agent shall be required for an assignment to a Lender, to an Affiliate of a Lender, or to an Approved Fund.</w:t>
      </w:r>
    </w:p>
    <w:p>
      <w:pPr>
        <w:spacing w:after="0" w:line="158" w:lineRule="exact"/>
        <w:rPr>
          <w:rFonts w:ascii="Arial" w:cs="Arial" w:eastAsia="Arial" w:hAnsi="Arial"/>
          <w:sz w:val="22"/>
          <w:szCs w:val="22"/>
          <w:color w:val="auto"/>
        </w:rPr>
      </w:pPr>
    </w:p>
    <w:p>
      <w:pPr>
        <w:ind w:left="3080" w:hanging="480"/>
        <w:spacing w:after="0"/>
        <w:tabs>
          <w:tab w:leader="none" w:pos="30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Assignments by Lenders shall be subject to the following additional conditions:</w:t>
      </w:r>
    </w:p>
    <w:p>
      <w:pPr>
        <w:spacing w:after="0" w:line="179" w:lineRule="exact"/>
        <w:rPr>
          <w:rFonts w:ascii="Arial" w:cs="Arial" w:eastAsia="Arial" w:hAnsi="Arial"/>
          <w:sz w:val="22"/>
          <w:szCs w:val="22"/>
          <w:color w:val="auto"/>
        </w:rPr>
      </w:pPr>
    </w:p>
    <w:p>
      <w:pPr>
        <w:jc w:val="both"/>
        <w:ind w:left="1300" w:firstLine="1948"/>
        <w:spacing w:after="0" w:line="220" w:lineRule="auto"/>
        <w:tabs>
          <w:tab w:leader="none" w:pos="3915" w:val="left"/>
        </w:tabs>
        <w:numPr>
          <w:ilvl w:val="2"/>
          <w:numId w:val="239"/>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an Affiliate of a Lender or an Approved Fund, or an assignment of the entire remaining amount of the assigning Lender’s Commitments or Loans, the amount of the (i) Loans of the assigning Lender subject to each such assignment (determined as of the date the Assignment and Acceptance with respect to such assignment is recorded in the Register by the Administrative Agent) shall not be less than $500,000, unless each of the Borrower and the Administrative Agent otherwise consent, which consent, in each case, shall not be unreasonably withheld, delayed, conditioned or burdened;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consent of the Borrower shall be required if a Default or Event of Default has occurred and is continuing; and provided, further, that contemporaneous assignments to a single assignee made by affiliated Lenders or related Approved Funds, and contemporaneous assignments by a single assignor to affiliated</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77" w:lineRule="exact"/>
        <w:rPr>
          <w:sz w:val="20"/>
          <w:szCs w:val="20"/>
          <w:color w:val="auto"/>
        </w:rPr>
      </w:pPr>
    </w:p>
    <w:p>
      <w:pPr>
        <w:ind w:left="180"/>
        <w:spacing w:after="0" w:line="232" w:lineRule="auto"/>
        <w:rPr>
          <w:sz w:val="20"/>
          <w:szCs w:val="20"/>
          <w:color w:val="auto"/>
        </w:rPr>
      </w:pPr>
      <w:r>
        <w:rPr>
          <w:rFonts w:ascii="Arial" w:cs="Arial" w:eastAsia="Arial" w:hAnsi="Arial"/>
          <w:sz w:val="22"/>
          <w:szCs w:val="22"/>
          <w:color w:val="auto"/>
        </w:rPr>
        <w:t>Lenders or related Approved Funds, shall in each case be aggregated for purposes of meeting the minimum assignment amount requirements stated above;</w:t>
      </w:r>
    </w:p>
    <w:p>
      <w:pPr>
        <w:spacing w:after="0" w:line="159" w:lineRule="exact"/>
        <w:rPr>
          <w:sz w:val="20"/>
          <w:szCs w:val="20"/>
          <w:color w:val="auto"/>
        </w:rPr>
      </w:pPr>
    </w:p>
    <w:p>
      <w:pPr>
        <w:jc w:val="both"/>
        <w:ind w:left="180" w:firstLine="1948"/>
        <w:spacing w:after="0" w:line="257" w:lineRule="auto"/>
        <w:tabs>
          <w:tab w:leader="none" w:pos="2674" w:val="left"/>
        </w:tabs>
        <w:numPr>
          <w:ilvl w:val="1"/>
          <w:numId w:val="240"/>
        </w:numPr>
        <w:rPr>
          <w:rFonts w:ascii="Arial" w:cs="Arial" w:eastAsia="Arial" w:hAnsi="Arial"/>
          <w:sz w:val="19"/>
          <w:szCs w:val="19"/>
          <w:color w:val="auto"/>
        </w:rPr>
      </w:pPr>
      <w:r>
        <w:rPr>
          <w:rFonts w:ascii="Arial" w:cs="Arial" w:eastAsia="Arial" w:hAnsi="Arial"/>
          <w:sz w:val="19"/>
          <w:szCs w:val="19"/>
          <w:color w:val="auto"/>
        </w:rPr>
        <w:t xml:space="preserve">each partial assignment shall be made as an assignment of a proportionate part of all the assigning Lender’s rights and obligations under this Loan Agreement as to the Loans or Commitments so assigned; </w:t>
      </w:r>
      <w:r>
        <w:rPr>
          <w:rFonts w:ascii="Arial" w:cs="Arial" w:eastAsia="Arial" w:hAnsi="Arial"/>
          <w:sz w:val="19"/>
          <w:szCs w:val="19"/>
          <w:u w:val="single" w:color="auto"/>
          <w:color w:val="auto"/>
        </w:rPr>
        <w:t>provided</w:t>
      </w:r>
      <w:r>
        <w:rPr>
          <w:rFonts w:ascii="Arial" w:cs="Arial" w:eastAsia="Arial" w:hAnsi="Arial"/>
          <w:sz w:val="19"/>
          <w:szCs w:val="19"/>
          <w:color w:val="auto"/>
        </w:rPr>
        <w:t>, that this paragraph shall not be construed to prohibit the assignment of a proportionate part of all the assigning Lender’s rights and obligations in respect its Commitments or Loans;</w:t>
      </w:r>
    </w:p>
    <w:p>
      <w:pPr>
        <w:spacing w:after="0" w:line="144" w:lineRule="exact"/>
        <w:rPr>
          <w:rFonts w:ascii="Arial" w:cs="Arial" w:eastAsia="Arial" w:hAnsi="Arial"/>
          <w:sz w:val="19"/>
          <w:szCs w:val="19"/>
          <w:color w:val="auto"/>
        </w:rPr>
      </w:pPr>
    </w:p>
    <w:p>
      <w:pPr>
        <w:jc w:val="both"/>
        <w:ind w:left="180" w:firstLine="1948"/>
        <w:spacing w:after="0" w:line="212" w:lineRule="auto"/>
        <w:tabs>
          <w:tab w:leader="none" w:pos="2691" w:val="left"/>
        </w:tabs>
        <w:numPr>
          <w:ilvl w:val="1"/>
          <w:numId w:val="240"/>
        </w:numPr>
        <w:rPr>
          <w:rFonts w:ascii="Arial" w:cs="Arial" w:eastAsia="Arial" w:hAnsi="Arial"/>
          <w:sz w:val="22"/>
          <w:szCs w:val="22"/>
          <w:color w:val="auto"/>
        </w:rPr>
      </w:pPr>
      <w:r>
        <w:rPr>
          <w:rFonts w:ascii="Arial" w:cs="Arial" w:eastAsia="Arial" w:hAnsi="Arial"/>
          <w:sz w:val="22"/>
          <w:szCs w:val="22"/>
          <w:color w:val="auto"/>
        </w:rPr>
        <w:t xml:space="preserve">the parties to each assignment shall execute and deliver to the Administrative Agent an Assignment and Acceptance, together with a processing and recordation fee of $3,500, a completed Administrative Questionnaire and all required “know your customer” documentation, documentation and information related to anti-money laundering rules and regulations, including the USA Patriot Act, the Beneficial Ownership Regulation and Anti-Terrorism Laws, including an IRS Form W-9 and all applicable tax forms; </w:t>
      </w:r>
      <w:r>
        <w:rPr>
          <w:rFonts w:ascii="Arial" w:cs="Arial" w:eastAsia="Arial" w:hAnsi="Arial"/>
          <w:sz w:val="22"/>
          <w:szCs w:val="22"/>
          <w:u w:val="single" w:color="auto"/>
          <w:color w:val="auto"/>
        </w:rPr>
        <w:t>provided</w:t>
      </w:r>
      <w:r>
        <w:rPr>
          <w:rFonts w:ascii="Arial" w:cs="Arial" w:eastAsia="Arial" w:hAnsi="Arial"/>
          <w:sz w:val="22"/>
          <w:szCs w:val="22"/>
          <w:color w:val="auto"/>
        </w:rPr>
        <w:t>, that only one such fee shall be payable in connection with simultaneous assignments to two or more Approved Funds;</w:t>
      </w:r>
    </w:p>
    <w:p>
      <w:pPr>
        <w:spacing w:after="0" w:line="163" w:lineRule="exact"/>
        <w:rPr>
          <w:rFonts w:ascii="Arial" w:cs="Arial" w:eastAsia="Arial" w:hAnsi="Arial"/>
          <w:sz w:val="22"/>
          <w:szCs w:val="22"/>
          <w:color w:val="auto"/>
        </w:rPr>
      </w:pPr>
    </w:p>
    <w:p>
      <w:pPr>
        <w:jc w:val="both"/>
        <w:ind w:left="180" w:firstLine="1948"/>
        <w:spacing w:after="0" w:line="223" w:lineRule="auto"/>
        <w:tabs>
          <w:tab w:leader="none" w:pos="2646" w:val="left"/>
        </w:tabs>
        <w:numPr>
          <w:ilvl w:val="1"/>
          <w:numId w:val="240"/>
        </w:numPr>
        <w:rPr>
          <w:rFonts w:ascii="Arial" w:cs="Arial" w:eastAsia="Arial" w:hAnsi="Arial"/>
          <w:sz w:val="22"/>
          <w:szCs w:val="22"/>
          <w:color w:val="auto"/>
        </w:rPr>
      </w:pPr>
      <w:r>
        <w:rPr>
          <w:rFonts w:ascii="Arial" w:cs="Arial" w:eastAsia="Arial" w:hAnsi="Arial"/>
          <w:sz w:val="22"/>
          <w:szCs w:val="22"/>
          <w:color w:val="auto"/>
        </w:rPr>
        <w:t xml:space="preserve">no assignments may be made to any natural person, any Loan Party, any Subsidiary of any Loan Party, or any Affiliate of any of the foregoing Persons, and any such assignment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left="180" w:firstLine="1948"/>
        <w:spacing w:after="0" w:line="220" w:lineRule="auto"/>
        <w:tabs>
          <w:tab w:leader="none" w:pos="2660" w:val="left"/>
        </w:tabs>
        <w:numPr>
          <w:ilvl w:val="1"/>
          <w:numId w:val="240"/>
        </w:numPr>
        <w:rPr>
          <w:rFonts w:ascii="Arial" w:cs="Arial" w:eastAsia="Arial" w:hAnsi="Arial"/>
          <w:sz w:val="21"/>
          <w:szCs w:val="21"/>
          <w:color w:val="auto"/>
        </w:rPr>
      </w:pPr>
      <w:r>
        <w:rPr>
          <w:rFonts w:ascii="Arial" w:cs="Arial" w:eastAsia="Arial" w:hAnsi="Arial"/>
          <w:sz w:val="21"/>
          <w:szCs w:val="21"/>
          <w:color w:val="auto"/>
        </w:rPr>
        <w:t>absent the written consent of the Borrower (which consent may be given or withheld at the Borrower’s sole discretion), no assignment or participation may be made to any Person that was a Disqualified Institution as of the applicable Trade Date (and any such attempted assignment or participation without the Borrower’s consent shall be null and void). With respect to any assignee that becomes a Disqualified Institution after the Trade Date applicable to its assignment, (i) such assignee shall not retroactively be disqualified from having become a Lender pursuant to such assignment and (ii) such assignee will become a Disqualified Institution in accordance with the definition thereof notwithstanding the consummation of such assignment and the execution by the Borrower of an Assignment and Acceptance with respect to such assignee. Notwithstanding the foregoing, any assignment to an assignee that is a Disqualified Institution shall not be void, but the provisions of Section 12.06(e) shall apply</w:t>
      </w:r>
    </w:p>
    <w:p>
      <w:pPr>
        <w:spacing w:after="0" w:line="162" w:lineRule="exact"/>
        <w:rPr>
          <w:rFonts w:ascii="Arial" w:cs="Arial" w:eastAsia="Arial" w:hAnsi="Arial"/>
          <w:sz w:val="21"/>
          <w:szCs w:val="21"/>
          <w:color w:val="auto"/>
        </w:rPr>
      </w:pPr>
    </w:p>
    <w:p>
      <w:pPr>
        <w:jc w:val="both"/>
        <w:ind w:left="-460" w:firstLine="1940"/>
        <w:spacing w:after="0" w:line="219" w:lineRule="auto"/>
        <w:tabs>
          <w:tab w:leader="none" w:pos="2076"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w:t>
      </w:r>
      <w:r>
        <w:rPr>
          <w:rFonts w:ascii="Arial" w:cs="Arial" w:eastAsia="Arial" w:hAnsi="Arial"/>
          <w:sz w:val="21"/>
          <w:szCs w:val="21"/>
          <w:u w:val="single" w:color="auto"/>
          <w:color w:val="auto"/>
        </w:rPr>
        <w:t>Section 12.06(b)(v)</w:t>
      </w:r>
      <w:r>
        <w:rPr>
          <w:rFonts w:ascii="Arial" w:cs="Arial" w:eastAsia="Arial" w:hAnsi="Arial"/>
          <w:sz w:val="21"/>
          <w:szCs w:val="21"/>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Loan Agreement, and the assigning Lender thereunder shall, to the extent of the interest assigned by such Assignment and Acceptance, be released from its obligations under this Loan Agreement (and, in the case of an Assignment and Acceptance covering all of the assigning Lender’s rights and obligations under this Loan Agreement, such Lender shall cease to be a party hereto but shall continue to be entitled to the benefits of </w:t>
      </w:r>
      <w:r>
        <w:rPr>
          <w:rFonts w:ascii="Arial" w:cs="Arial" w:eastAsia="Arial" w:hAnsi="Arial"/>
          <w:sz w:val="21"/>
          <w:szCs w:val="21"/>
          <w:u w:val="single" w:color="auto"/>
          <w:color w:val="auto"/>
        </w:rPr>
        <w:t>Sections 2.06</w:t>
      </w:r>
      <w:r>
        <w:rPr>
          <w:rFonts w:ascii="Arial" w:cs="Arial" w:eastAsia="Arial" w:hAnsi="Arial"/>
          <w:sz w:val="21"/>
          <w:szCs w:val="21"/>
          <w:color w:val="auto"/>
        </w:rPr>
        <w:t xml:space="preserve">, </w:t>
      </w:r>
      <w:r>
        <w:rPr>
          <w:rFonts w:ascii="Arial" w:cs="Arial" w:eastAsia="Arial" w:hAnsi="Arial"/>
          <w:sz w:val="21"/>
          <w:szCs w:val="21"/>
          <w:u w:val="single" w:color="auto"/>
          <w:color w:val="auto"/>
        </w:rPr>
        <w:t>2.07</w:t>
      </w:r>
      <w:r>
        <w:rPr>
          <w:rFonts w:ascii="Arial" w:cs="Arial" w:eastAsia="Arial" w:hAnsi="Arial"/>
          <w:sz w:val="21"/>
          <w:szCs w:val="21"/>
          <w:color w:val="auto"/>
        </w:rPr>
        <w:t xml:space="preserve">, </w:t>
      </w:r>
      <w:r>
        <w:rPr>
          <w:rFonts w:ascii="Arial" w:cs="Arial" w:eastAsia="Arial" w:hAnsi="Arial"/>
          <w:sz w:val="21"/>
          <w:szCs w:val="21"/>
          <w:u w:val="single" w:color="auto"/>
          <w:color w:val="auto"/>
        </w:rPr>
        <w:t>4.04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12.05</w:t>
      </w:r>
      <w:r>
        <w:rPr>
          <w:rFonts w:ascii="Arial" w:cs="Arial" w:eastAsia="Arial" w:hAnsi="Arial"/>
          <w:sz w:val="21"/>
          <w:szCs w:val="21"/>
          <w:color w:val="auto"/>
        </w:rPr>
        <w:t xml:space="preserve"> to the extent of any amounts owed to such Lender under any of such provisions). Any assignment or transfer by a Lender of rights or obligations under this Loan Agreement that does not comply with this </w:t>
      </w:r>
      <w:r>
        <w:rPr>
          <w:rFonts w:ascii="Arial" w:cs="Arial" w:eastAsia="Arial" w:hAnsi="Arial"/>
          <w:sz w:val="21"/>
          <w:szCs w:val="21"/>
          <w:u w:val="single" w:color="auto"/>
          <w:color w:val="auto"/>
        </w:rPr>
        <w:t>Section 12.06</w:t>
      </w:r>
      <w:r>
        <w:rPr>
          <w:rFonts w:ascii="Arial" w:cs="Arial" w:eastAsia="Arial" w:hAnsi="Arial"/>
          <w:sz w:val="21"/>
          <w:szCs w:val="21"/>
          <w:color w:val="auto"/>
        </w:rPr>
        <w:t xml:space="preserve"> shall be treated for purposes of this Loan Agreement as a sale by such Lender of a participation in such rights and obligations in accordance with </w:t>
      </w:r>
      <w:r>
        <w:rPr>
          <w:rFonts w:ascii="Arial" w:cs="Arial" w:eastAsia="Arial" w:hAnsi="Arial"/>
          <w:sz w:val="21"/>
          <w:szCs w:val="21"/>
          <w:u w:val="single" w:color="auto"/>
          <w:color w:val="auto"/>
        </w:rPr>
        <w:t>Section 12.06(c)</w:t>
      </w:r>
      <w:r>
        <w:rPr>
          <w:rFonts w:ascii="Arial" w:cs="Arial" w:eastAsia="Arial" w:hAnsi="Arial"/>
          <w:sz w:val="21"/>
          <w:szCs w:val="21"/>
          <w:color w:val="auto"/>
        </w:rPr>
        <w:t>.</w:t>
      </w:r>
    </w:p>
    <w:p>
      <w:pPr>
        <w:sectPr>
          <w:pgSz w:w="11900" w:h="16838" w:orient="portrait"/>
          <w:cols w:equalWidth="0" w:num="1">
            <w:col w:w="10120"/>
          </w:cols>
          <w:pgMar w:left="1440" w:top="1440" w:right="339" w:bottom="1440" w:gutter="0" w:footer="0" w:header="0"/>
        </w:sectPr>
      </w:pPr>
    </w:p>
    <w:bookmarkStart w:id="191" w:name="page192"/>
    <w:bookmarkEnd w:id="191"/>
    <w:p>
      <w:pPr>
        <w:spacing w:after="0" w:line="177" w:lineRule="exact"/>
        <w:rPr>
          <w:sz w:val="20"/>
          <w:szCs w:val="20"/>
          <w:color w:val="auto"/>
        </w:rPr>
      </w:pPr>
    </w:p>
    <w:p>
      <w:pPr>
        <w:jc w:val="both"/>
        <w:ind w:firstLine="1940"/>
        <w:spacing w:after="0" w:line="241" w:lineRule="auto"/>
        <w:tabs>
          <w:tab w:leader="none" w:pos="2562"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The Administrative Agent, acting solely as an agent of the Borrower for tax purposes and solely with respect the actions described in this </w:t>
      </w:r>
      <w:r>
        <w:rPr>
          <w:rFonts w:ascii="Arial" w:cs="Arial" w:eastAsia="Arial" w:hAnsi="Arial"/>
          <w:sz w:val="19"/>
          <w:szCs w:val="19"/>
          <w:u w:val="single" w:color="auto"/>
          <w:color w:val="auto"/>
        </w:rPr>
        <w:t>Section 12.06(b)(iv)</w:t>
      </w:r>
      <w:r>
        <w:rPr>
          <w:rFonts w:ascii="Arial" w:cs="Arial" w:eastAsia="Arial" w:hAnsi="Arial"/>
          <w:sz w:val="19"/>
          <w:szCs w:val="19"/>
          <w:color w:val="auto"/>
        </w:rPr>
        <w:t>, shall maintain at one of its offices a copy of each Assignment and Acceptance delivered to it and a register for the recordation of the names and addresses of the Lenders, and the Commitments of, and principal amount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Borrower hereby agrees that the Administrative Agent and its Related Parties shall be indemnified in accordance with this Loan Agreement in connection with servicing in such capacity. The Register shall contain the name and address of each Lender and the lending office through which each Lender acts under this Loan Agreement. The entries in the Register shall be conclusive absent manifest error, and the Loan Parties, the Agents and the Lenders shall treat each Person whose name is recorded in the Register pursuant to the terms hereof as a Lender hereunder for all purposes of this Loan Agreement, notwithstanding notice to the contrary. The Register, as in effect at the close of business on the preceding Business Day, shall be available for inspection by the Borrower and any Lender at any reasonable time and from time to time on any Business Day upon reasonable prior written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in such capacity, have access to or be otherwise permitted to review any information in the Register other than information with respect to such Lender unless otherwise agreed by the Administrative Agent in its sole discretion. This </w:t>
      </w:r>
      <w:r>
        <w:rPr>
          <w:rFonts w:ascii="Arial" w:cs="Arial" w:eastAsia="Arial" w:hAnsi="Arial"/>
          <w:sz w:val="19"/>
          <w:szCs w:val="19"/>
          <w:u w:val="single" w:color="auto"/>
          <w:color w:val="auto"/>
        </w:rPr>
        <w:t>Section 12.06(b)(iv)</w:t>
      </w:r>
      <w:r>
        <w:rPr>
          <w:rFonts w:ascii="Arial" w:cs="Arial" w:eastAsia="Arial" w:hAnsi="Arial"/>
          <w:sz w:val="19"/>
          <w:szCs w:val="19"/>
          <w:color w:val="auto"/>
        </w:rPr>
        <w:t xml:space="preserve"> shall be construed such that the Loans are at all times maintained in “registered form” within the meaning of Sections 163(f), 871(h)(2) and 881(c)(2) of the Code.</w:t>
      </w:r>
    </w:p>
    <w:p>
      <w:pPr>
        <w:spacing w:after="0" w:line="161" w:lineRule="exact"/>
        <w:rPr>
          <w:rFonts w:ascii="Arial" w:cs="Arial" w:eastAsia="Arial" w:hAnsi="Arial"/>
          <w:sz w:val="19"/>
          <w:szCs w:val="19"/>
          <w:color w:val="auto"/>
        </w:rPr>
      </w:pPr>
    </w:p>
    <w:p>
      <w:pPr>
        <w:jc w:val="both"/>
        <w:ind w:firstLine="1940"/>
        <w:spacing w:after="0" w:line="243" w:lineRule="auto"/>
        <w:tabs>
          <w:tab w:leader="none" w:pos="2484"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Acceptance executed by an assigning Lender and an assignee (other than any natural person, any Loan Party, any Affiliate of any Loan Party or any Person that on such date of receipt is a Disqualified Institution), any written consent to such assignment required by </w:t>
      </w:r>
      <w:r>
        <w:rPr>
          <w:rFonts w:ascii="Arial" w:cs="Arial" w:eastAsia="Arial" w:hAnsi="Arial"/>
          <w:sz w:val="19"/>
          <w:szCs w:val="19"/>
          <w:u w:val="single" w:color="auto"/>
          <w:color w:val="auto"/>
        </w:rPr>
        <w:t>Section 12.06(b)</w:t>
      </w:r>
    </w:p>
    <w:p>
      <w:pPr>
        <w:spacing w:after="0" w:line="2" w:lineRule="exact"/>
        <w:rPr>
          <w:rFonts w:ascii="Arial" w:cs="Arial" w:eastAsia="Arial" w:hAnsi="Arial"/>
          <w:sz w:val="19"/>
          <w:szCs w:val="19"/>
          <w:color w:val="auto"/>
        </w:rPr>
      </w:pPr>
    </w:p>
    <w:p>
      <w:pPr>
        <w:jc w:val="both"/>
        <w:spacing w:after="0" w:line="237" w:lineRule="auto"/>
        <w:rPr>
          <w:rFonts w:ascii="Arial" w:cs="Arial" w:eastAsia="Arial" w:hAnsi="Arial"/>
          <w:sz w:val="19"/>
          <w:szCs w:val="19"/>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receipt by the Administrative Agent of the processing and recordation fee of $3,500, all requested “know your customer” documents, to the extent requested by the Administrative Agent a duly completed Administrative Questionnaire and all other information and documents requested by the Administrative Agent in accordance with </w:t>
      </w:r>
      <w:r>
        <w:rPr>
          <w:rFonts w:ascii="Arial" w:cs="Arial" w:eastAsia="Arial" w:hAnsi="Arial"/>
          <w:sz w:val="19"/>
          <w:szCs w:val="19"/>
          <w:u w:val="single" w:color="auto"/>
          <w:color w:val="auto"/>
        </w:rPr>
        <w:t>Section 12.06(b)(ii)</w:t>
      </w:r>
    </w:p>
    <w:p>
      <w:pPr>
        <w:jc w:val="both"/>
        <w:spacing w:after="0" w:line="217" w:lineRule="auto"/>
        <w:rPr>
          <w:rFonts w:ascii="Arial" w:cs="Arial" w:eastAsia="Arial" w:hAnsi="Arial"/>
          <w:sz w:val="19"/>
          <w:szCs w:val="19"/>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the Administrative Agent shall accept such Assignment and Acceptance and record the information contained therein in the Register. No assignment shall be effective for purposes of this Loan Agreement unless and until it has been recorded in the Register as provided in this paragraph.</w:t>
      </w:r>
    </w:p>
    <w:p>
      <w:pPr>
        <w:spacing w:after="0" w:line="159" w:lineRule="exact"/>
        <w:rPr>
          <w:rFonts w:ascii="Arial" w:cs="Arial" w:eastAsia="Arial" w:hAnsi="Arial"/>
          <w:sz w:val="19"/>
          <w:szCs w:val="19"/>
          <w:color w:val="auto"/>
        </w:rPr>
      </w:pPr>
    </w:p>
    <w:p>
      <w:pPr>
        <w:jc w:val="both"/>
        <w:ind w:firstLine="1940"/>
        <w:spacing w:after="0" w:line="219" w:lineRule="auto"/>
        <w:tabs>
          <w:tab w:leader="none" w:pos="2646" w:val="left"/>
        </w:tabs>
        <w:numPr>
          <w:ilvl w:val="0"/>
          <w:numId w:val="242"/>
        </w:numPr>
        <w:rPr>
          <w:rFonts w:ascii="Arial" w:cs="Arial" w:eastAsia="Arial" w:hAnsi="Arial"/>
          <w:sz w:val="21"/>
          <w:szCs w:val="21"/>
          <w:color w:val="auto"/>
        </w:rPr>
      </w:pPr>
      <w:r>
        <w:rPr>
          <w:rFonts w:ascii="Arial" w:cs="Arial" w:eastAsia="Arial" w:hAnsi="Arial"/>
          <w:sz w:val="21"/>
          <w:szCs w:val="21"/>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Lender hereunder (and interest accrued thereon), and (y) acquire (and fund as appropriate) its full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Loan Agreement until such compliance occurs.</w:t>
      </w:r>
    </w:p>
    <w:p>
      <w:pPr>
        <w:sectPr>
          <w:pgSz w:w="11900" w:h="16838" w:orient="portrait"/>
          <w:cols w:equalWidth="0" w:num="1">
            <w:col w:w="10580"/>
          </w:cols>
          <w:pgMar w:left="980" w:top="1440" w:right="339" w:bottom="1440" w:gutter="0" w:footer="0" w:header="0"/>
        </w:sectPr>
      </w:pPr>
    </w:p>
    <w:bookmarkStart w:id="192" w:name="page193"/>
    <w:bookmarkEnd w:id="192"/>
    <w:p>
      <w:pPr>
        <w:spacing w:after="0" w:line="177" w:lineRule="exact"/>
        <w:rPr>
          <w:sz w:val="20"/>
          <w:szCs w:val="20"/>
          <w:color w:val="auto"/>
        </w:rPr>
      </w:pPr>
    </w:p>
    <w:p>
      <w:pPr>
        <w:jc w:val="both"/>
        <w:ind w:left="-460" w:firstLine="1940"/>
        <w:spacing w:after="0" w:line="214" w:lineRule="auto"/>
        <w:tabs>
          <w:tab w:leader="none" w:pos="2089"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58" w:lineRule="exact"/>
        <w:rPr>
          <w:rFonts w:ascii="Arial" w:cs="Arial" w:eastAsia="Arial" w:hAnsi="Arial"/>
          <w:sz w:val="22"/>
          <w:szCs w:val="22"/>
          <w:color w:val="auto"/>
        </w:rPr>
      </w:pPr>
    </w:p>
    <w:p>
      <w:pPr>
        <w:jc w:val="both"/>
        <w:ind w:left="-1120" w:firstLine="1952"/>
        <w:spacing w:after="0" w:line="241" w:lineRule="auto"/>
        <w:tabs>
          <w:tab w:leader="none" w:pos="1296" w:val="left"/>
        </w:tabs>
        <w:numPr>
          <w:ilvl w:val="0"/>
          <w:numId w:val="244"/>
        </w:numPr>
        <w:rPr>
          <w:rFonts w:ascii="Arial" w:cs="Arial" w:eastAsia="Arial" w:hAnsi="Arial"/>
          <w:sz w:val="19"/>
          <w:szCs w:val="19"/>
          <w:color w:val="auto"/>
        </w:rPr>
      </w:pPr>
      <w:r>
        <w:rPr>
          <w:rFonts w:ascii="Arial" w:cs="Arial" w:eastAsia="Arial" w:hAnsi="Arial"/>
          <w:sz w:val="19"/>
          <w:szCs w:val="19"/>
          <w:color w:val="FF0000"/>
          <w:strike w:val="1"/>
        </w:rPr>
        <w:t>(i)</w:t>
      </w:r>
      <w:r>
        <w:rPr>
          <w:rFonts w:ascii="Arial" w:cs="Arial" w:eastAsia="Arial" w:hAnsi="Arial"/>
          <w:sz w:val="19"/>
          <w:szCs w:val="19"/>
          <w:u w:val="single" w:color="auto"/>
          <w:color w:val="0000FF"/>
        </w:rPr>
        <w:t>(i)</w:t>
      </w:r>
      <w:r>
        <w:rPr>
          <w:rFonts w:ascii="Arial" w:cs="Arial" w:eastAsia="Arial" w:hAnsi="Arial"/>
          <w:sz w:val="19"/>
          <w:szCs w:val="19"/>
          <w:color w:val="FF0000"/>
        </w:rPr>
        <w:t xml:space="preserve"> </w:t>
      </w:r>
      <w:r>
        <w:rPr>
          <w:rFonts w:ascii="Arial" w:cs="Arial" w:eastAsia="Arial" w:hAnsi="Arial"/>
          <w:sz w:val="19"/>
          <w:szCs w:val="19"/>
          <w:color w:val="000000"/>
        </w:rPr>
        <w:t>Any Lender may, without the consent of the Borrower or the Agents, sell participations to one</w:t>
      </w:r>
      <w:r>
        <w:rPr>
          <w:rFonts w:ascii="Arial" w:cs="Arial" w:eastAsia="Arial" w:hAnsi="Arial"/>
          <w:sz w:val="19"/>
          <w:szCs w:val="19"/>
          <w:color w:val="FF0000"/>
        </w:rPr>
        <w:t xml:space="preserve"> </w:t>
      </w:r>
      <w:r>
        <w:rPr>
          <w:rFonts w:ascii="Arial" w:cs="Arial" w:eastAsia="Arial" w:hAnsi="Arial"/>
          <w:sz w:val="19"/>
          <w:szCs w:val="19"/>
          <w:color w:val="000000"/>
        </w:rPr>
        <w:t>or more banks or other entities other than to any natural person, any Loan Party or to any Affiliate of any Loan Party, or any Person that is a Disqualified Institution) (each, a “</w:t>
      </w:r>
      <w:r>
        <w:rPr>
          <w:rFonts w:ascii="Arial" w:cs="Arial" w:eastAsia="Arial" w:hAnsi="Arial"/>
          <w:sz w:val="19"/>
          <w:szCs w:val="19"/>
          <w:u w:val="single" w:color="auto"/>
          <w:color w:val="000000"/>
        </w:rPr>
        <w:t>Participan</w:t>
      </w:r>
      <w:r>
        <w:rPr>
          <w:rFonts w:ascii="Arial" w:cs="Arial" w:eastAsia="Arial" w:hAnsi="Arial"/>
          <w:sz w:val="19"/>
          <w:szCs w:val="19"/>
          <w:color w:val="000000"/>
        </w:rPr>
        <w:t xml:space="preserve">t”) in all or a portion of such Lender’s rights and obligations under this Loan Agreement (including all or a portion of its Commitments and the Loans owing to it);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 such Lender’s obligations under this Loan Agreement shall remain unchanged, (B) such Lender shall remain solely responsible to the other parties hereto for the performance of such obligations, and (C) the Borrower, the Agents and the other Lenders shall continue to deal solely and directly with such Lender in connection with such Lender’s rights and obligations under this Loan Agreement. Any agreement or instrument pursuant to which a Lender sells such a participation shall provide that such Lender shall retain the sole right to enforce this Loan Agreement and to approve any amendment, modification or waiver of any provision of this Loan Agreement or any other Loan Document;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such agreement or instrument may provide that such Lender will not, without the consent of the Participant, agree to any amendment, modification or waiver described in </w:t>
      </w:r>
      <w:r>
        <w:rPr>
          <w:rFonts w:ascii="Arial" w:cs="Arial" w:eastAsia="Arial" w:hAnsi="Arial"/>
          <w:sz w:val="19"/>
          <w:szCs w:val="19"/>
          <w:u w:val="single" w:color="auto"/>
          <w:color w:val="000000"/>
        </w:rPr>
        <w:t>Sections 12.01(b)(i)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12.01(b)(ii)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12.01(b)(iii)</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12.01(b)(iv)</w:t>
      </w:r>
      <w:r>
        <w:rPr>
          <w:rFonts w:ascii="Arial" w:cs="Arial" w:eastAsia="Arial" w:hAnsi="Arial"/>
          <w:sz w:val="19"/>
          <w:szCs w:val="19"/>
          <w:color w:val="000000"/>
        </w:rPr>
        <w:t xml:space="preserve">. Subject to </w:t>
      </w:r>
      <w:r>
        <w:rPr>
          <w:rFonts w:ascii="Arial" w:cs="Arial" w:eastAsia="Arial" w:hAnsi="Arial"/>
          <w:sz w:val="19"/>
          <w:szCs w:val="19"/>
          <w:u w:val="single" w:color="auto"/>
          <w:color w:val="000000"/>
        </w:rPr>
        <w:t>Section 12.06(c)(ii)</w:t>
      </w:r>
      <w:r>
        <w:rPr>
          <w:rFonts w:ascii="Arial" w:cs="Arial" w:eastAsia="Arial" w:hAnsi="Arial"/>
          <w:sz w:val="19"/>
          <w:szCs w:val="19"/>
          <w:color w:val="000000"/>
        </w:rPr>
        <w:t xml:space="preserve">, the Borrower agrees that each Participant shall be entitled to the benefits of </w:t>
      </w:r>
      <w:r>
        <w:rPr>
          <w:rFonts w:ascii="Arial" w:cs="Arial" w:eastAsia="Arial" w:hAnsi="Arial"/>
          <w:sz w:val="19"/>
          <w:szCs w:val="19"/>
          <w:u w:val="single" w:color="auto"/>
          <w:color w:val="000000"/>
        </w:rPr>
        <w:t>Sections 2.06</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2.07</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4.04</w:t>
      </w:r>
      <w:r>
        <w:rPr>
          <w:rFonts w:ascii="Arial" w:cs="Arial" w:eastAsia="Arial" w:hAnsi="Arial"/>
          <w:sz w:val="19"/>
          <w:szCs w:val="19"/>
          <w:color w:val="000000"/>
        </w:rPr>
        <w:t xml:space="preserve"> to the same extent as if it were a Lender and had acquired its interest by assignment pursuant to </w:t>
      </w:r>
      <w:r>
        <w:rPr>
          <w:rFonts w:ascii="Arial" w:cs="Arial" w:eastAsia="Arial" w:hAnsi="Arial"/>
          <w:sz w:val="19"/>
          <w:szCs w:val="19"/>
          <w:u w:val="single" w:color="auto"/>
          <w:color w:val="000000"/>
        </w:rPr>
        <w:t>Section 12.06(b)</w:t>
      </w:r>
      <w:r>
        <w:rPr>
          <w:rFonts w:ascii="Arial" w:cs="Arial" w:eastAsia="Arial" w:hAnsi="Arial"/>
          <w:sz w:val="19"/>
          <w:szCs w:val="19"/>
          <w:color w:val="000000"/>
        </w:rPr>
        <w:t xml:space="preserve">. To the extent permitted by Applicable Law, each Participant also shall be entitled to the benefits of </w:t>
      </w:r>
      <w:r>
        <w:rPr>
          <w:rFonts w:ascii="Arial" w:cs="Arial" w:eastAsia="Arial" w:hAnsi="Arial"/>
          <w:sz w:val="19"/>
          <w:szCs w:val="19"/>
          <w:u w:val="single" w:color="auto"/>
          <w:color w:val="000000"/>
        </w:rPr>
        <w:t>Section 12.09(b)</w:t>
      </w:r>
      <w:r>
        <w:rPr>
          <w:rFonts w:ascii="Arial" w:cs="Arial" w:eastAsia="Arial" w:hAnsi="Arial"/>
          <w:sz w:val="19"/>
          <w:szCs w:val="19"/>
          <w:color w:val="000000"/>
        </w:rPr>
        <w:t xml:space="preserve"> as if it were a Lender;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such Participant agrees to be subject to </w:t>
      </w:r>
      <w:r>
        <w:rPr>
          <w:rFonts w:ascii="Arial" w:cs="Arial" w:eastAsia="Arial" w:hAnsi="Arial"/>
          <w:sz w:val="19"/>
          <w:szCs w:val="19"/>
          <w:u w:val="single" w:color="auto"/>
          <w:color w:val="000000"/>
        </w:rPr>
        <w:t>Section 12.09(a)</w:t>
      </w:r>
      <w:r>
        <w:rPr>
          <w:rFonts w:ascii="Arial" w:cs="Arial" w:eastAsia="Arial" w:hAnsi="Arial"/>
          <w:sz w:val="19"/>
          <w:szCs w:val="19"/>
          <w:color w:val="000000"/>
        </w:rPr>
        <w:t xml:space="preserve"> as if it were a Lender.</w:t>
      </w:r>
    </w:p>
    <w:p>
      <w:pPr>
        <w:spacing w:after="0" w:line="381" w:lineRule="exact"/>
        <w:rPr>
          <w:rFonts w:ascii="Arial" w:cs="Arial" w:eastAsia="Arial" w:hAnsi="Arial"/>
          <w:sz w:val="19"/>
          <w:szCs w:val="19"/>
          <w:color w:val="auto"/>
        </w:rPr>
      </w:pPr>
    </w:p>
    <w:p>
      <w:pPr>
        <w:jc w:val="both"/>
        <w:ind w:left="-460" w:firstLine="1940"/>
        <w:spacing w:after="0" w:line="226" w:lineRule="auto"/>
        <w:tabs>
          <w:tab w:leader="none" w:pos="1930" w:val="left"/>
        </w:tabs>
        <w:numPr>
          <w:ilvl w:val="1"/>
          <w:numId w:val="244"/>
        </w:numPr>
        <w:rPr>
          <w:rFonts w:ascii="Arial" w:cs="Arial" w:eastAsia="Arial" w:hAnsi="Arial"/>
          <w:sz w:val="21"/>
          <w:szCs w:val="21"/>
          <w:color w:val="0000FF"/>
        </w:rPr>
      </w:pPr>
      <w:r>
        <w:rPr>
          <w:rFonts w:ascii="Arial" w:cs="Arial" w:eastAsia="Arial" w:hAnsi="Arial"/>
          <w:sz w:val="21"/>
          <w:szCs w:val="21"/>
          <w:color w:val="FF0000"/>
          <w:strike w:val="1"/>
        </w:rPr>
        <w:t>(i)</w:t>
      </w:r>
      <w:r>
        <w:rPr>
          <w:rFonts w:ascii="Arial" w:cs="Arial" w:eastAsia="Arial" w:hAnsi="Arial"/>
          <w:sz w:val="21"/>
          <w:szCs w:val="21"/>
          <w:color w:val="FF0000"/>
        </w:rPr>
        <w:t xml:space="preserve"> </w:t>
      </w:r>
      <w:r>
        <w:rPr>
          <w:rFonts w:ascii="Arial" w:cs="Arial" w:eastAsia="Arial" w:hAnsi="Arial"/>
          <w:sz w:val="21"/>
          <w:szCs w:val="21"/>
          <w:color w:val="000000"/>
        </w:rPr>
        <w:t>A Participant shall not be entitled to receive any greater payment under</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Sections 2.06</w:t>
      </w:r>
      <w:r>
        <w:rPr>
          <w:rFonts w:ascii="Arial" w:cs="Arial" w:eastAsia="Arial" w:hAnsi="Arial"/>
          <w:sz w:val="21"/>
          <w:szCs w:val="21"/>
          <w:color w:val="000000"/>
        </w:rPr>
        <w:t>,</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2.07</w:t>
      </w:r>
      <w:r>
        <w:rPr>
          <w:rFonts w:ascii="Arial" w:cs="Arial" w:eastAsia="Arial" w:hAnsi="Arial"/>
          <w:sz w:val="21"/>
          <w:szCs w:val="21"/>
          <w:color w:val="FF0000"/>
        </w:rPr>
        <w:t xml:space="preserve"> </w:t>
      </w:r>
      <w:r>
        <w:rPr>
          <w:rFonts w:ascii="Arial" w:cs="Arial" w:eastAsia="Arial" w:hAnsi="Arial"/>
          <w:sz w:val="21"/>
          <w:szCs w:val="21"/>
          <w:color w:val="000000"/>
        </w:rPr>
        <w:t xml:space="preserve">or </w:t>
      </w:r>
      <w:r>
        <w:rPr>
          <w:rFonts w:ascii="Arial" w:cs="Arial" w:eastAsia="Arial" w:hAnsi="Arial"/>
          <w:sz w:val="21"/>
          <w:szCs w:val="21"/>
          <w:u w:val="single" w:color="auto"/>
          <w:color w:val="000000"/>
        </w:rPr>
        <w:t>4.04</w:t>
      </w:r>
      <w:r>
        <w:rPr>
          <w:rFonts w:ascii="Arial" w:cs="Arial" w:eastAsia="Arial" w:hAnsi="Arial"/>
          <w:sz w:val="21"/>
          <w:szCs w:val="21"/>
          <w:color w:val="000000"/>
        </w:rPr>
        <w:t xml:space="preserve"> than the applicable Lender would have been entitled to receive with respect to the participation sold to such Participant, unless the sale of the participation to such Participant is made with the Borrower’s prior written consent. The Borrower agrees that each Participant shall be entitled to the benefits of </w:t>
      </w:r>
      <w:r>
        <w:rPr>
          <w:rFonts w:ascii="Arial" w:cs="Arial" w:eastAsia="Arial" w:hAnsi="Arial"/>
          <w:sz w:val="21"/>
          <w:szCs w:val="21"/>
          <w:u w:val="single" w:color="auto"/>
          <w:color w:val="000000"/>
        </w:rPr>
        <w:t>Section 4.04</w:t>
      </w:r>
      <w:r>
        <w:rPr>
          <w:rFonts w:ascii="Arial" w:cs="Arial" w:eastAsia="Arial" w:hAnsi="Arial"/>
          <w:sz w:val="21"/>
          <w:szCs w:val="21"/>
          <w:color w:val="000000"/>
        </w:rPr>
        <w:t xml:space="preserve"> so long as the documentation required by </w:t>
      </w:r>
      <w:r>
        <w:rPr>
          <w:rFonts w:ascii="Arial" w:cs="Arial" w:eastAsia="Arial" w:hAnsi="Arial"/>
          <w:sz w:val="21"/>
          <w:szCs w:val="21"/>
          <w:u w:val="single" w:color="auto"/>
          <w:color w:val="000000"/>
        </w:rPr>
        <w:t>Section 4.04(f)</w:t>
      </w:r>
      <w:r>
        <w:rPr>
          <w:rFonts w:ascii="Arial" w:cs="Arial" w:eastAsia="Arial" w:hAnsi="Arial"/>
          <w:sz w:val="21"/>
          <w:szCs w:val="21"/>
          <w:color w:val="000000"/>
        </w:rPr>
        <w:t xml:space="preserve"> is delivered by the participant to the participating Lender.</w:t>
      </w:r>
    </w:p>
    <w:p>
      <w:pPr>
        <w:spacing w:after="0" w:line="159" w:lineRule="exact"/>
        <w:rPr>
          <w:rFonts w:ascii="Arial" w:cs="Arial" w:eastAsia="Arial" w:hAnsi="Arial"/>
          <w:sz w:val="21"/>
          <w:szCs w:val="21"/>
          <w:color w:val="0000FF"/>
        </w:rPr>
      </w:pPr>
    </w:p>
    <w:p>
      <w:pPr>
        <w:jc w:val="both"/>
        <w:ind w:left="-460" w:firstLine="1940"/>
        <w:spacing w:after="0" w:line="243" w:lineRule="auto"/>
        <w:tabs>
          <w:tab w:leader="none" w:pos="2116" w:val="left"/>
        </w:tabs>
        <w:numPr>
          <w:ilvl w:val="1"/>
          <w:numId w:val="244"/>
        </w:numPr>
        <w:rPr>
          <w:rFonts w:ascii="Arial" w:cs="Arial" w:eastAsia="Arial" w:hAnsi="Arial"/>
          <w:sz w:val="19"/>
          <w:szCs w:val="19"/>
          <w:color w:val="0000FF"/>
        </w:rPr>
      </w:pPr>
      <w:r>
        <w:rPr>
          <w:rFonts w:ascii="Arial" w:cs="Arial" w:eastAsia="Arial" w:hAnsi="Arial"/>
          <w:sz w:val="19"/>
          <w:szCs w:val="19"/>
          <w:color w:val="FF0000"/>
          <w:strike w:val="1"/>
        </w:rPr>
        <w:t>(ii)</w:t>
      </w:r>
      <w:r>
        <w:rPr>
          <w:rFonts w:ascii="Arial" w:cs="Arial" w:eastAsia="Arial" w:hAnsi="Arial"/>
          <w:sz w:val="19"/>
          <w:szCs w:val="19"/>
          <w:color w:val="FF0000"/>
        </w:rPr>
        <w:t xml:space="preserve"> </w:t>
      </w:r>
      <w:r>
        <w:rPr>
          <w:rFonts w:ascii="Arial" w:cs="Arial" w:eastAsia="Arial" w:hAnsi="Arial"/>
          <w:sz w:val="19"/>
          <w:szCs w:val="19"/>
          <w:color w:val="000000"/>
        </w:rPr>
        <w:t>Each Lender that sells a participation shall, acting solely for this purpose as a non-fiduciary agent of the Borrower, maintain at one of its offices in the United States a register on which it enters the name and address of each Participant and the principal amounts (and stated interest) of each Participant’s interest in such Lender’s Loans or other obligations under the Loan Documents (the “</w:t>
      </w:r>
      <w:r>
        <w:rPr>
          <w:rFonts w:ascii="Arial" w:cs="Arial" w:eastAsia="Arial" w:hAnsi="Arial"/>
          <w:sz w:val="19"/>
          <w:szCs w:val="19"/>
          <w:u w:val="single" w:color="auto"/>
          <w:color w:val="000000"/>
        </w:rPr>
        <w:t>Participant Register</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000000"/>
        </w:rPr>
        <w:t>). The entries in each Participant Register shall be conclusive absent manifest error, and the applicable Lender shall treat each person whose name is recorded in the Participant Register as the owner of such participation for all purposes of this Loan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Administrative Agent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-2225040</wp:posOffset>
            </wp:positionV>
            <wp:extent cx="2832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-1402080</wp:posOffset>
            </wp:positionV>
            <wp:extent cx="401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401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93" w:name="page194"/>
    <w:bookmarkEnd w:id="193"/>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have no responsibility for maintaining any Participant Register, and any notices or other documents required to be delivered by the Loan Parties shall be deemed to be delivered to a Participant upon actual delivery to the Lender that sold the participation to such Participant.</w:t>
      </w:r>
    </w:p>
    <w:p>
      <w:pPr>
        <w:spacing w:after="0" w:line="159" w:lineRule="exact"/>
        <w:rPr>
          <w:sz w:val="20"/>
          <w:szCs w:val="20"/>
          <w:color w:val="auto"/>
        </w:rPr>
      </w:pPr>
    </w:p>
    <w:p>
      <w:pPr>
        <w:jc w:val="both"/>
        <w:ind w:firstLine="1940"/>
        <w:spacing w:after="0" w:line="257" w:lineRule="auto"/>
        <w:tabs>
          <w:tab w:leader="none" w:pos="2568" w:val="left"/>
        </w:tabs>
        <w:numPr>
          <w:ilvl w:val="1"/>
          <w:numId w:val="245"/>
        </w:numPr>
        <w:rPr>
          <w:rFonts w:ascii="Arial" w:cs="Arial" w:eastAsia="Arial" w:hAnsi="Arial"/>
          <w:sz w:val="19"/>
          <w:szCs w:val="19"/>
          <w:color w:val="0000FF"/>
        </w:rPr>
      </w:pPr>
      <w:r>
        <w:rPr>
          <w:rFonts w:ascii="Arial" w:cs="Arial" w:eastAsia="Arial" w:hAnsi="Arial"/>
          <w:sz w:val="19"/>
          <w:szCs w:val="19"/>
          <w:color w:val="FF0000"/>
          <w:strike w:val="1"/>
        </w:rPr>
        <w:t>(iii)</w:t>
      </w:r>
      <w:r>
        <w:rPr>
          <w:rFonts w:ascii="Arial" w:cs="Arial" w:eastAsia="Arial" w:hAnsi="Arial"/>
          <w:sz w:val="19"/>
          <w:szCs w:val="19"/>
          <w:color w:val="FF0000"/>
        </w:rPr>
        <w:t xml:space="preserve"> </w:t>
      </w:r>
      <w:r>
        <w:rPr>
          <w:rFonts w:ascii="Arial" w:cs="Arial" w:eastAsia="Arial" w:hAnsi="Arial"/>
          <w:sz w:val="19"/>
          <w:szCs w:val="19"/>
          <w:color w:val="000000"/>
        </w:rPr>
        <w:t>With respect to any participant that becomes a Disqualified Institution after the Trade</w:t>
      </w:r>
      <w:r>
        <w:rPr>
          <w:rFonts w:ascii="Arial" w:cs="Arial" w:eastAsia="Arial" w:hAnsi="Arial"/>
          <w:sz w:val="19"/>
          <w:szCs w:val="19"/>
          <w:color w:val="FF0000"/>
        </w:rPr>
        <w:t xml:space="preserve"> </w:t>
      </w:r>
      <w:r>
        <w:rPr>
          <w:rFonts w:ascii="Arial" w:cs="Arial" w:eastAsia="Arial" w:hAnsi="Arial"/>
          <w:sz w:val="19"/>
          <w:szCs w:val="19"/>
          <w:color w:val="000000"/>
        </w:rPr>
        <w:t>Date applicable to its participation, such participant shall not retroactively be disqualified from having become a participant pursuant to the applicable participation agreement. Notwithstanding the foregoing, any participation to a participant that becomes an Disqualified Institution shall be subject to the provisions of Section 12.06(e) below</w:t>
      </w:r>
    </w:p>
    <w:p>
      <w:pPr>
        <w:spacing w:after="0" w:line="144" w:lineRule="exact"/>
        <w:rPr>
          <w:rFonts w:ascii="Arial" w:cs="Arial" w:eastAsia="Arial" w:hAnsi="Arial"/>
          <w:sz w:val="19"/>
          <w:szCs w:val="19"/>
          <w:color w:val="0000FF"/>
        </w:rPr>
      </w:pPr>
    </w:p>
    <w:p>
      <w:pPr>
        <w:jc w:val="both"/>
        <w:ind w:left="-660" w:firstLine="1952"/>
        <w:spacing w:after="0" w:line="242" w:lineRule="auto"/>
        <w:tabs>
          <w:tab w:leader="none" w:pos="184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Nothing herein is intended to prevent, impair, limit or otherwise restrict the ability of a Lender to collaterally assign or pledge all or any portion of its interests in the Loans and the other rights and benefits under the Loan Documents to an unaffiliated third party lender of such Lender (each such Person, a “</w:t>
      </w:r>
      <w:r>
        <w:rPr>
          <w:rFonts w:ascii="Arial" w:cs="Arial" w:eastAsia="Arial" w:hAnsi="Arial"/>
          <w:sz w:val="19"/>
          <w:szCs w:val="19"/>
          <w:u w:val="single" w:color="auto"/>
          <w:color w:val="auto"/>
        </w:rPr>
        <w:t>Collateral Assignee</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Borrower receives notification from a Collateral Assignee of such assignment directing payments to be made to such Collateral Assignee, any payment made by the Borrower for the benefit of such Lender in accordance with the terms of the Loan Documents shall satisfy the Borrower’s obligations thereunder to the extent of such payment. Any such Collateral Assignee, upon foreclosure of its security interests in the Loans pursuant to the terms of such assignment and in accordance with Applicable Law, shall succeed to all the interests of or shall be deemed to be a Lender, with all the rights and benefits afforded thereby, and such transfer shall not be deemed to be a transfer for purposes of and otherwise subject to the provisions of this </w:t>
      </w:r>
      <w:r>
        <w:rPr>
          <w:rFonts w:ascii="Arial" w:cs="Arial" w:eastAsia="Arial" w:hAnsi="Arial"/>
          <w:sz w:val="19"/>
          <w:szCs w:val="19"/>
          <w:u w:val="single" w:color="auto"/>
          <w:color w:val="auto"/>
        </w:rPr>
        <w:t>Section 12.06</w:t>
      </w:r>
      <w:r>
        <w:rPr>
          <w:rFonts w:ascii="Arial" w:cs="Arial" w:eastAsia="Arial" w:hAnsi="Arial"/>
          <w:sz w:val="19"/>
          <w:szCs w:val="19"/>
          <w:color w:val="auto"/>
        </w:rPr>
        <w:t>. Notwithstanding the foregoing, each Lender shall remain responsible for all obligations and liabilities arising hereunder or under any other Loan Document, and, except as otherwise expressly set forth in any applicable pledge or assignment, nothing herein is intended or shall be construed to impose any obligations upon or constitute an assumption by a Collateral Assignee thereof.</w:t>
      </w:r>
    </w:p>
    <w:p>
      <w:pPr>
        <w:spacing w:after="0" w:line="164" w:lineRule="exact"/>
        <w:rPr>
          <w:rFonts w:ascii="Arial" w:cs="Arial" w:eastAsia="Arial" w:hAnsi="Arial"/>
          <w:sz w:val="19"/>
          <w:szCs w:val="19"/>
          <w:color w:val="auto"/>
        </w:rPr>
      </w:pPr>
    </w:p>
    <w:p>
      <w:pPr>
        <w:jc w:val="both"/>
        <w:ind w:left="-660" w:firstLine="1952"/>
        <w:spacing w:after="0" w:line="219" w:lineRule="auto"/>
        <w:tabs>
          <w:tab w:leader="none" w:pos="1781" w:val="left"/>
        </w:tabs>
        <w:numPr>
          <w:ilvl w:val="0"/>
          <w:numId w:val="246"/>
        </w:numPr>
        <w:rPr>
          <w:rFonts w:ascii="Arial" w:cs="Arial" w:eastAsia="Arial" w:hAnsi="Arial"/>
          <w:sz w:val="21"/>
          <w:szCs w:val="21"/>
          <w:color w:val="auto"/>
        </w:rPr>
      </w:pPr>
      <w:r>
        <w:rPr>
          <w:rFonts w:ascii="Arial" w:cs="Arial" w:eastAsia="Arial" w:hAnsi="Arial"/>
          <w:sz w:val="21"/>
          <w:szCs w:val="21"/>
          <w:color w:val="auto"/>
        </w:rPr>
        <w:t>If any assignment is made to any Disqualified Institution without the Borrower’s prior consent, or if any Lender becomes a Disqualified Institution after the Trade Date of the applicable assignment to such Lender,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and delegate, without recourse (in accordance with and subject to the restrictions contained in this Section 12.06), all of its interest, rights and obligations under this Loan Agreement and the other Loan Documents to a Person (other than to any natural person, any Loan Party or to any Affiliate of any Loan Party, or any Person that is a Disqualified Institution) that shall assume such obligations at a purchase price equal to the principal amount thereof plus accrued interest, accrued fees and all other amounts payable to such Disqualified Institution hereunder and under the other Loan Documents; provided that (i) the Borrower shall have paid to the Administrative Agent the assignment fee (if any) specified in Section 12.06(b)(ii)(C) above and (ii) such assignment does not conflict with applicable laws.</w:t>
      </w:r>
    </w:p>
    <w:p>
      <w:pPr>
        <w:spacing w:after="0" w:line="163" w:lineRule="exact"/>
        <w:rPr>
          <w:rFonts w:ascii="Arial" w:cs="Arial" w:eastAsia="Arial" w:hAnsi="Arial"/>
          <w:sz w:val="21"/>
          <w:szCs w:val="21"/>
          <w:color w:val="auto"/>
        </w:rPr>
      </w:pPr>
    </w:p>
    <w:p>
      <w:pPr>
        <w:jc w:val="both"/>
        <w:ind w:left="-660" w:firstLine="1952"/>
        <w:spacing w:after="0" w:line="249" w:lineRule="auto"/>
        <w:tabs>
          <w:tab w:leader="none" w:pos="195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Loan Agreement, (i) Disqualified Institutions that are either Lenders or participants of Lenders will not (A) have any inspection rights or the right to receive information, reports or other materials provided to Lenders by the Borrower, the other Loan Parties, the Administrative Agent or any other Lender, (B) attend or participate in meetings attended by the Lenders and the Administrative Agent or (C) access any electronic site established for the Lenders or confidential communications from counsel to or financial advisors of the Administrative Agent or the Lenders and (ii)(A) for purposes of any consent to any amendment, waiver or modification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-4972685</wp:posOffset>
            </wp:positionV>
            <wp:extent cx="396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194" w:name="page195"/>
    <w:bookmarkEnd w:id="194"/>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any action under, and for the purpose of any direction to the Administrative Agent or any Lender to undertake any action (or refrain from taking any action) under this Loan Agreement or any other Loan Document, each Disqualified Institution (whether a direct Lender or a participant) will be deemed to have consented in the same proportion as the Lenders that are not Disqualified Institutions consented to such matter, and (B) for purposes of voting on any plan of reorganization or plan of liquidation pursuant to Bankruptcy Code or any other debtor relief laws (“Plan of Reorganization”), each Disqualified Institution (whether a direct Lender or a participant)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and such vote shall not be counted in determining whether the applicable class has accepted or rejected such Plan of Reorganization in accordance with Section 1126(c) of the Bankruptcy Code and (3) not to contest any request by any party for a determination by the Bankruptcy Court effectuating the foregoing clause (2).</w:t>
      </w:r>
    </w:p>
    <w:p>
      <w:pPr>
        <w:spacing w:after="0" w:line="3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12.07</w:t>
      </w:r>
      <w:r>
        <w:rPr>
          <w:sz w:val="20"/>
          <w:szCs w:val="20"/>
          <w:color w:val="auto"/>
        </w:rPr>
        <w:tab/>
      </w:r>
      <w:r>
        <w:rPr>
          <w:rFonts w:ascii="Arial" w:cs="Arial" w:eastAsia="Arial" w:hAnsi="Arial"/>
          <w:sz w:val="19"/>
          <w:szCs w:val="19"/>
          <w:u w:val="single" w:color="auto"/>
          <w:color w:val="auto"/>
        </w:rPr>
        <w:t>Mitigation Obligations and Replacements of Lenders under Certain Circumstances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21" w:lineRule="auto"/>
        <w:tabs>
          <w:tab w:leader="none" w:pos="2436" w:val="left"/>
        </w:tabs>
        <w:numPr>
          <w:ilvl w:val="0"/>
          <w:numId w:val="247"/>
        </w:numPr>
        <w:rPr>
          <w:rFonts w:ascii="Arial" w:cs="Arial" w:eastAsia="Arial" w:hAnsi="Arial"/>
          <w:sz w:val="21"/>
          <w:szCs w:val="21"/>
          <w:color w:val="auto"/>
        </w:rPr>
      </w:pPr>
      <w:r>
        <w:rPr>
          <w:rFonts w:ascii="Arial" w:cs="Arial" w:eastAsia="Arial" w:hAnsi="Arial"/>
          <w:sz w:val="21"/>
          <w:szCs w:val="21"/>
          <w:u w:val="single" w:color="auto"/>
          <w:color w:val="auto"/>
        </w:rPr>
        <w:t>Designation of a Different Lending Office</w:t>
      </w:r>
      <w:r>
        <w:rPr>
          <w:rFonts w:ascii="Arial" w:cs="Arial" w:eastAsia="Arial" w:hAnsi="Arial"/>
          <w:sz w:val="21"/>
          <w:szCs w:val="21"/>
          <w:color w:val="auto"/>
        </w:rPr>
        <w:t xml:space="preserve">. If any Lender requests compensation under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21"/>
          <w:szCs w:val="21"/>
          <w:u w:val="single" w:color="auto"/>
          <w:color w:val="auto"/>
        </w:rPr>
        <w:t>Section 4.04</w:t>
      </w:r>
      <w:r>
        <w:rPr>
          <w:rFonts w:ascii="Arial" w:cs="Arial" w:eastAsia="Arial" w:hAnsi="Arial"/>
          <w:sz w:val="21"/>
          <w:szCs w:val="21"/>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4.04</w:t>
      </w:r>
      <w:r>
        <w:rPr>
          <w:rFonts w:ascii="Arial" w:cs="Arial" w:eastAsia="Arial" w:hAnsi="Arial"/>
          <w:sz w:val="21"/>
          <w:szCs w:val="21"/>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8" w:lineRule="exact"/>
        <w:rPr>
          <w:rFonts w:ascii="Arial" w:cs="Arial" w:eastAsia="Arial" w:hAnsi="Arial"/>
          <w:sz w:val="21"/>
          <w:szCs w:val="21"/>
          <w:color w:val="auto"/>
        </w:rPr>
      </w:pPr>
    </w:p>
    <w:p>
      <w:pPr>
        <w:jc w:val="both"/>
        <w:ind w:firstLine="1952"/>
        <w:spacing w:after="0" w:line="241" w:lineRule="auto"/>
        <w:tabs>
          <w:tab w:leader="none" w:pos="2437"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The Administrative Agent, at the Borrower’s sole cost and expense, shall be permitted to replace any Lender or any Participant that (i) requests reimbursement for amounts owing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12.07(a)</w:t>
      </w:r>
      <w:r>
        <w:rPr>
          <w:rFonts w:ascii="Arial" w:cs="Arial" w:eastAsia="Arial" w:hAnsi="Arial"/>
          <w:sz w:val="19"/>
          <w:szCs w:val="19"/>
          <w:color w:val="auto"/>
        </w:rPr>
        <w:t xml:space="preserve"> if such Lender has declined or is unable to designate a different lending office in accordance with </w:t>
      </w:r>
      <w:r>
        <w:rPr>
          <w:rFonts w:ascii="Arial" w:cs="Arial" w:eastAsia="Arial" w:hAnsi="Arial"/>
          <w:sz w:val="19"/>
          <w:szCs w:val="19"/>
          <w:u w:val="single" w:color="auto"/>
          <w:color w:val="auto"/>
        </w:rPr>
        <w:t>Section 12.07(a)</w:t>
      </w:r>
      <w:r>
        <w:rPr>
          <w:rFonts w:ascii="Arial" w:cs="Arial" w:eastAsia="Arial" w:hAnsi="Arial"/>
          <w:sz w:val="19"/>
          <w:szCs w:val="19"/>
          <w:color w:val="auto"/>
        </w:rPr>
        <w:t xml:space="preserve">, (ii) is affected in the manner described in </w:t>
      </w:r>
      <w:r>
        <w:rPr>
          <w:rFonts w:ascii="Arial" w:cs="Arial" w:eastAsia="Arial" w:hAnsi="Arial"/>
          <w:sz w:val="19"/>
          <w:szCs w:val="19"/>
          <w:u w:val="single" w:color="auto"/>
          <w:color w:val="auto"/>
        </w:rPr>
        <w:t>Section 2.06(a)(iii)</w:t>
      </w:r>
      <w:r>
        <w:rPr>
          <w:rFonts w:ascii="Arial" w:cs="Arial" w:eastAsia="Arial" w:hAnsi="Arial"/>
          <w:sz w:val="19"/>
          <w:szCs w:val="19"/>
          <w:color w:val="auto"/>
        </w:rPr>
        <w:t xml:space="preserve"> and as a result thereof any of the actions described in such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2.06(a)(iii)</w:t>
      </w:r>
      <w:r>
        <w:rPr>
          <w:rFonts w:ascii="Arial" w:cs="Arial" w:eastAsia="Arial" w:hAnsi="Arial"/>
          <w:sz w:val="19"/>
          <w:szCs w:val="19"/>
          <w:color w:val="auto"/>
        </w:rPr>
        <w:t xml:space="preserve"> is required to be taken or (iii) is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replacement does not conflict with any Applicable Law, (B) no Event of Default shall have occurred and be continuing at the time of such replacement, (C) all Loans and other amounts (including any applicable Prepayment Premium and fees, but excluding any disputed amounts) owing to such replaced Lender pursuant to this Loan Agreement shall be paid or purchased at par, (D) the replacement bank or institution (if not already a Lender), and the terms and conditions of such replacement, shall be reasonably satisfactory to the Administrative Agent, and the withholding of consent by the Administrative Agent to any Loan Party, any Subsidiary of any Loan Party or any Affiliate of any Loan Party becoming a replacement Lender shall be deemed to be reasonable and not unreasonable, (E) the replaced Lender shall be obligated to make such replacement in accordance with the provisions of </w:t>
      </w:r>
      <w:r>
        <w:rPr>
          <w:rFonts w:ascii="Arial" w:cs="Arial" w:eastAsia="Arial" w:hAnsi="Arial"/>
          <w:sz w:val="19"/>
          <w:szCs w:val="19"/>
          <w:u w:val="single" w:color="auto"/>
          <w:color w:val="auto"/>
        </w:rPr>
        <w:t>Section 12.06</w:t>
      </w:r>
      <w:r>
        <w:rPr>
          <w:rFonts w:ascii="Arial" w:cs="Arial" w:eastAsia="Arial" w:hAnsi="Arial"/>
          <w:sz w:val="19"/>
          <w:szCs w:val="19"/>
          <w:color w:val="auto"/>
        </w:rPr>
        <w:t xml:space="preserve"> (except that such replaced Lender shall not be obligated to pay any processing and recordation fee required pursuant thereto), (F) any such replacement shall not be deemed to be a waiver of any rights that the Borrower, any Agent or any other Lender shall have against the replaced Lender, and (G) in the case of any such assignment resulting from a claim for compensation under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4.04</w:t>
      </w:r>
      <w:r>
        <w:rPr>
          <w:rFonts w:ascii="Arial" w:cs="Arial" w:eastAsia="Arial" w:hAnsi="Arial"/>
          <w:sz w:val="19"/>
          <w:szCs w:val="19"/>
          <w:color w:val="auto"/>
        </w:rPr>
        <w:t>, such assignment will result in a reduction in such compensation or payments thereafter. A Lender</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shall not be required to make any such assignment or delegation if prior thereto, as a result of a waiver by such Lender or otherwise, the circumstances entitling the Borrower to require such assignment and delegation cease to apply.</w:t>
      </w:r>
    </w:p>
    <w:p>
      <w:pPr>
        <w:spacing w:after="0" w:line="151" w:lineRule="exact"/>
        <w:rPr>
          <w:sz w:val="20"/>
          <w:szCs w:val="20"/>
          <w:color w:val="auto"/>
        </w:rPr>
      </w:pPr>
    </w:p>
    <w:p>
      <w:pPr>
        <w:jc w:val="both"/>
        <w:ind w:firstLine="1952"/>
        <w:spacing w:after="0" w:line="242" w:lineRule="auto"/>
        <w:tabs>
          <w:tab w:leader="none" w:pos="241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If any Lender (a “</w:t>
      </w:r>
      <w:r>
        <w:rPr>
          <w:rFonts w:ascii="Arial" w:cs="Arial" w:eastAsia="Arial" w:hAnsi="Arial"/>
          <w:sz w:val="19"/>
          <w:szCs w:val="19"/>
          <w:u w:val="single" w:color="auto"/>
          <w:color w:val="auto"/>
        </w:rPr>
        <w:t>Non-Consenting Lender</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has failed to consent to a proposed amendment, waiver, discharge or termination, which pursuant to the terms of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requires the consent of all Lenders or all of the Lenders affected thereby and with respect to which the Required Lenders shall have granted their consent, then, provided that no Event of Default then exists, the Borrower shall have the right (unless such Non-Consenting Lender grants such consent), at their own cost and expense, to replace such Non-Consenting Lender by requiring such Non-Consenting Lender to assign its Loans and Commitments to one or more assignees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all Obligations of the Borrower owing to such Non-Consenting Lender being replaced shall be paid in full to such Non-Consenting Lender concurrently with such assignment, including any Prepayment Premium, and (ii) the replacement Lender shall purchase the foregoing by paying to such Non-Consenting Lender a price equal to the principal amount thereof plus accrued and unpaid interest thereon. In connection with any such assignment, the Borrower, the Agents, such Non-Consenting Lender and the replacement Lender shall otherwise comply with </w:t>
      </w:r>
      <w:r>
        <w:rPr>
          <w:rFonts w:ascii="Arial" w:cs="Arial" w:eastAsia="Arial" w:hAnsi="Arial"/>
          <w:sz w:val="19"/>
          <w:szCs w:val="19"/>
          <w:u w:val="single" w:color="auto"/>
          <w:color w:val="auto"/>
        </w:rPr>
        <w:t>Section 12.06</w:t>
      </w:r>
      <w:r>
        <w:rPr>
          <w:rFonts w:ascii="Arial" w:cs="Arial" w:eastAsia="Arial" w:hAnsi="Arial"/>
          <w:sz w:val="19"/>
          <w:szCs w:val="19"/>
          <w:color w:val="auto"/>
        </w:rPr>
        <w:t xml:space="preserve"> (except that such Non-Consenting Lender shall not be obligated to pay any processing and recordation fee required pursuant thereto).</w:t>
      </w:r>
    </w:p>
    <w:p>
      <w:pPr>
        <w:spacing w:after="0" w:line="16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12.08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12.09</w:t>
      </w:r>
      <w:r>
        <w:rPr>
          <w:sz w:val="20"/>
          <w:szCs w:val="20"/>
          <w:color w:val="auto"/>
        </w:rPr>
        <w:tab/>
      </w:r>
      <w:r>
        <w:rPr>
          <w:rFonts w:ascii="Arial" w:cs="Arial" w:eastAsia="Arial" w:hAnsi="Arial"/>
          <w:sz w:val="19"/>
          <w:szCs w:val="19"/>
          <w:u w:val="single" w:color="auto"/>
          <w:color w:val="auto"/>
        </w:rPr>
        <w:t>Adjustments; Set-Off</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43" w:lineRule="auto"/>
        <w:tabs>
          <w:tab w:leader="none" w:pos="2552"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If any Lender at any time receives any payment of all or part of its Loans, interest thereon or Prepayment Premium in respect thereof, or receives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10.01(k)</w:t>
      </w:r>
      <w:r>
        <w:rPr>
          <w:rFonts w:ascii="Arial" w:cs="Arial" w:eastAsia="Arial" w:hAnsi="Arial"/>
          <w:sz w:val="19"/>
          <w:szCs w:val="19"/>
          <w:color w:val="auto"/>
        </w:rPr>
        <w:t xml:space="preserve">, or otherwise), in a greater proportion than any such payment to or collateral received by any other Lender, if any, in respect of such other Lender’s Loans, interest thereon or Prepayment Premium in respect thereof, such recipient Lender shall purchase for cash from the other Lenders a participating interest in such portion of each such other Lender’s Loans, or shall provide such other Lenders with the benefits of any such collateral, or the proceeds thereof, as shall be necessary to cause such recipient Lender to share the excess payment or benefits of such collateral or proceeds ratably with each of the other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all or any portion of such excess payment or benefits is thereafter recovered from such recipient Lender, such purchase shall be rescinded, and the purchase price and benefits returned, to the extent of such recovery, but without interest. The foregoing provisions of this </w:t>
      </w:r>
      <w:r>
        <w:rPr>
          <w:rFonts w:ascii="Arial" w:cs="Arial" w:eastAsia="Arial" w:hAnsi="Arial"/>
          <w:sz w:val="19"/>
          <w:szCs w:val="19"/>
          <w:u w:val="single" w:color="auto"/>
          <w:color w:val="auto"/>
        </w:rPr>
        <w:t>Section 12.09</w:t>
      </w:r>
      <w:r>
        <w:rPr>
          <w:rFonts w:ascii="Arial" w:cs="Arial" w:eastAsia="Arial" w:hAnsi="Arial"/>
          <w:sz w:val="19"/>
          <w:szCs w:val="19"/>
          <w:color w:val="auto"/>
        </w:rPr>
        <w:t xml:space="preserve"> shall not apply to payments made and applied in accordance with the terms of this Loan Agreement and the other Loan Documents.</w:t>
      </w:r>
    </w:p>
    <w:p>
      <w:pPr>
        <w:spacing w:after="0" w:line="158" w:lineRule="exact"/>
        <w:rPr>
          <w:rFonts w:ascii="Arial" w:cs="Arial" w:eastAsia="Arial" w:hAnsi="Arial"/>
          <w:sz w:val="19"/>
          <w:szCs w:val="19"/>
          <w:color w:val="auto"/>
        </w:rPr>
      </w:pPr>
    </w:p>
    <w:p>
      <w:pPr>
        <w:jc w:val="both"/>
        <w:ind w:firstLine="1952"/>
        <w:spacing w:after="0" w:line="247" w:lineRule="auto"/>
        <w:tabs>
          <w:tab w:leader="none" w:pos="2422" w:val="left"/>
        </w:tabs>
        <w:numPr>
          <w:ilvl w:val="0"/>
          <w:numId w:val="249"/>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to the extent consented to by the Administrative Agent, in addition to any rights and remedies of the Lenders provided by law, each Lender shall have the right, without prior notice to the Borrower or any other Loan Party, any such notice being expressly waived by the Loan Parties to the extent permitted by Applicable Law, upon any amount becoming due and payable by the Borrower hereunder (whether at the stated maturity, by acceleration or otherwise), to set-off and appropriate and apply against such amount any and all deposits (general or special, time or demand, provisional or final, but excluding any Excluded Deposit Accounts), in any currency, and any other credits, indebtedness or claims, in any currency, in each case whether direct or</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indirect, absolute or contingent, matured or unmatured, at any time held or owing by such Lender or any branch or agency thereof to or for the credit or the account of the Borrower, as the case may be. Each Lender agrees promptly to notify the Borrower and the Agents after any such set-off and application made by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failure to give such notice shall not affect the validity of such set-off and application.</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12.10</w:t>
      </w:r>
      <w:r>
        <w:rPr>
          <w:sz w:val="20"/>
          <w:szCs w:val="20"/>
          <w:color w:val="auto"/>
        </w:rPr>
        <w:tab/>
      </w:r>
      <w:r>
        <w:rPr>
          <w:rFonts w:ascii="Arial" w:cs="Arial" w:eastAsia="Arial" w:hAnsi="Arial"/>
          <w:sz w:val="19"/>
          <w:szCs w:val="19"/>
          <w:u w:val="single" w:color="auto"/>
          <w:color w:val="auto"/>
        </w:rPr>
        <w:t>Effectiveness of Facsimile Documents and Signatures</w:t>
      </w:r>
    </w:p>
    <w:p>
      <w:pPr>
        <w:spacing w:after="0" w:line="179" w:lineRule="exact"/>
        <w:rPr>
          <w:sz w:val="20"/>
          <w:szCs w:val="20"/>
          <w:color w:val="auto"/>
        </w:rPr>
      </w:pPr>
    </w:p>
    <w:p>
      <w:pPr>
        <w:jc w:val="both"/>
        <w:ind w:firstLine="656"/>
        <w:spacing w:after="0" w:line="223" w:lineRule="auto"/>
        <w:tabs>
          <w:tab w:leader="none" w:pos="76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Loan Documents may be transmitted and signed and delivered by facsimile or other electronic means. The effectiveness of any such documents and signatures shall have the same force and effect as manually signed originals and shall be binding on all Loan Parties, the Agents and the Lenders.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Counterparts</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u w:val="single" w:color="auto"/>
          <w:color w:val="0000FF"/>
        </w:rPr>
        <w:t>Section 12.11 Counterparts</w:t>
      </w:r>
      <w:r>
        <w:rPr>
          <w:rFonts w:ascii="Arial" w:cs="Arial" w:eastAsia="Arial" w:hAnsi="Arial"/>
          <w:sz w:val="22"/>
          <w:szCs w:val="22"/>
          <w:color w:val="000000"/>
        </w:rPr>
        <w:t>. Any number of counterparts of this Loan Agreement and the other Loan Documents,</w:t>
      </w:r>
      <w:r>
        <w:rPr>
          <w:rFonts w:ascii="Arial" w:cs="Arial" w:eastAsia="Arial" w:hAnsi="Arial"/>
          <w:sz w:val="22"/>
          <w:szCs w:val="22"/>
          <w:color w:val="0000FF"/>
        </w:rPr>
        <w:t xml:space="preserve"> </w:t>
      </w:r>
      <w:r>
        <w:rPr>
          <w:rFonts w:ascii="Arial" w:cs="Arial" w:eastAsia="Arial" w:hAnsi="Arial"/>
          <w:sz w:val="22"/>
          <w:szCs w:val="22"/>
          <w:color w:val="000000"/>
        </w:rPr>
        <w:t>including facsimiles and other electronic copies (including .pdf), may be executed by the parties hereto. Each such counterpart shall be, and shall be deemed to be, an original instrument, but all such counterparts taken together shall constitute one and the same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Severability</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u w:val="single" w:color="auto"/>
          <w:color w:val="0000FF"/>
        </w:rPr>
        <w:t>Section 12.12 Severability</w:t>
      </w:r>
      <w:r>
        <w:rPr>
          <w:rFonts w:ascii="Arial" w:cs="Arial" w:eastAsia="Arial" w:hAnsi="Arial"/>
          <w:sz w:val="19"/>
          <w:szCs w:val="19"/>
          <w:color w:val="000000"/>
        </w:rPr>
        <w:t>. All provisions of this Loan Agreement are severable, and the unenforceability or invalidity</w:t>
      </w:r>
      <w:r>
        <w:rPr>
          <w:rFonts w:ascii="Arial" w:cs="Arial" w:eastAsia="Arial" w:hAnsi="Arial"/>
          <w:sz w:val="19"/>
          <w:szCs w:val="19"/>
          <w:color w:val="0000FF"/>
        </w:rPr>
        <w:t xml:space="preserve"> </w:t>
      </w:r>
      <w:r>
        <w:rPr>
          <w:rFonts w:ascii="Arial" w:cs="Arial" w:eastAsia="Arial" w:hAnsi="Arial"/>
          <w:sz w:val="19"/>
          <w:szCs w:val="19"/>
          <w:color w:val="000000"/>
        </w:rPr>
        <w:t>of any of the provisions of this Loan Agreement shall not affect the validity or enforceability of the remaining provisions of this Loan Agreement. Should any part of this Loan Agreement be held invalid or unenforceable in any jurisdiction, the invalid or unenforceable portion or portions shall be removed (and no more) only in that jurisdiction, and the remainder shall be enforced as fully as possible (removing the minimum amount possible) in that jurisdiction. In lieu of such invalid or unenforceable provision, the parties hereto will negotiate in good faith to add as a part of this Loan Agreement a legal, valid and enforceable provision as similar in terms to such invalid or unenforceable provision as may be possible.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Integration</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u w:val="single" w:color="auto"/>
          <w:color w:val="0000FF"/>
        </w:rPr>
        <w:t>Section 12.13 Integration</w:t>
      </w:r>
      <w:r>
        <w:rPr>
          <w:rFonts w:ascii="Arial" w:cs="Arial" w:eastAsia="Arial" w:hAnsi="Arial"/>
          <w:sz w:val="19"/>
          <w:szCs w:val="19"/>
          <w:color w:val="000000"/>
        </w:rPr>
        <w:t>. This Loan Agreement and the other Loan Documents contain the entire agreement of the</w:t>
      </w:r>
      <w:r>
        <w:rPr>
          <w:rFonts w:ascii="Arial" w:cs="Arial" w:eastAsia="Arial" w:hAnsi="Arial"/>
          <w:sz w:val="19"/>
          <w:szCs w:val="19"/>
          <w:color w:val="0000FF"/>
        </w:rPr>
        <w:t xml:space="preserve"> </w:t>
      </w:r>
      <w:r>
        <w:rPr>
          <w:rFonts w:ascii="Arial" w:cs="Arial" w:eastAsia="Arial" w:hAnsi="Arial"/>
          <w:sz w:val="19"/>
          <w:szCs w:val="19"/>
          <w:color w:val="000000"/>
        </w:rPr>
        <w:t>parties with respect to the subject matter hereof and thereof and supersede all prior negotiations, agreements and understandings with respect thereto, both written and oral. This Loan Agreement may not be contradicted by evidence of prior, contemporaneous or subsequent oral agreements of the parties. There are no unwritten or oral agreements between the parties. By executing and delivering this Loan Agreement, each Loan Party hereby fully and irrevocably releases and agrees not to assert in any manner any and all claims which such Loan Party may have at law or in equity in relation to all prior written and oral discussions and understandings relating to this Loan Agreement, the other Loan Documents, the subject matter hereof and thereof, and the Transactions. When this Loan Agreement or any other Loan Document refers to a party’s “sole discretion”, such phrase means that party’s sole and absolute discretion as to process and result, which shall be final for all purposes hereunder, to be exercised (to the fullest extent the law permits) for any reason, subject to no standard of reasonableness or review and part of no claim before any court, arbitrator or other tribunal or forum or otherwise.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GOVERNING LAW</w:t>
      </w:r>
    </w:p>
    <w:p>
      <w:pPr>
        <w:sectPr>
          <w:pgSz w:w="11900" w:h="16838" w:orient="portrait"/>
          <w:cols w:equalWidth="0" w:num="1">
            <w:col w:w="11240"/>
          </w:cols>
          <w:pgMar w:left="320" w:top="1440" w:right="339" w:bottom="1440" w:gutter="0" w:footer="0" w:header="0"/>
        </w:sectPr>
      </w:pPr>
    </w:p>
    <w:bookmarkStart w:id="197" w:name="page198"/>
    <w:bookmarkEnd w:id="197"/>
    <w:p>
      <w:pPr>
        <w:jc w:val="both"/>
        <w:ind w:firstLine="648"/>
        <w:spacing w:after="0" w:line="221" w:lineRule="auto"/>
        <w:rPr>
          <w:sz w:val="20"/>
          <w:szCs w:val="20"/>
          <w:color w:val="auto"/>
        </w:rPr>
      </w:pPr>
      <w:r>
        <w:rPr>
          <w:rFonts w:ascii="Arial" w:cs="Arial" w:eastAsia="Arial" w:hAnsi="Arial"/>
          <w:sz w:val="21"/>
          <w:szCs w:val="21"/>
          <w:u w:val="single" w:color="auto"/>
          <w:color w:val="0000FF"/>
        </w:rPr>
        <w:t>Section 12.14 GOVERNING LAW</w:t>
      </w:r>
      <w:r>
        <w:rPr>
          <w:rFonts w:ascii="Arial" w:cs="Arial" w:eastAsia="Arial" w:hAnsi="Arial"/>
          <w:sz w:val="21"/>
          <w:szCs w:val="21"/>
          <w:color w:val="000000"/>
        </w:rPr>
        <w:t>. THIS LOAN AGREEMENT, THE OTHER LOAN DOCUMENTS (EXCEPT AS</w:t>
      </w:r>
      <w:r>
        <w:rPr>
          <w:rFonts w:ascii="Arial" w:cs="Arial" w:eastAsia="Arial" w:hAnsi="Arial"/>
          <w:sz w:val="21"/>
          <w:szCs w:val="21"/>
          <w:color w:val="0000FF"/>
        </w:rPr>
        <w:t xml:space="preserve"> </w:t>
      </w:r>
      <w:r>
        <w:rPr>
          <w:rFonts w:ascii="Arial" w:cs="Arial" w:eastAsia="Arial" w:hAnsi="Arial"/>
          <w:sz w:val="21"/>
          <w:szCs w:val="21"/>
          <w:color w:val="000000"/>
        </w:rPr>
        <w:t>MAY OTHERWISE BE PROVIDED THEREIN), AND THE VALIDITY, INTERPRETATION, CONSTRUCTION, AND PERFORMANCE HEREOF AND THEREOF SHALL BE GOVERNED BY AND CONSTRUED AND ENFORCED IN ACCORDANCE WITH, AND ANY CLAIM BY ANY PARTY HERETO AGAINST ANY OTHER PARTY HERETO (INCLUDING ANY CLAIMS SOUNDING IN CONTRACT OR TORT LAW ARISING OUT OF THE SUBJECT MATTER HEREOF AND ANY DETERMINATIONS WITH RESPECT TO POST-JUDGMENT INTEREST) SHALL BE DETERMINED IN ACCORDANCE WITH, THE INTERNAL LAWS OF THE STATE OF NEW YORK FOR CONTRACTS MADE AND TO BE PERFORMED WHOLLY WITHIN THE STATE OF NEW YORK, WITHOUT REGARD TO PRINCIPLES OF CONFLICTS OF LAWS REQUIRING APPLICATION OF THE LAW OF ANY OTHER JURISDICTION.</w:t>
      </w:r>
    </w:p>
    <w:p>
      <w:pPr>
        <w:spacing w:after="0" w:line="15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12.15</w:t>
      </w:r>
      <w:r>
        <w:rPr>
          <w:sz w:val="20"/>
          <w:szCs w:val="20"/>
          <w:color w:val="auto"/>
        </w:rPr>
        <w:tab/>
      </w:r>
      <w:r>
        <w:rPr>
          <w:rFonts w:ascii="Arial" w:cs="Arial" w:eastAsia="Arial" w:hAnsi="Arial"/>
          <w:sz w:val="19"/>
          <w:szCs w:val="19"/>
          <w:u w:val="single" w:color="auto"/>
          <w:color w:val="auto"/>
        </w:rPr>
        <w:t>Waiver of Certain Rights</w:t>
      </w:r>
    </w:p>
    <w:p>
      <w:pPr>
        <w:spacing w:after="0" w:line="179" w:lineRule="exact"/>
        <w:rPr>
          <w:sz w:val="20"/>
          <w:szCs w:val="20"/>
          <w:color w:val="auto"/>
        </w:rPr>
      </w:pPr>
    </w:p>
    <w:p>
      <w:pPr>
        <w:ind w:firstLine="656"/>
        <w:spacing w:after="0" w:line="298" w:lineRule="auto"/>
        <w:tabs>
          <w:tab w:leader="none" w:pos="767" w:val="left"/>
        </w:tabs>
        <w:numPr>
          <w:ilvl w:val="0"/>
          <w:numId w:val="251"/>
        </w:numPr>
        <w:rPr>
          <w:rFonts w:ascii="Arial" w:cs="Arial" w:eastAsia="Arial" w:hAnsi="Arial"/>
          <w:sz w:val="19"/>
          <w:szCs w:val="19"/>
          <w:color w:val="auto"/>
        </w:rPr>
      </w:pPr>
      <w:r>
        <w:rPr>
          <w:rFonts w:ascii="Arial" w:cs="Arial" w:eastAsia="Arial" w:hAnsi="Arial"/>
          <w:sz w:val="19"/>
          <w:szCs w:val="19"/>
          <w:color w:val="auto"/>
        </w:rPr>
        <w:t>Each Loan Party irrevocably and unconditionally waives, to the maximum extent not prohibited by Applicable Law, all rights of rescission, setoff, counterclaims, and other defenses in connection with the repayment of the Obligations.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Acknowledgments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u w:val="single" w:color="auto"/>
          <w:color w:val="0000FF"/>
        </w:rPr>
        <w:t>Section 12.16</w:t>
      </w:r>
      <w:r>
        <w:rPr>
          <w:sz w:val="20"/>
          <w:szCs w:val="20"/>
          <w:color w:val="auto"/>
        </w:rPr>
        <w:tab/>
      </w:r>
      <w:r>
        <w:rPr>
          <w:rFonts w:ascii="Arial" w:cs="Arial" w:eastAsia="Arial" w:hAnsi="Arial"/>
          <w:sz w:val="19"/>
          <w:szCs w:val="19"/>
          <w:u w:val="single" w:color="auto"/>
          <w:color w:val="0000FF"/>
        </w:rPr>
        <w:t>Acknowledgments</w:t>
      </w:r>
      <w:r>
        <w:rPr>
          <w:rFonts w:ascii="Arial" w:cs="Arial" w:eastAsia="Arial" w:hAnsi="Arial"/>
          <w:sz w:val="19"/>
          <w:szCs w:val="19"/>
          <w:color w:val="000000"/>
        </w:rPr>
        <w:t>. Each Loan Party hereby acknowledges that:</w:t>
      </w:r>
    </w:p>
    <w:p>
      <w:pPr>
        <w:spacing w:after="0" w:line="179" w:lineRule="exact"/>
        <w:rPr>
          <w:sz w:val="20"/>
          <w:szCs w:val="20"/>
          <w:color w:val="auto"/>
        </w:rPr>
      </w:pPr>
    </w:p>
    <w:p>
      <w:pPr>
        <w:jc w:val="both"/>
        <w:ind w:firstLine="1952"/>
        <w:spacing w:after="0" w:line="214" w:lineRule="auto"/>
        <w:tabs>
          <w:tab w:leader="none" w:pos="246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it has been advised by counsel of its choice in the negotiation, execution and delivery of this Loan Agreement and the other Loan Documents, such counsel has reviewed this Loan Agreement and the other Loan Documents, this Loan Agreement and the other Loan Documents (including, without limitation, </w:t>
      </w:r>
      <w:r>
        <w:rPr>
          <w:rFonts w:ascii="Arial" w:cs="Arial" w:eastAsia="Arial" w:hAnsi="Arial"/>
          <w:sz w:val="22"/>
          <w:szCs w:val="22"/>
          <w:u w:val="single" w:color="auto"/>
          <w:color w:val="auto"/>
        </w:rPr>
        <w:t>Section 12.14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12.15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hereof) are the result of such advice and review, and neither this Loan Agreement nor any other Loan Document shall be construed against an Agent or any Lender merely because of such Agent’s or such Lender’s involvement in the preparation of any such document;</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53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neither any Agent nor any Lender has any fiduciary relationship with or duty to any Loan Party arising out of or in connection with this Loan Agreement or any of the other Loan Documents, and the relationship between any Agent and any Lender, on one hand, and each Loan Party, on the other hand, in connection herewith or therewith is solely that of debtor and creditor;</w:t>
      </w:r>
    </w:p>
    <w:p>
      <w:pPr>
        <w:spacing w:after="0" w:line="160" w:lineRule="exact"/>
        <w:rPr>
          <w:rFonts w:ascii="Arial" w:cs="Arial" w:eastAsia="Arial" w:hAnsi="Arial"/>
          <w:sz w:val="22"/>
          <w:szCs w:val="22"/>
          <w:color w:val="auto"/>
        </w:rPr>
      </w:pPr>
    </w:p>
    <w:p>
      <w:pPr>
        <w:jc w:val="both"/>
        <w:ind w:firstLine="1952"/>
        <w:spacing w:after="0" w:line="223" w:lineRule="auto"/>
        <w:tabs>
          <w:tab w:leader="none" w:pos="240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Agents and the Lenders or among the Loan Parties and the Agents and the Lenders; and</w:t>
      </w:r>
    </w:p>
    <w:p>
      <w:pPr>
        <w:spacing w:after="0" w:line="158" w:lineRule="exact"/>
        <w:rPr>
          <w:rFonts w:ascii="Arial" w:cs="Arial" w:eastAsia="Arial" w:hAnsi="Arial"/>
          <w:sz w:val="22"/>
          <w:szCs w:val="22"/>
          <w:color w:val="auto"/>
        </w:rPr>
      </w:pPr>
    </w:p>
    <w:p>
      <w:pPr>
        <w:ind w:firstLine="1952"/>
        <w:spacing w:after="0" w:line="298" w:lineRule="auto"/>
        <w:tabs>
          <w:tab w:leader="none" w:pos="244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this Loan Agreement does not give rise now or in the future to an agency or partnership relationship between any Loan Party on the one hand and any Agent, any Lender or any of their respective Affiliates on the other hand.</w:t>
      </w:r>
    </w:p>
    <w:p>
      <w:pPr>
        <w:spacing w:after="0" w:line="1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Confidentiality</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u w:val="single" w:color="auto"/>
          <w:color w:val="0000FF"/>
        </w:rPr>
        <w:t>Section 12.18 Confidentiality</w:t>
      </w:r>
      <w:r>
        <w:rPr>
          <w:rFonts w:ascii="Arial" w:cs="Arial" w:eastAsia="Arial" w:hAnsi="Arial"/>
          <w:sz w:val="22"/>
          <w:szCs w:val="22"/>
          <w:color w:val="000000"/>
        </w:rPr>
        <w:t>. Each Agent and each Lender shall hold all non-public information relating to any Loan</w:t>
      </w:r>
      <w:r>
        <w:rPr>
          <w:rFonts w:ascii="Arial" w:cs="Arial" w:eastAsia="Arial" w:hAnsi="Arial"/>
          <w:sz w:val="22"/>
          <w:szCs w:val="22"/>
          <w:color w:val="0000FF"/>
        </w:rPr>
        <w:t xml:space="preserve"> </w:t>
      </w:r>
      <w:r>
        <w:rPr>
          <w:rFonts w:ascii="Arial" w:cs="Arial" w:eastAsia="Arial" w:hAnsi="Arial"/>
          <w:sz w:val="22"/>
          <w:szCs w:val="22"/>
          <w:color w:val="000000"/>
        </w:rPr>
        <w:t>Party or any Subsidiary of any Loan Party obtained pursuant to the requirements of this Loan Agreement (“Confidential Information</w:t>
      </w:r>
      <w:r>
        <w:rPr>
          <w:rFonts w:ascii="Arial" w:cs="Arial" w:eastAsia="Arial" w:hAnsi="Arial"/>
          <w:sz w:val="22"/>
          <w:szCs w:val="22"/>
          <w:u w:val="single" w:color="auto"/>
          <w:color w:val="FF0000"/>
          <w:strike w:val="1"/>
        </w:rPr>
        <w:t>”</w:t>
      </w:r>
      <w:r>
        <w:rPr>
          <w:rFonts w:ascii="Arial" w:cs="Arial" w:eastAsia="Arial" w:hAnsi="Arial"/>
          <w:sz w:val="22"/>
          <w:szCs w:val="22"/>
          <w:u w:val="single" w:color="auto"/>
          <w:color w:val="0000FF"/>
        </w:rPr>
        <w:t>“</w:t>
      </w:r>
      <w:r>
        <w:rPr>
          <w:rFonts w:ascii="Arial" w:cs="Arial" w:eastAsia="Arial" w:hAnsi="Arial"/>
          <w:sz w:val="22"/>
          <w:szCs w:val="22"/>
          <w:color w:val="000000"/>
        </w:rPr>
        <w:t>) confidential in</w:t>
      </w:r>
    </w:p>
    <w:p>
      <w:pPr>
        <w:sectPr>
          <w:pgSz w:w="11900" w:h="16838" w:orient="portrait"/>
          <w:cols w:equalWidth="0" w:num="1">
            <w:col w:w="11240"/>
          </w:cols>
          <w:pgMar w:left="320" w:top="1401" w:right="339" w:bottom="1440" w:gutter="0" w:footer="0" w:header="0"/>
        </w:sectPr>
      </w:pPr>
    </w:p>
    <w:bookmarkStart w:id="198" w:name="page199"/>
    <w:bookmarkEnd w:id="198"/>
    <w:p>
      <w:pPr>
        <w:jc w:val="both"/>
        <w:spacing w:after="0" w:line="223" w:lineRule="auto"/>
        <w:rPr>
          <w:sz w:val="20"/>
          <w:szCs w:val="20"/>
          <w:color w:val="auto"/>
        </w:rPr>
      </w:pPr>
      <w:r>
        <w:rPr>
          <w:rFonts w:ascii="Arial" w:cs="Arial" w:eastAsia="Arial" w:hAnsi="Arial"/>
          <w:sz w:val="22"/>
          <w:szCs w:val="22"/>
          <w:color w:val="auto"/>
        </w:rPr>
        <w:t xml:space="preserve">accordance with its customary procedure for handling confidential information of this nature and, in the case of a Lender that is a bank, in accordance with safe and sound banking practices;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any event any Agent or Lender may disclose Confidential Information:</w:t>
      </w:r>
    </w:p>
    <w:p>
      <w:pPr>
        <w:spacing w:after="0" w:line="159" w:lineRule="exact"/>
        <w:rPr>
          <w:sz w:val="20"/>
          <w:szCs w:val="20"/>
          <w:color w:val="auto"/>
        </w:rPr>
      </w:pPr>
    </w:p>
    <w:p>
      <w:pPr>
        <w:jc w:val="both"/>
        <w:ind w:firstLine="1952"/>
        <w:spacing w:after="0" w:line="218" w:lineRule="auto"/>
        <w:tabs>
          <w:tab w:leader="none" w:pos="244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as such Person reasonably believes is required by Law (including, without limitation, SEC rules and regulations) (in which case, such Person agrees to inform the Borrower promptly thereof prior to such disclosure, unless such Person is prohibited by Applicable Law from so informing the Borrower, or except in connection with any request as part of any audit or regulatory examination);</w:t>
      </w:r>
    </w:p>
    <w:p>
      <w:pPr>
        <w:spacing w:after="0" w:line="160" w:lineRule="exact"/>
        <w:rPr>
          <w:rFonts w:ascii="Arial" w:cs="Arial" w:eastAsia="Arial" w:hAnsi="Arial"/>
          <w:sz w:val="22"/>
          <w:szCs w:val="22"/>
          <w:color w:val="auto"/>
        </w:rPr>
      </w:pPr>
    </w:p>
    <w:p>
      <w:pPr>
        <w:jc w:val="both"/>
        <w:ind w:firstLine="1952"/>
        <w:spacing w:after="0" w:line="216" w:lineRule="auto"/>
        <w:tabs>
          <w:tab w:leader="none" w:pos="2415" w:val="left"/>
        </w:tabs>
        <w:numPr>
          <w:ilvl w:val="0"/>
          <w:numId w:val="253"/>
        </w:numPr>
        <w:rPr>
          <w:rFonts w:ascii="Arial" w:cs="Arial" w:eastAsia="Arial" w:hAnsi="Arial"/>
          <w:sz w:val="22"/>
          <w:szCs w:val="22"/>
          <w:color w:val="auto"/>
        </w:rPr>
      </w:pPr>
      <w:r>
        <w:rPr>
          <w:rFonts w:ascii="Arial" w:cs="Arial" w:eastAsia="Arial" w:hAnsi="Arial"/>
          <w:sz w:val="22"/>
          <w:szCs w:val="22"/>
          <w:color w:val="auto"/>
        </w:rPr>
        <w:t>pursuant to legal process or as is otherwise required or requested by any court, securities exchange, or any other judicial, governmental, supervisory or regulatory board or agency, or representative thereof (including, without limitation, the SEC) (in which case, such Person agrees to inform the Borrower promptly thereof prior to such disclosure, unless such Person is prohibited by Applicable Law from so informing the Borrower, or except in connection with any request as part of any audit or regulatory examination);</w:t>
      </w:r>
    </w:p>
    <w:p>
      <w:pPr>
        <w:spacing w:after="0" w:line="157" w:lineRule="exact"/>
        <w:rPr>
          <w:rFonts w:ascii="Arial" w:cs="Arial" w:eastAsia="Arial" w:hAnsi="Arial"/>
          <w:sz w:val="22"/>
          <w:szCs w:val="22"/>
          <w:color w:val="auto"/>
        </w:rPr>
      </w:pPr>
    </w:p>
    <w:p>
      <w:pPr>
        <w:jc w:val="both"/>
        <w:ind w:firstLine="1952"/>
        <w:spacing w:after="0" w:line="223" w:lineRule="auto"/>
        <w:tabs>
          <w:tab w:leader="none" w:pos="2439"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in connection with, and following, the enforcement of any rights or exercise of any remedies by any Agent or Lender under this Loan Agreement or any other Loan Document, or any action or proceeding relating to this Loan Agreement or any other Loan Document;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to the extent necessary or customary for inclusion in league table measurements;</w:t>
      </w:r>
    </w:p>
    <w:p>
      <w:pPr>
        <w:spacing w:after="0" w:line="179" w:lineRule="exact"/>
        <w:rPr>
          <w:rFonts w:ascii="Arial" w:cs="Arial" w:eastAsia="Arial" w:hAnsi="Arial"/>
          <w:sz w:val="22"/>
          <w:szCs w:val="22"/>
          <w:color w:val="auto"/>
        </w:rPr>
      </w:pPr>
    </w:p>
    <w:p>
      <w:pPr>
        <w:jc w:val="both"/>
        <w:ind w:firstLine="1952"/>
        <w:spacing w:after="0" w:line="214" w:lineRule="auto"/>
        <w:tabs>
          <w:tab w:leader="none" w:pos="2403"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to such Agent’s or Lender’s Affiliates, and to such Agent’s, Lender’s and Affiliates’ directors, officers, employees, agents, attorneys, consultants, accountants and other professional advisors, auditors, and financing sources, in each case, on a “need to know” basis solely in connection with the Transactions (it being understood that the Persons to whom such disclosure is made will be informed of the confidential nature of such Information and instructed to keep such Information confidential) and the Administrative Agent, the Collateral Agent and the Lenders shall be responsible for the compliance with this paragraph by its Related Parties; and</w:t>
      </w:r>
    </w:p>
    <w:p>
      <w:pPr>
        <w:spacing w:after="0" w:line="158" w:lineRule="exact"/>
        <w:rPr>
          <w:rFonts w:ascii="Arial" w:cs="Arial" w:eastAsia="Arial" w:hAnsi="Arial"/>
          <w:sz w:val="22"/>
          <w:szCs w:val="22"/>
          <w:color w:val="auto"/>
        </w:rPr>
      </w:pPr>
    </w:p>
    <w:p>
      <w:pPr>
        <w:ind w:left="2380" w:hanging="428"/>
        <w:spacing w:after="0"/>
        <w:tabs>
          <w:tab w:leader="none" w:pos="238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in connection with:</w:t>
      </w:r>
    </w:p>
    <w:p>
      <w:pPr>
        <w:spacing w:after="0" w:line="179" w:lineRule="exact"/>
        <w:rPr>
          <w:rFonts w:ascii="Arial" w:cs="Arial" w:eastAsia="Arial" w:hAnsi="Arial"/>
          <w:sz w:val="22"/>
          <w:szCs w:val="22"/>
          <w:color w:val="auto"/>
        </w:rPr>
      </w:pPr>
    </w:p>
    <w:p>
      <w:pPr>
        <w:ind w:left="3020" w:hanging="420"/>
        <w:spacing w:after="0"/>
        <w:tabs>
          <w:tab w:leader="none" w:pos="3020" w:val="left"/>
        </w:tabs>
        <w:numPr>
          <w:ilvl w:val="1"/>
          <w:numId w:val="253"/>
        </w:numPr>
        <w:rPr>
          <w:rFonts w:ascii="Arial" w:cs="Arial" w:eastAsia="Arial" w:hAnsi="Arial"/>
          <w:sz w:val="22"/>
          <w:szCs w:val="22"/>
          <w:color w:val="auto"/>
        </w:rPr>
      </w:pPr>
      <w:r>
        <w:rPr>
          <w:rFonts w:ascii="Arial" w:cs="Arial" w:eastAsia="Arial" w:hAnsi="Arial"/>
          <w:sz w:val="22"/>
          <w:szCs w:val="22"/>
          <w:color w:val="auto"/>
        </w:rPr>
        <w:t>the establishment of any special purpose funding vehicle with respect to the Loans,</w:t>
      </w:r>
    </w:p>
    <w:p>
      <w:pPr>
        <w:spacing w:after="0" w:line="179" w:lineRule="exact"/>
        <w:rPr>
          <w:rFonts w:ascii="Arial" w:cs="Arial" w:eastAsia="Arial" w:hAnsi="Arial"/>
          <w:sz w:val="22"/>
          <w:szCs w:val="22"/>
          <w:color w:val="auto"/>
        </w:rPr>
      </w:pPr>
    </w:p>
    <w:p>
      <w:pPr>
        <w:jc w:val="both"/>
        <w:ind w:left="660" w:firstLine="1940"/>
        <w:spacing w:after="0" w:line="257" w:lineRule="auto"/>
        <w:tabs>
          <w:tab w:leader="none" w:pos="324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 xml:space="preserve">any prospective assignment of, or participation in, its rights and obligations pursuant to </w:t>
      </w:r>
      <w:r>
        <w:rPr>
          <w:rFonts w:ascii="Arial" w:cs="Arial" w:eastAsia="Arial" w:hAnsi="Arial"/>
          <w:sz w:val="19"/>
          <w:szCs w:val="19"/>
          <w:u w:val="single" w:color="auto"/>
          <w:color w:val="auto"/>
        </w:rPr>
        <w:t>Section 12.06</w:t>
      </w:r>
      <w:r>
        <w:rPr>
          <w:rFonts w:ascii="Arial" w:cs="Arial" w:eastAsia="Arial" w:hAnsi="Arial"/>
          <w:sz w:val="19"/>
          <w:szCs w:val="19"/>
          <w:color w:val="auto"/>
        </w:rPr>
        <w:t xml:space="preserve">, to prospective assignees or Participants,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prospective assignees or Participants agree to treat such information as confidential substantially in accordance with the terms of this </w:t>
      </w:r>
      <w:r>
        <w:rPr>
          <w:rFonts w:ascii="Arial" w:cs="Arial" w:eastAsia="Arial" w:hAnsi="Arial"/>
          <w:sz w:val="19"/>
          <w:szCs w:val="19"/>
          <w:u w:val="single" w:color="auto"/>
          <w:color w:val="auto"/>
        </w:rPr>
        <w:t>Section 12.18</w:t>
      </w:r>
      <w:r>
        <w:rPr>
          <w:rFonts w:ascii="Arial" w:cs="Arial" w:eastAsia="Arial" w:hAnsi="Arial"/>
          <w:sz w:val="19"/>
          <w:szCs w:val="19"/>
          <w:color w:val="auto"/>
        </w:rPr>
        <w:t xml:space="preserve"> as if such prospective assignees or Participants were Agents or Lenders hereunder; and</w:t>
      </w:r>
    </w:p>
    <w:p>
      <w:pPr>
        <w:spacing w:after="0" w:line="144" w:lineRule="exact"/>
        <w:rPr>
          <w:rFonts w:ascii="Arial" w:cs="Arial" w:eastAsia="Arial" w:hAnsi="Arial"/>
          <w:sz w:val="19"/>
          <w:szCs w:val="19"/>
          <w:color w:val="auto"/>
        </w:rPr>
      </w:pPr>
    </w:p>
    <w:p>
      <w:pPr>
        <w:jc w:val="both"/>
        <w:ind w:left="660" w:firstLine="1940"/>
        <w:spacing w:after="0" w:line="268" w:lineRule="auto"/>
        <w:tabs>
          <w:tab w:leader="none" w:pos="319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any actual or proposed credit facility for loans, letters of credit or other extensions of credit to or for the account of such Agent or Lender or any of its Affiliates, to any Person providing or proposing to provide such loan, letter of credit or other extension of credit or any agent, trustee or representative of such Person;</w:t>
      </w:r>
    </w:p>
    <w:p>
      <w:pPr>
        <w:spacing w:after="0" w:line="132" w:lineRule="exact"/>
        <w:rPr>
          <w:rFonts w:ascii="Arial" w:cs="Arial" w:eastAsia="Arial" w:hAnsi="Arial"/>
          <w:sz w:val="19"/>
          <w:szCs w:val="19"/>
          <w:color w:val="auto"/>
        </w:rPr>
      </w:pPr>
    </w:p>
    <w:p>
      <w:pPr>
        <w:ind w:left="2420" w:hanging="468"/>
        <w:spacing w:after="0"/>
        <w:tabs>
          <w:tab w:leader="none" w:pos="242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to any rating agency; and</w:t>
      </w:r>
    </w:p>
    <w:p>
      <w:pPr>
        <w:sectPr>
          <w:pgSz w:w="11900" w:h="16838" w:orient="portrait"/>
          <w:cols w:equalWidth="0" w:num="1">
            <w:col w:w="11240"/>
          </w:cols>
          <w:pgMar w:left="320" w:top="1401" w:right="339" w:bottom="1440" w:gutter="0" w:footer="0" w:header="0"/>
        </w:sectPr>
      </w:pPr>
    </w:p>
    <w:bookmarkStart w:id="199" w:name="page200"/>
    <w:bookmarkEnd w:id="199"/>
    <w:p>
      <w:pPr>
        <w:spacing w:after="0" w:line="177" w:lineRule="exact"/>
        <w:rPr>
          <w:sz w:val="20"/>
          <w:szCs w:val="20"/>
          <w:color w:val="auto"/>
        </w:rPr>
      </w:pPr>
    </w:p>
    <w:p>
      <w:pPr>
        <w:ind w:left="2420" w:hanging="468"/>
        <w:spacing w:after="0"/>
        <w:tabs>
          <w:tab w:leader="none" w:pos="242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to any other Person with the consent of the Borrower.</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Notwithstanding the foregoing, (A) each of the Agents, the Lenders and any Affiliate thereof is hereby expressly permitted by the Loan Parties to refer to any Loan Party and any of their respective Subsidiaries in connection with any promotion or marketing undertaken by such Agent, Lender or Affiliate and, for such purpose, with Borrower’s consent in connection with any public marketing, such Agent, Lender or Affiliate may utilize any trade name, trademark, logo or other distinctive symbol associated with such Loan Party or such Subsidiary or any of their businesses in a reasonably customary manner and (B) no Agent or Lender shall have any obligation to keep information confidential if such information: (i) is or becomes public or known to participants in the Borrower’s industry from a source other than an Agent, a Lender or an Agent’s or a Lender’s directors, officers, employees, agents, attorneys, accountants or other professional advisors or auditors; (ii) is, was or becomes known on a non-confidential basis to or discovered by an Agent, Lenders or any of their legal or financial advisors independently from communications by or on behalf of any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source of such information was not actually known by the disclosing Agent, Lender or advisor to be bound by a confidentiality agreement with (or subject to any other contractual, legal or fiduciary obligation of confidentiality to) the relevant Loan Party; or (iii) is independently developed by an Agent or a Lender without use of such confidential information.</w:t>
      </w:r>
    </w:p>
    <w:p>
      <w:pPr>
        <w:spacing w:after="0" w:line="3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12.19</w:t>
      </w:r>
      <w:r>
        <w:rPr>
          <w:sz w:val="20"/>
          <w:szCs w:val="20"/>
          <w:color w:val="auto"/>
        </w:rPr>
        <w:tab/>
      </w:r>
      <w:r>
        <w:rPr>
          <w:rFonts w:ascii="Arial" w:cs="Arial" w:eastAsia="Arial" w:hAnsi="Arial"/>
          <w:sz w:val="18"/>
          <w:szCs w:val="18"/>
          <w:u w:val="single" w:color="auto"/>
          <w:color w:val="auto"/>
        </w:rPr>
        <w:t>Press Releases, etc</w:t>
      </w:r>
      <w:r>
        <w:rPr>
          <w:rFonts w:ascii="Arial" w:cs="Arial" w:eastAsia="Arial" w:hAnsi="Arial"/>
          <w:sz w:val="18"/>
          <w:szCs w:val="18"/>
          <w:color w:val="auto"/>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Each Loan Party will not, and will not permit any of its Affiliates or its or its Affiliates’ respective officers, directors, shareholders or employees to, directly or indirectly, (i) publish or permit to be published any press release or other similar public disclosure or announcements (including any marketing materials) regarding this Loan Agreement or the other Loan Documents or the transactions contemplated thereby (other than, for the avoidance of doubt, the PIPE Transactions), without the prior written consent of the Administrative Agent, which consent shall not be unreasonably withheld, or (ii) publish or permit to be published any Agent’s or Lender’s name or logo, or otherwise refer to any Agent or Lender or any of its Affiliates, in connection with this Loan Agreement or the other Loan Documents or the transactions contemplated thereby (other than, for the avoidance of doubt, the PIPE Transactions), without the prior written consent of such Agent or Lender, as applicable.</w:t>
      </w:r>
    </w:p>
    <w:p>
      <w:pPr>
        <w:spacing w:after="0" w:line="15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12.20</w:t>
      </w:r>
      <w:r>
        <w:rPr>
          <w:sz w:val="20"/>
          <w:szCs w:val="20"/>
          <w:color w:val="auto"/>
        </w:rPr>
        <w:tab/>
      </w:r>
      <w:r>
        <w:rPr>
          <w:rFonts w:ascii="Arial" w:cs="Arial" w:eastAsia="Arial" w:hAnsi="Arial"/>
          <w:sz w:val="19"/>
          <w:szCs w:val="19"/>
          <w:u w:val="single" w:color="auto"/>
          <w:color w:val="auto"/>
        </w:rPr>
        <w:t>Releases of Guaranties and Liens</w:t>
      </w:r>
      <w:r>
        <w:rPr>
          <w:rFonts w:ascii="Arial" w:cs="Arial" w:eastAsia="Arial" w:hAnsi="Arial"/>
          <w:sz w:val="19"/>
          <w:szCs w:val="19"/>
          <w:u w:val="single" w:color="auto"/>
          <w:color w:val="0000FF"/>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1952"/>
        <w:spacing w:after="0" w:line="268" w:lineRule="auto"/>
        <w:tabs>
          <w:tab w:leader="none" w:pos="255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Collateral Agent is hereby irrevocably authorized by each Secured Party (without requirement of notice to or consent of any Secured Party except as expressly required by </w:t>
      </w:r>
      <w:r>
        <w:rPr>
          <w:rFonts w:ascii="Arial" w:cs="Arial" w:eastAsia="Arial" w:hAnsi="Arial"/>
          <w:sz w:val="19"/>
          <w:szCs w:val="19"/>
          <w:u w:val="single" w:color="auto"/>
          <w:color w:val="auto"/>
        </w:rPr>
        <w:t>Section 12.01</w:t>
      </w:r>
      <w:r>
        <w:rPr>
          <w:rFonts w:ascii="Arial" w:cs="Arial" w:eastAsia="Arial" w:hAnsi="Arial"/>
          <w:sz w:val="19"/>
          <w:szCs w:val="19"/>
          <w:color w:val="auto"/>
        </w:rPr>
        <w:t>), at the request of the Borrower, to release the following:</w:t>
      </w:r>
    </w:p>
    <w:p>
      <w:pPr>
        <w:spacing w:after="0" w:line="132" w:lineRule="exact"/>
        <w:rPr>
          <w:rFonts w:ascii="Arial" w:cs="Arial" w:eastAsia="Arial" w:hAnsi="Arial"/>
          <w:sz w:val="19"/>
          <w:szCs w:val="19"/>
          <w:color w:val="auto"/>
        </w:rPr>
      </w:pPr>
    </w:p>
    <w:p>
      <w:pPr>
        <w:jc w:val="both"/>
        <w:ind w:left="660" w:firstLine="1940"/>
        <w:spacing w:after="0" w:line="226" w:lineRule="auto"/>
        <w:tabs>
          <w:tab w:leader="none" w:pos="3070" w:val="left"/>
        </w:tabs>
        <w:numPr>
          <w:ilvl w:val="1"/>
          <w:numId w:val="255"/>
        </w:numPr>
        <w:rPr>
          <w:rFonts w:ascii="Arial" w:cs="Arial" w:eastAsia="Arial" w:hAnsi="Arial"/>
          <w:sz w:val="21"/>
          <w:szCs w:val="21"/>
          <w:color w:val="auto"/>
        </w:rPr>
      </w:pPr>
      <w:r>
        <w:rPr>
          <w:rFonts w:ascii="Arial" w:cs="Arial" w:eastAsia="Arial" w:hAnsi="Arial"/>
          <w:sz w:val="21"/>
          <w:szCs w:val="21"/>
          <w:color w:val="auto"/>
        </w:rPr>
        <w:t>any Subsidiary of Borrower from its guaranty of any Obligation if all of the Capital Stock of such Subsidiary owned by any Loan Party are sold or transferred to a non-Loan Party in a transaction permitted under the Loan Documents (including pursuant to a waiver or consent in accordance with this Loan Agreement), to the extent that, after giving effect to such transaction, such Subsidiary would not be required to guaranty any Obligations pursuant to terms of this Loan Agreement or any other Loan Document; and</w:t>
      </w:r>
    </w:p>
    <w:p>
      <w:pPr>
        <w:spacing w:after="0" w:line="159" w:lineRule="exact"/>
        <w:rPr>
          <w:rFonts w:ascii="Arial" w:cs="Arial" w:eastAsia="Arial" w:hAnsi="Arial"/>
          <w:sz w:val="21"/>
          <w:szCs w:val="21"/>
          <w:color w:val="auto"/>
        </w:rPr>
      </w:pPr>
    </w:p>
    <w:p>
      <w:pPr>
        <w:jc w:val="both"/>
        <w:ind w:left="660" w:firstLine="1940"/>
        <w:spacing w:after="0" w:line="223" w:lineRule="auto"/>
        <w:tabs>
          <w:tab w:leader="none" w:pos="3154"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any Lien held by the Collateral Agent for the benefit of the Secured Parties against (x) any Collateral that is sold, transferred, conveyed or otherwise disposed of by a Loan Party to a non-Loan Party in a transaction permitted by the Loan</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7" w:lineRule="exact"/>
        <w:rPr>
          <w:sz w:val="20"/>
          <w:szCs w:val="20"/>
          <w:color w:val="auto"/>
        </w:rPr>
      </w:pPr>
    </w:p>
    <w:p>
      <w:pPr>
        <w:jc w:val="both"/>
        <w:ind w:left="4"/>
        <w:spacing w:after="0" w:line="249" w:lineRule="auto"/>
        <w:rPr>
          <w:sz w:val="20"/>
          <w:szCs w:val="20"/>
          <w:color w:val="auto"/>
        </w:rPr>
      </w:pPr>
      <w:r>
        <w:rPr>
          <w:rFonts w:ascii="Arial" w:cs="Arial" w:eastAsia="Arial" w:hAnsi="Arial"/>
          <w:sz w:val="19"/>
          <w:szCs w:val="19"/>
          <w:color w:val="auto"/>
        </w:rPr>
        <w:t xml:space="preserve">Documents (including pursuant to a valid waiver or consent in accordance with this Loan Agreement), to the extent all Liens required to be granted in such Collateral pursuant to terms of this Loan Agreement or any other Loan Document after giving effect to such transaction have been granted and (ii) all of the Collateral and all Loan Parties at such time as the Loans and the other Obligations (other than Unasserted Contingent Obligations) shall have been paid in full and all Commitments have been terminated (the “ </w:t>
      </w:r>
      <w:r>
        <w:rPr>
          <w:rFonts w:ascii="Arial" w:cs="Arial" w:eastAsia="Arial" w:hAnsi="Arial"/>
          <w:sz w:val="19"/>
          <w:szCs w:val="19"/>
          <w:u w:val="single" w:color="auto"/>
          <w:color w:val="auto"/>
        </w:rPr>
        <w:t>Redemption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to the extent requested by the any Agent, the Loan Parties shall provide a liability release from such Loan Parties in form and substance acceptable to such Agent.</w:t>
      </w:r>
    </w:p>
    <w:p>
      <w:pPr>
        <w:spacing w:after="0" w:line="152" w:lineRule="exact"/>
        <w:rPr>
          <w:sz w:val="20"/>
          <w:szCs w:val="20"/>
          <w:color w:val="auto"/>
        </w:rPr>
      </w:pPr>
    </w:p>
    <w:p>
      <w:pPr>
        <w:jc w:val="both"/>
        <w:ind w:left="-656" w:firstLine="1952"/>
        <w:spacing w:after="0" w:line="243" w:lineRule="auto"/>
        <w:tabs>
          <w:tab w:leader="none" w:pos="1813"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Upon request by the Collateral Agent at any time, (x) the Required Lenders will confirm in writing the Collateral Agent’s authority to release its interest in particular types or items of property, or to release any guarantee obligations pursuant to this </w:t>
      </w:r>
      <w:r>
        <w:rPr>
          <w:rFonts w:ascii="Arial" w:cs="Arial" w:eastAsia="Arial" w:hAnsi="Arial"/>
          <w:sz w:val="19"/>
          <w:szCs w:val="19"/>
          <w:u w:val="single" w:color="auto"/>
          <w:color w:val="auto"/>
        </w:rPr>
        <w:t>Section 12.20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of the Guaranty and Security Agreement and (y) the Borrower shall execute and deliver a certificate of an Authorized Officer certifying that the applicable underlying transaction is permitted under the Loan Documents. In each case as specified in this </w:t>
      </w:r>
      <w:r>
        <w:rPr>
          <w:rFonts w:ascii="Arial" w:cs="Arial" w:eastAsia="Arial" w:hAnsi="Arial"/>
          <w:sz w:val="19"/>
          <w:szCs w:val="19"/>
          <w:u w:val="single" w:color="auto"/>
          <w:color w:val="auto"/>
        </w:rPr>
        <w:t>Section 12.20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of the Guaranty and Security Agreement, the Collateral Agent will (and each Lender irrevocably authorizes the Collateral Agent to), at the Borrower’s sole cost and expense, execute and deliver to the applicable Loan Party such documents and filings as such Loan Party may reasonably request to evidence a Redemption (including, without limitation, any pay-off letter, lien terminations and other applicable documents and deliverables) and the release of such item of Collateral or guarantee obligation from the assignment and security interest granted under the Security Documents, in each case in accordance with the terms of the Loan Documents and this </w:t>
      </w:r>
      <w:r>
        <w:rPr>
          <w:rFonts w:ascii="Arial" w:cs="Arial" w:eastAsia="Arial" w:hAnsi="Arial"/>
          <w:sz w:val="19"/>
          <w:szCs w:val="19"/>
          <w:u w:val="single" w:color="auto"/>
          <w:color w:val="auto"/>
        </w:rPr>
        <w:t>Section 12.20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of the Guaranty and Security Agreement.</w:t>
      </w:r>
    </w:p>
    <w:p>
      <w:pPr>
        <w:spacing w:after="0" w:line="380"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12.21</w:t>
      </w:r>
      <w:r>
        <w:rPr>
          <w:sz w:val="20"/>
          <w:szCs w:val="20"/>
          <w:color w:val="auto"/>
        </w:rPr>
        <w:tab/>
      </w:r>
      <w:r>
        <w:rPr>
          <w:rFonts w:ascii="Arial" w:cs="Arial" w:eastAsia="Arial" w:hAnsi="Arial"/>
          <w:sz w:val="19"/>
          <w:szCs w:val="19"/>
          <w:u w:val="single" w:color="auto"/>
          <w:color w:val="auto"/>
        </w:rPr>
        <w:t>USA Patriot Act</w:t>
      </w:r>
    </w:p>
    <w:p>
      <w:pPr>
        <w:spacing w:after="0" w:line="179" w:lineRule="exact"/>
        <w:rPr>
          <w:sz w:val="20"/>
          <w:szCs w:val="20"/>
          <w:color w:val="auto"/>
        </w:rPr>
      </w:pPr>
    </w:p>
    <w:p>
      <w:pPr>
        <w:jc w:val="both"/>
        <w:ind w:left="-656" w:firstLine="656"/>
        <w:spacing w:after="0" w:line="222" w:lineRule="auto"/>
        <w:tabs>
          <w:tab w:leader="none" w:pos="107" w:val="left"/>
        </w:tabs>
        <w:numPr>
          <w:ilvl w:val="1"/>
          <w:numId w:val="257"/>
        </w:numPr>
        <w:rPr>
          <w:rFonts w:ascii="Arial" w:cs="Arial" w:eastAsia="Arial" w:hAnsi="Arial"/>
          <w:sz w:val="21"/>
          <w:szCs w:val="21"/>
          <w:color w:val="auto"/>
        </w:rPr>
      </w:pPr>
      <w:r>
        <w:rPr>
          <w:rFonts w:ascii="Arial" w:cs="Arial" w:eastAsia="Arial" w:hAnsi="Arial"/>
          <w:sz w:val="21"/>
          <w:szCs w:val="21"/>
          <w:color w:val="auto"/>
        </w:rPr>
        <w:t>Each Lender hereby notifies each Loan Party that, pursuant to the requirements of the USA Patriot Act (Title III of Pub. L. 107-56 (signed into law October 26, 2001)) (the “Patriot Act</w:t>
      </w:r>
      <w:r>
        <w:rPr>
          <w:rFonts w:ascii="Arial" w:cs="Arial" w:eastAsia="Arial" w:hAnsi="Arial"/>
          <w:sz w:val="21"/>
          <w:szCs w:val="21"/>
          <w:u w:val="single" w:color="auto"/>
          <w:color w:val="FF0000"/>
          <w:strike w:val="1"/>
        </w:rPr>
        <w:t>”</w:t>
      </w:r>
      <w:r>
        <w:rPr>
          <w:rFonts w:ascii="Arial" w:cs="Arial" w:eastAsia="Arial" w:hAnsi="Arial"/>
          <w:sz w:val="21"/>
          <w:szCs w:val="21"/>
          <w:u w:val="single" w:color="auto"/>
          <w:color w:val="0000FF"/>
        </w:rPr>
        <w:t>“</w:t>
      </w:r>
      <w:r>
        <w:rPr>
          <w:rFonts w:ascii="Arial" w:cs="Arial" w:eastAsia="Arial" w:hAnsi="Arial"/>
          <w:sz w:val="21"/>
          <w:szCs w:val="21"/>
          <w:color w:val="auto"/>
        </w:rPr>
        <w:t>) and the Beneficial Ownership Regulation, it is required to obtain, verify and record information that identifies the Loan Parties, which information includes the name and address of each Loan Party and other information that will allow such Lender to identify each Loan Party in accordance with the Patriot Act and the Beneficial Ownership Regulation. Each Loan Party agrees to provide all such information to the Lenders upon request by any Agent at any time, whether with respect to any Person who is a Loan Party on the date hereof, on the Closing Date or who becomes a Loan Party thereafter.</w:t>
      </w:r>
    </w:p>
    <w:p>
      <w:pPr>
        <w:spacing w:after="0" w:line="164"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12.22</w:t>
      </w:r>
      <w:r>
        <w:rPr>
          <w:sz w:val="20"/>
          <w:szCs w:val="20"/>
          <w:color w:val="auto"/>
        </w:rPr>
        <w:tab/>
      </w:r>
      <w:r>
        <w:rPr>
          <w:rFonts w:ascii="Arial" w:cs="Arial" w:eastAsia="Arial" w:hAnsi="Arial"/>
          <w:sz w:val="19"/>
          <w:szCs w:val="19"/>
          <w:u w:val="single" w:color="auto"/>
          <w:color w:val="auto"/>
        </w:rPr>
        <w:t>No Fiduciary Duty</w:t>
      </w:r>
    </w:p>
    <w:p>
      <w:pPr>
        <w:spacing w:after="0" w:line="179" w:lineRule="exact"/>
        <w:rPr>
          <w:sz w:val="20"/>
          <w:szCs w:val="20"/>
          <w:color w:val="auto"/>
        </w:rPr>
      </w:pPr>
    </w:p>
    <w:p>
      <w:pPr>
        <w:jc w:val="both"/>
        <w:ind w:left="-656" w:firstLine="656"/>
        <w:spacing w:after="0" w:line="214" w:lineRule="auto"/>
        <w:tabs>
          <w:tab w:leader="none" w:pos="12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the other Secured Parties, and all of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spacing w:after="0" w:line="159"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color w:val="auto"/>
        </w:rPr>
        <w:t>Section 12.23</w:t>
      </w:r>
      <w:r>
        <w:rPr>
          <w:sz w:val="20"/>
          <w:szCs w:val="20"/>
          <w:color w:val="auto"/>
        </w:rPr>
        <w:tab/>
      </w:r>
      <w:r>
        <w:rPr>
          <w:rFonts w:ascii="Arial" w:cs="Arial" w:eastAsia="Arial" w:hAnsi="Arial"/>
          <w:sz w:val="19"/>
          <w:szCs w:val="19"/>
          <w:u w:val="single" w:color="auto"/>
          <w:color w:val="auto"/>
        </w:rPr>
        <w:t>Reliance on Certificates</w:t>
      </w:r>
    </w:p>
    <w:p>
      <w:pPr>
        <w:spacing w:after="0" w:line="179" w:lineRule="exact"/>
        <w:rPr>
          <w:sz w:val="20"/>
          <w:szCs w:val="20"/>
          <w:color w:val="auto"/>
        </w:rPr>
      </w:pPr>
    </w:p>
    <w:p>
      <w:pPr>
        <w:jc w:val="both"/>
        <w:ind w:left="-656" w:firstLine="656"/>
        <w:spacing w:after="0" w:line="223" w:lineRule="auto"/>
        <w:tabs>
          <w:tab w:leader="none" w:pos="101" w:val="left"/>
        </w:tabs>
        <w:numPr>
          <w:ilvl w:val="0"/>
          <w:numId w:val="259"/>
        </w:numPr>
        <w:rPr>
          <w:rFonts w:ascii="Arial" w:cs="Arial" w:eastAsia="Arial" w:hAnsi="Arial"/>
          <w:sz w:val="22"/>
          <w:szCs w:val="22"/>
          <w:color w:val="auto"/>
        </w:rPr>
      </w:pPr>
      <w:r>
        <w:rPr>
          <w:rFonts w:ascii="Arial" w:cs="Arial" w:eastAsia="Arial" w:hAnsi="Arial"/>
          <w:sz w:val="22"/>
          <w:szCs w:val="22"/>
          <w:color w:val="auto"/>
        </w:rPr>
        <w:t>Notwithstanding anything to the contrary herein, the Secured Parties shall be entitled to rely and act upon any certificate, notice or other document delivered by or on behalf of any Person purporting to be an Authorized Officer of a Loan Party, and shall have no duty to inquire as to the actual incumbency or authority of such Person.</w:t>
      </w:r>
    </w:p>
    <w:p>
      <w:pPr>
        <w:sectPr>
          <w:pgSz w:w="11900" w:h="16838" w:orient="portrait"/>
          <w:cols w:equalWidth="0" w:num="1">
            <w:col w:w="10584"/>
          </w:cols>
          <w:pgMar w:left="976" w:top="1440" w:right="339" w:bottom="1440" w:gutter="0" w:footer="0" w:header="0"/>
        </w:sectPr>
      </w:pPr>
    </w:p>
    <w:bookmarkStart w:id="201" w:name="page202"/>
    <w:bookmarkEnd w:id="201"/>
    <w:p>
      <w:pPr>
        <w:ind w:left="660"/>
        <w:spacing w:after="0"/>
        <w:rPr>
          <w:sz w:val="20"/>
          <w:szCs w:val="20"/>
          <w:color w:val="auto"/>
        </w:rPr>
      </w:pPr>
      <w:r>
        <w:rPr>
          <w:rFonts w:ascii="Arial" w:cs="Arial" w:eastAsia="Arial" w:hAnsi="Arial"/>
          <w:sz w:val="22"/>
          <w:szCs w:val="22"/>
          <w:u w:val="single" w:color="auto"/>
          <w:color w:val="FF0000"/>
          <w:strike w:val="1"/>
        </w:rPr>
        <w:t>No Waiver</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u w:val="single" w:color="auto"/>
          <w:color w:val="0000FF"/>
        </w:rPr>
        <w:t>Section 12.24 No Waiver</w:t>
      </w:r>
      <w:r>
        <w:rPr>
          <w:rFonts w:ascii="Arial" w:cs="Arial" w:eastAsia="Arial" w:hAnsi="Arial"/>
          <w:sz w:val="22"/>
          <w:szCs w:val="22"/>
          <w:color w:val="000000"/>
        </w:rPr>
        <w:t>. A Secured Party’s failure to insist at any time upon strict compliance with this Loan</w:t>
      </w:r>
      <w:r>
        <w:rPr>
          <w:rFonts w:ascii="Arial" w:cs="Arial" w:eastAsia="Arial" w:hAnsi="Arial"/>
          <w:sz w:val="22"/>
          <w:szCs w:val="22"/>
          <w:color w:val="0000FF"/>
        </w:rPr>
        <w:t xml:space="preserve"> </w:t>
      </w:r>
      <w:r>
        <w:rPr>
          <w:rFonts w:ascii="Arial" w:cs="Arial" w:eastAsia="Arial" w:hAnsi="Arial"/>
          <w:sz w:val="22"/>
          <w:szCs w:val="22"/>
          <w:color w:val="000000"/>
        </w:rPr>
        <w:t>Agreement or with any of the terms of this Loan Agreement or any continued course of such conduct on its part will not constitute or be considered a waiver by such Secured Party of any of its rights or privileges. A waiver or consent, express or implied, of or to any breach or default by any party in the performance by that party of its obligations with respect to this Loan Agreement is not a waiver or consent of or to any other breach or default in the performance by that party of the same or any other obligations of that party.</w:t>
      </w:r>
    </w:p>
    <w:p>
      <w:pPr>
        <w:spacing w:after="0" w:line="15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12.25</w:t>
      </w:r>
      <w:r>
        <w:rPr>
          <w:sz w:val="20"/>
          <w:szCs w:val="20"/>
          <w:color w:val="auto"/>
        </w:rPr>
        <w:tab/>
      </w:r>
      <w:r>
        <w:rPr>
          <w:rFonts w:ascii="Arial" w:cs="Arial" w:eastAsia="Arial" w:hAnsi="Arial"/>
          <w:sz w:val="19"/>
          <w:szCs w:val="19"/>
          <w:u w:val="single" w:color="auto"/>
          <w:color w:val="auto"/>
        </w:rPr>
        <w:t>The Borrower as the Loan Parties’ Representative</w:t>
      </w:r>
    </w:p>
    <w:p>
      <w:pPr>
        <w:spacing w:after="0" w:line="179" w:lineRule="exact"/>
        <w:rPr>
          <w:sz w:val="20"/>
          <w:szCs w:val="20"/>
          <w:color w:val="auto"/>
        </w:rPr>
      </w:pPr>
    </w:p>
    <w:p>
      <w:pPr>
        <w:jc w:val="both"/>
        <w:ind w:firstLine="656"/>
        <w:spacing w:after="0"/>
        <w:tabs>
          <w:tab w:leader="none" w:pos="79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Each Loan Party (other than the Borrower) hereby irrevocably appoints the Borrower as the borrowing agent and attorney-in-fact for all Loan Parties, which appointment is coupled with an interest and shall remain in full force and effect unless and until the Administrative Agent (i) in its sole discretion shall have consented in writing to the revocation of such appointment and (ii) received prior written notice signed by the Loan Parties that such appointment has been revoked and that another Loan Party has been appointed. Each Loan Party hereby irrevocably appoints and authorizes the Borrower (a) to provide the Agents and the Lenders with all notices with respect to all Loans and other extensions of credit obtained for the benefit of the Borrower and all other notices and instructions under this Loan Agreement and the other Loan Documents, (b) amend, supplement or otherwise modify any term or condition of this Loan Agreement and the other Loan Documents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12.01(b)</w:t>
      </w:r>
      <w:r>
        <w:rPr>
          <w:rFonts w:ascii="Arial" w:cs="Arial" w:eastAsia="Arial" w:hAnsi="Arial"/>
          <w:sz w:val="19"/>
          <w:szCs w:val="19"/>
          <w:color w:val="auto"/>
        </w:rPr>
        <w:t xml:space="preserve"> without any requirement that such Loan Party also sign any documents or instruments to effectuate any such amendment, supplement or waiver, and (c) to take such action as the Borrower deems appropriate on such Loan Party’s behalf to exercise such powers as are reasonably incidental thereto to carry out the purposes of this Loan Agreement and the other Loan Documents. Each Loan Party acknowledges that the handling of this Loan Agreement, the other Loan Documents and the Collateral in a combined fashion, as more fully set forth herein and in the other Loan Documents, is done solely as an accommodation to the Loan Parties in order to utilize the collective borrowing powers of the Loan Parties in the most efficient and economical manner and at their request, and that no Agent or Lender shall incur liability to any Loan Party as a result thereof. Each Loan Party expects to derive substantial benefit, directly or indirectly, from the handling of this Loan Agreement, the other Loan Documents and the Collateral in a combined fashion because the successful operation of each Loan Party is dependent on the continued successful performance of the integrated group. To induce the Agents and Lenders to do so, and in consideration thereof, each Loan Party hereby jointly and severally agrees to indemnify each Agent and each Lender against, and hold each Agent and each Lender harmless from, any and all liability, expense, loss or claim of damage or injury made against any Agent or Lender by any Loan Party or by any third party whosoever, arising from or incurred by reason of (x) the handling of this Loan Agreement, the other Loan Documents and the Collateral as provided herein, or (y) an Agent or a Lender relying on any instructions of the Borrower, except that the Loan Parties will have no liability to any Agent or Lender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12.25</w:t>
      </w:r>
      <w:r>
        <w:rPr>
          <w:rFonts w:ascii="Arial" w:cs="Arial" w:eastAsia="Arial" w:hAnsi="Arial"/>
          <w:sz w:val="19"/>
          <w:szCs w:val="19"/>
          <w:color w:val="auto"/>
        </w:rPr>
        <w:t xml:space="preserve"> with respect to any liability that has been finally determined by a court of competent jurisdiction to have resulted solely from the gross negligence or willful misconduct of such Agent or such Lender, as applicable.</w:t>
      </w:r>
    </w:p>
    <w:p>
      <w:pPr>
        <w:spacing w:after="0" w:line="37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12.26</w:t>
      </w:r>
      <w:r>
        <w:rPr>
          <w:sz w:val="20"/>
          <w:szCs w:val="20"/>
          <w:color w:val="auto"/>
        </w:rPr>
        <w:tab/>
      </w:r>
      <w:r>
        <w:rPr>
          <w:rFonts w:ascii="Arial" w:cs="Arial" w:eastAsia="Arial" w:hAnsi="Arial"/>
          <w:sz w:val="19"/>
          <w:szCs w:val="19"/>
          <w:u w:val="single" w:color="auto"/>
          <w:color w:val="auto"/>
        </w:rPr>
        <w:t>Funding Losses</w:t>
      </w:r>
      <w:r>
        <w:rPr>
          <w:rFonts w:ascii="Arial" w:cs="Arial" w:eastAsia="Arial" w:hAnsi="Arial"/>
          <w:sz w:val="19"/>
          <w:szCs w:val="19"/>
          <w:color w:val="auto"/>
        </w:rPr>
        <w:t>.</w:t>
      </w:r>
    </w:p>
    <w:p>
      <w:pPr>
        <w:spacing w:after="0" w:line="179"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The Borrower agrees to reimburse each Lender and to hold each Lender harmless from any actual and documented loss or expense (but excluding lost profits) which such Lender may sustain or incur as a direct consequence of:</w:t>
      </w:r>
    </w:p>
    <w:p>
      <w:pPr>
        <w:sectPr>
          <w:pgSz w:w="11900" w:h="16838" w:orient="portrait"/>
          <w:cols w:equalWidth="0" w:num="1">
            <w:col w:w="11240"/>
          </w:cols>
          <w:pgMar w:left="320" w:top="1401" w:right="339" w:bottom="1440" w:gutter="0" w:footer="0" w:header="0"/>
        </w:sectPr>
      </w:pPr>
    </w:p>
    <w:bookmarkStart w:id="202" w:name="page203"/>
    <w:bookmarkEnd w:id="202"/>
    <w:p>
      <w:pPr>
        <w:spacing w:after="0" w:line="177" w:lineRule="exact"/>
        <w:rPr>
          <w:sz w:val="20"/>
          <w:szCs w:val="20"/>
          <w:color w:val="auto"/>
        </w:rPr>
      </w:pPr>
    </w:p>
    <w:p>
      <w:pPr>
        <w:ind w:firstLine="1952"/>
        <w:spacing w:after="0" w:line="232" w:lineRule="auto"/>
        <w:tabs>
          <w:tab w:leader="none" w:pos="2541"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xml:space="preserve">the failure of the Borrower to make any payment or mandatory prepayment of principal of any </w:t>
      </w:r>
      <w:r>
        <w:rPr>
          <w:rFonts w:ascii="Arial" w:cs="Arial" w:eastAsia="Arial" w:hAnsi="Arial"/>
          <w:sz w:val="22"/>
          <w:szCs w:val="22"/>
          <w:color w:val="FF0000"/>
          <w:strike w:val="1"/>
        </w:rPr>
        <w:t>LIBOR Rate</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 as and when due hereunder (including payments made after any acceleration thereof);</w:t>
      </w:r>
    </w:p>
    <w:p>
      <w:pPr>
        <w:spacing w:after="0" w:line="158" w:lineRule="exact"/>
        <w:rPr>
          <w:rFonts w:ascii="Arial" w:cs="Arial" w:eastAsia="Arial" w:hAnsi="Arial"/>
          <w:sz w:val="22"/>
          <w:szCs w:val="22"/>
          <w:color w:val="auto"/>
        </w:rPr>
      </w:pPr>
    </w:p>
    <w:p>
      <w:pPr>
        <w:ind w:left="2520" w:hanging="568"/>
        <w:spacing w:after="0"/>
        <w:tabs>
          <w:tab w:leader="none" w:pos="252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failure of the Borrower to borrow a Loan after the Borrower has given (or is deemed to have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given) a Borrowing Notice;</w:t>
      </w:r>
    </w:p>
    <w:p>
      <w:pPr>
        <w:spacing w:after="0" w:line="161" w:lineRule="exact"/>
        <w:rPr>
          <w:rFonts w:ascii="Arial" w:cs="Arial" w:eastAsia="Arial" w:hAnsi="Arial"/>
          <w:sz w:val="19"/>
          <w:szCs w:val="19"/>
          <w:color w:val="auto"/>
        </w:rPr>
      </w:pPr>
    </w:p>
    <w:p>
      <w:pPr>
        <w:ind w:firstLine="1952"/>
        <w:spacing w:after="0" w:line="232" w:lineRule="auto"/>
        <w:tabs>
          <w:tab w:leader="none" w:pos="2571"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xml:space="preserve">the failure of the Borrower to make any prepayment after the Borrower has given a notice in accordance with </w:t>
      </w:r>
      <w:r>
        <w:rPr>
          <w:rFonts w:ascii="Arial" w:cs="Arial" w:eastAsia="Arial" w:hAnsi="Arial"/>
          <w:sz w:val="22"/>
          <w:szCs w:val="22"/>
          <w:u w:val="single" w:color="auto"/>
          <w:color w:val="auto"/>
        </w:rPr>
        <w:t>Section 4.01(a)(i)</w:t>
      </w:r>
      <w:r>
        <w:rPr>
          <w:rFonts w:ascii="Arial" w:cs="Arial" w:eastAsia="Arial" w:hAnsi="Arial"/>
          <w:sz w:val="22"/>
          <w:szCs w:val="22"/>
          <w:color w:val="auto"/>
        </w:rPr>
        <w:t>; or</w:t>
      </w:r>
    </w:p>
    <w:p>
      <w:pPr>
        <w:spacing w:after="0" w:line="158" w:lineRule="exact"/>
        <w:rPr>
          <w:rFonts w:ascii="Arial" w:cs="Arial" w:eastAsia="Arial" w:hAnsi="Arial"/>
          <w:sz w:val="22"/>
          <w:szCs w:val="22"/>
          <w:color w:val="auto"/>
        </w:rPr>
      </w:pPr>
    </w:p>
    <w:p>
      <w:pPr>
        <w:ind w:firstLine="1952"/>
        <w:spacing w:after="0" w:line="232" w:lineRule="auto"/>
        <w:tabs>
          <w:tab w:leader="none" w:pos="2447"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xml:space="preserve">the prepayment (including pursuant to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of a </w:t>
      </w:r>
      <w:r>
        <w:rPr>
          <w:rFonts w:ascii="Arial" w:cs="Arial" w:eastAsia="Arial" w:hAnsi="Arial"/>
          <w:sz w:val="22"/>
          <w:szCs w:val="22"/>
          <w:color w:val="FF0000"/>
          <w:strike w:val="1"/>
        </w:rPr>
        <w:t>LIBOR Rate</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on a day which is not the last day of the Interest Period with respect thereto;</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including any such loss or expense arising from the liquidation or reemployment of funds obtained by it to maintain its </w:t>
      </w:r>
      <w:r>
        <w:rPr>
          <w:rFonts w:ascii="Arial" w:cs="Arial" w:eastAsia="Arial" w:hAnsi="Arial"/>
          <w:sz w:val="19"/>
          <w:szCs w:val="19"/>
          <w:color w:val="FF0000"/>
          <w:strike w:val="1"/>
        </w:rPr>
        <w:t>LIBOR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Loans hereunder or from fees payable to terminate the deposits from which such funds were obtained. Solely for</w:t>
      </w:r>
      <w:r>
        <w:rPr>
          <w:rFonts w:ascii="Arial" w:cs="Arial" w:eastAsia="Arial" w:hAnsi="Arial"/>
          <w:sz w:val="19"/>
          <w:szCs w:val="19"/>
          <w:color w:val="FF0000"/>
        </w:rPr>
        <w:t xml:space="preserve"> </w:t>
      </w:r>
      <w:r>
        <w:rPr>
          <w:rFonts w:ascii="Arial" w:cs="Arial" w:eastAsia="Arial" w:hAnsi="Arial"/>
          <w:sz w:val="19"/>
          <w:szCs w:val="19"/>
          <w:color w:val="000000"/>
        </w:rPr>
        <w:t xml:space="preserve">purposes of calculating amounts payable by the Borrower to the Lenders under this </w:t>
      </w:r>
      <w:r>
        <w:rPr>
          <w:rFonts w:ascii="Arial" w:cs="Arial" w:eastAsia="Arial" w:hAnsi="Arial"/>
          <w:sz w:val="19"/>
          <w:szCs w:val="19"/>
          <w:u w:val="single" w:color="auto"/>
          <w:color w:val="000000"/>
        </w:rPr>
        <w:t>Section 12.26</w:t>
      </w:r>
      <w:r>
        <w:rPr>
          <w:rFonts w:ascii="Arial" w:cs="Arial" w:eastAsia="Arial" w:hAnsi="Arial"/>
          <w:sz w:val="19"/>
          <w:szCs w:val="19"/>
          <w:color w:val="000000"/>
        </w:rPr>
        <w:t xml:space="preserve"> and under </w:t>
      </w:r>
      <w:r>
        <w:rPr>
          <w:rFonts w:ascii="Arial" w:cs="Arial" w:eastAsia="Arial" w:hAnsi="Arial"/>
          <w:sz w:val="19"/>
          <w:szCs w:val="19"/>
          <w:u w:val="single" w:color="auto"/>
          <w:color w:val="000000"/>
        </w:rPr>
        <w:t>Section 2.06(a)(ii)</w:t>
      </w:r>
      <w:r>
        <w:rPr>
          <w:rFonts w:ascii="Arial" w:cs="Arial" w:eastAsia="Arial" w:hAnsi="Arial"/>
          <w:sz w:val="19"/>
          <w:szCs w:val="19"/>
          <w:color w:val="000000"/>
        </w:rPr>
        <w:t xml:space="preserve">: each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Loan that is made by a Lender (and each related reserve, special deposit or similar requirement) shall be conclusively deemed to have been funded at the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Adjusted Term SOFR</w:t>
      </w:r>
      <w:r>
        <w:rPr>
          <w:rFonts w:ascii="Arial" w:cs="Arial" w:eastAsia="Arial" w:hAnsi="Arial"/>
          <w:sz w:val="19"/>
          <w:szCs w:val="19"/>
          <w:color w:val="000000"/>
        </w:rPr>
        <w:t xml:space="preserve"> used in determining the interest rate for such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 by a matching deposit or other borrowing in the</w:t>
      </w:r>
      <w:r>
        <w:rPr>
          <w:rFonts w:ascii="Arial" w:cs="Arial" w:eastAsia="Arial" w:hAnsi="Arial"/>
          <w:sz w:val="19"/>
          <w:szCs w:val="19"/>
          <w:color w:val="FF0000"/>
        </w:rPr>
        <w:t xml:space="preserve"> </w:t>
      </w:r>
      <w:r>
        <w:rPr>
          <w:rFonts w:ascii="Arial" w:cs="Arial" w:eastAsia="Arial" w:hAnsi="Arial"/>
          <w:sz w:val="19"/>
          <w:szCs w:val="19"/>
          <w:color w:val="FF0000"/>
          <w:strike w:val="1"/>
        </w:rPr>
        <w:t>interbank Eurodollar</w:t>
      </w:r>
      <w:r>
        <w:rPr>
          <w:rFonts w:ascii="Arial" w:cs="Arial" w:eastAsia="Arial" w:hAnsi="Arial"/>
          <w:sz w:val="19"/>
          <w:szCs w:val="19"/>
          <w:u w:val="single" w:color="auto"/>
          <w:color w:val="0000FF"/>
        </w:rPr>
        <w:t>secured overnight financing</w:t>
      </w:r>
      <w:r>
        <w:rPr>
          <w:rFonts w:ascii="Arial" w:cs="Arial" w:eastAsia="Arial" w:hAnsi="Arial"/>
          <w:sz w:val="19"/>
          <w:szCs w:val="19"/>
          <w:color w:val="FF0000"/>
        </w:rPr>
        <w:t xml:space="preserve"> </w:t>
      </w:r>
      <w:r>
        <w:rPr>
          <w:rFonts w:ascii="Arial" w:cs="Arial" w:eastAsia="Arial" w:hAnsi="Arial"/>
          <w:sz w:val="19"/>
          <w:szCs w:val="19"/>
          <w:color w:val="000000"/>
        </w:rPr>
        <w:t>market</w:t>
      </w:r>
      <w:r>
        <w:rPr>
          <w:rFonts w:ascii="Arial" w:cs="Arial" w:eastAsia="Arial" w:hAnsi="Arial"/>
          <w:sz w:val="19"/>
          <w:szCs w:val="19"/>
          <w:color w:val="FF0000"/>
        </w:rPr>
        <w:t xml:space="preserve"> </w:t>
      </w:r>
      <w:r>
        <w:rPr>
          <w:rFonts w:ascii="Arial" w:cs="Arial" w:eastAsia="Arial" w:hAnsi="Arial"/>
          <w:sz w:val="19"/>
          <w:szCs w:val="19"/>
          <w:color w:val="000000"/>
        </w:rPr>
        <w:t xml:space="preserve">for a comparable amount and for a comparable period, whether or not such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Loan is in fact so funded. A certificate of any Lender setting forth any amount or amounts that such Lender is entitled to receive pursuant to this Section 12.26 shall be delivered to the Borrower and shall be conclusive absent manifest error. The Borrower shall pay such Lender the amount shown as due on any such certificate within ten (10) Business Days after receipt thereof.</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12.27</w:t>
      </w:r>
      <w:r>
        <w:rPr>
          <w:sz w:val="20"/>
          <w:szCs w:val="20"/>
          <w:color w:val="auto"/>
        </w:rPr>
        <w:tab/>
      </w:r>
      <w:r>
        <w:rPr>
          <w:rFonts w:ascii="Arial" w:cs="Arial" w:eastAsia="Arial" w:hAnsi="Arial"/>
          <w:sz w:val="19"/>
          <w:szCs w:val="19"/>
          <w:u w:val="single" w:color="auto"/>
          <w:color w:val="auto"/>
        </w:rPr>
        <w:t>Acknowledgement and Consent to Bail-in of Affected Financial Institutions</w:t>
      </w:r>
    </w:p>
    <w:p>
      <w:pPr>
        <w:spacing w:after="0" w:line="179" w:lineRule="exact"/>
        <w:rPr>
          <w:sz w:val="20"/>
          <w:szCs w:val="20"/>
          <w:color w:val="auto"/>
        </w:rPr>
      </w:pPr>
    </w:p>
    <w:p>
      <w:pPr>
        <w:jc w:val="both"/>
        <w:ind w:firstLine="656"/>
        <w:spacing w:after="0" w:line="216" w:lineRule="auto"/>
        <w:tabs>
          <w:tab w:leader="none" w:pos="83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rFonts w:ascii="Arial" w:cs="Arial" w:eastAsia="Arial" w:hAnsi="Arial"/>
          <w:sz w:val="22"/>
          <w:szCs w:val="22"/>
          <w:color w:val="auto"/>
        </w:rPr>
      </w:pPr>
    </w:p>
    <w:p>
      <w:pPr>
        <w:ind w:firstLine="1952"/>
        <w:spacing w:after="0" w:line="298" w:lineRule="auto"/>
        <w:tabs>
          <w:tab w:leader="none" w:pos="2422" w:val="left"/>
        </w:tabs>
        <w:numPr>
          <w:ilvl w:val="1"/>
          <w:numId w:val="26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05" w:lineRule="exact"/>
        <w:rPr>
          <w:rFonts w:ascii="Arial" w:cs="Arial" w:eastAsia="Arial" w:hAnsi="Arial"/>
          <w:sz w:val="19"/>
          <w:szCs w:val="19"/>
          <w:color w:val="auto"/>
        </w:rPr>
      </w:pPr>
    </w:p>
    <w:p>
      <w:pPr>
        <w:ind w:left="2420" w:hanging="468"/>
        <w:spacing w:after="0"/>
        <w:tabs>
          <w:tab w:leader="none" w:pos="2420" w:val="left"/>
        </w:tabs>
        <w:numPr>
          <w:ilvl w:val="1"/>
          <w:numId w:val="262"/>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rFonts w:ascii="Arial" w:cs="Arial" w:eastAsia="Arial" w:hAnsi="Arial"/>
          <w:sz w:val="22"/>
          <w:szCs w:val="22"/>
          <w:color w:val="auto"/>
        </w:rPr>
      </w:pPr>
    </w:p>
    <w:p>
      <w:pPr>
        <w:ind w:left="3020" w:hanging="420"/>
        <w:spacing w:after="0"/>
        <w:tabs>
          <w:tab w:leader="none" w:pos="3020" w:val="left"/>
        </w:tabs>
        <w:numPr>
          <w:ilvl w:val="2"/>
          <w:numId w:val="26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left="660" w:firstLine="1940"/>
        <w:spacing w:after="0" w:line="229" w:lineRule="auto"/>
        <w:tabs>
          <w:tab w:leader="none" w:pos="3087" w:val="left"/>
        </w:tabs>
        <w:numPr>
          <w:ilvl w:val="2"/>
          <w:numId w:val="262"/>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Loan Agreement or any other Loan Document; or</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77" w:lineRule="exact"/>
        <w:rPr>
          <w:sz w:val="20"/>
          <w:szCs w:val="20"/>
          <w:color w:val="auto"/>
        </w:rPr>
      </w:pPr>
    </w:p>
    <w:p>
      <w:pPr>
        <w:ind w:left="660" w:firstLine="1940"/>
        <w:spacing w:after="0" w:line="232" w:lineRule="auto"/>
        <w:tabs>
          <w:tab w:leader="none" w:pos="318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the applicable Resolution Authority.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Keepwell</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u w:val="single" w:color="auto"/>
          <w:color w:val="0000FF"/>
        </w:rPr>
        <w:t>Section 12.28 Keepwell</w:t>
      </w:r>
      <w:r>
        <w:rPr>
          <w:rFonts w:ascii="Arial" w:cs="Arial" w:eastAsia="Arial" w:hAnsi="Arial"/>
          <w:sz w:val="21"/>
          <w:szCs w:val="21"/>
          <w:color w:val="000000"/>
        </w:rPr>
        <w:t>. Each Qualified ECP Guarantor hereby jointly and severally absolutely, unconditionally and</w:t>
      </w:r>
      <w:r>
        <w:rPr>
          <w:rFonts w:ascii="Arial" w:cs="Arial" w:eastAsia="Arial" w:hAnsi="Arial"/>
          <w:sz w:val="21"/>
          <w:szCs w:val="21"/>
          <w:color w:val="0000FF"/>
        </w:rPr>
        <w:t xml:space="preserve"> </w:t>
      </w:r>
      <w:r>
        <w:rPr>
          <w:rFonts w:ascii="Arial" w:cs="Arial" w:eastAsia="Arial" w:hAnsi="Arial"/>
          <w:sz w:val="21"/>
          <w:szCs w:val="21"/>
          <w:color w:val="000000"/>
        </w:rPr>
        <w:t xml:space="preserve">irrevocably undertakes to provide such funds or other support as may be needed from time to time by each other Loan Party to honor all of its obligations under the Guaranty and Security Agreement in respect of Swap Obligations under any Secured Hedging Agreement (provided, however, that each Qualified ECP Guarantor shall only be liable under this </w:t>
      </w:r>
      <w:r>
        <w:rPr>
          <w:rFonts w:ascii="Arial" w:cs="Arial" w:eastAsia="Arial" w:hAnsi="Arial"/>
          <w:sz w:val="21"/>
          <w:szCs w:val="21"/>
          <w:u w:val="single" w:color="auto"/>
          <w:color w:val="000000"/>
        </w:rPr>
        <w:t>Section 12.28</w:t>
      </w:r>
      <w:r>
        <w:rPr>
          <w:rFonts w:ascii="Arial" w:cs="Arial" w:eastAsia="Arial" w:hAnsi="Arial"/>
          <w:sz w:val="21"/>
          <w:szCs w:val="21"/>
          <w:color w:val="000000"/>
        </w:rPr>
        <w:t xml:space="preserve"> for the maximum amount of such liability that can be hereby incurred without rendering its obligations under this </w:t>
      </w:r>
      <w:r>
        <w:rPr>
          <w:rFonts w:ascii="Arial" w:cs="Arial" w:eastAsia="Arial" w:hAnsi="Arial"/>
          <w:sz w:val="21"/>
          <w:szCs w:val="21"/>
          <w:u w:val="single" w:color="auto"/>
          <w:color w:val="000000"/>
        </w:rPr>
        <w:t>Section 12.28</w:t>
      </w:r>
      <w:r>
        <w:rPr>
          <w:rFonts w:ascii="Arial" w:cs="Arial" w:eastAsia="Arial" w:hAnsi="Arial"/>
          <w:sz w:val="21"/>
          <w:szCs w:val="21"/>
          <w:color w:val="000000"/>
        </w:rPr>
        <w:t xml:space="preserve">, or otherwise under the Guaranty and Security Agreement, voidable under applicable Law relating to fraudulent conveyance or fraudulent transfer, and not for any greater amount). The obligations of each Qualified ECP Guarantor under this </w:t>
      </w:r>
      <w:r>
        <w:rPr>
          <w:rFonts w:ascii="Arial" w:cs="Arial" w:eastAsia="Arial" w:hAnsi="Arial"/>
          <w:sz w:val="21"/>
          <w:szCs w:val="21"/>
          <w:u w:val="single" w:color="auto"/>
          <w:color w:val="000000"/>
        </w:rPr>
        <w:t>Section 12.28</w:t>
      </w:r>
      <w:r>
        <w:rPr>
          <w:rFonts w:ascii="Arial" w:cs="Arial" w:eastAsia="Arial" w:hAnsi="Arial"/>
          <w:sz w:val="21"/>
          <w:szCs w:val="21"/>
          <w:color w:val="000000"/>
        </w:rPr>
        <w:t xml:space="preserve"> shall remain in full force and effect until the guarantees in respect of Swap Obligations under each Secured Hedging Agreement have been discharged, or otherwise released or terminated in accordance with the terms of this Loan Agreement. Each Qualified ECP Guarantor intends that this </w:t>
      </w:r>
      <w:r>
        <w:rPr>
          <w:rFonts w:ascii="Arial" w:cs="Arial" w:eastAsia="Arial" w:hAnsi="Arial"/>
          <w:sz w:val="21"/>
          <w:szCs w:val="21"/>
          <w:u w:val="single" w:color="auto"/>
          <w:color w:val="000000"/>
        </w:rPr>
        <w:t>Section 12.28</w:t>
      </w:r>
      <w:r>
        <w:rPr>
          <w:rFonts w:ascii="Arial" w:cs="Arial" w:eastAsia="Arial" w:hAnsi="Arial"/>
          <w:sz w:val="21"/>
          <w:szCs w:val="21"/>
          <w:color w:val="000000"/>
        </w:rPr>
        <w:t xml:space="preserve"> constitute, and this </w:t>
      </w:r>
      <w:r>
        <w:rPr>
          <w:rFonts w:ascii="Arial" w:cs="Arial" w:eastAsia="Arial" w:hAnsi="Arial"/>
          <w:sz w:val="21"/>
          <w:szCs w:val="21"/>
          <w:u w:val="single" w:color="auto"/>
          <w:color w:val="000000"/>
        </w:rPr>
        <w:t>Section 12.28</w:t>
      </w:r>
      <w:r>
        <w:rPr>
          <w:rFonts w:ascii="Arial" w:cs="Arial" w:eastAsia="Arial" w:hAnsi="Arial"/>
          <w:sz w:val="21"/>
          <w:szCs w:val="21"/>
          <w:color w:val="000000"/>
        </w:rPr>
        <w:t xml:space="preserve"> shall be deemed to constitute, a “keepwell, support, or other agreement” for the benefit of each other Credit Party for all purposes of Section 1a(18)(A)(v)(II) of the Commodity Exchange Act.</w:t>
      </w:r>
    </w:p>
    <w:p>
      <w:pPr>
        <w:spacing w:after="0" w:line="16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12.29</w:t>
      </w:r>
      <w:r>
        <w:rPr>
          <w:sz w:val="20"/>
          <w:szCs w:val="20"/>
          <w:color w:val="auto"/>
        </w:rPr>
        <w:tab/>
      </w:r>
      <w:r>
        <w:rPr>
          <w:rFonts w:ascii="Arial" w:cs="Arial" w:eastAsia="Arial" w:hAnsi="Arial"/>
          <w:sz w:val="19"/>
          <w:szCs w:val="19"/>
          <w:u w:val="single" w:color="auto"/>
          <w:color w:val="auto"/>
        </w:rPr>
        <w:t>Acknowledgement Regarding Any Supported QFCs</w:t>
      </w:r>
    </w:p>
    <w:p>
      <w:pPr>
        <w:spacing w:after="0" w:line="179" w:lineRule="exact"/>
        <w:rPr>
          <w:sz w:val="20"/>
          <w:szCs w:val="20"/>
          <w:color w:val="auto"/>
        </w:rPr>
      </w:pPr>
    </w:p>
    <w:p>
      <w:pPr>
        <w:jc w:val="both"/>
        <w:ind w:firstLine="656"/>
        <w:spacing w:after="0" w:line="211" w:lineRule="auto"/>
        <w:tabs>
          <w:tab w:leader="none" w:pos="76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To the extent that the Loan Documents provide support, through a guarantee or otherwise, for Hedging Agreements or any other agreement or instrument that is a QFC (such support, “</w:t>
      </w:r>
      <w:r>
        <w:rPr>
          <w:rFonts w:ascii="Arial" w:cs="Arial" w:eastAsia="Arial" w:hAnsi="Arial"/>
          <w:sz w:val="22"/>
          <w:szCs w:val="22"/>
          <w:u w:val="single" w:color="auto"/>
          <w:color w:val="auto"/>
        </w:rPr>
        <w:t>QFC Credit Support</w:t>
      </w:r>
      <w:r>
        <w:rPr>
          <w:rFonts w:ascii="Arial" w:cs="Arial" w:eastAsia="Arial" w:hAnsi="Arial"/>
          <w:sz w:val="22"/>
          <w:szCs w:val="22"/>
          <w:color w:val="auto"/>
        </w:rPr>
        <w:t>” and each such QFC a “</w:t>
      </w:r>
      <w:r>
        <w:rPr>
          <w:rFonts w:ascii="Arial" w:cs="Arial" w:eastAsia="Arial" w:hAnsi="Arial"/>
          <w:sz w:val="22"/>
          <w:szCs w:val="22"/>
          <w:u w:val="single" w:color="auto"/>
          <w:color w:val="auto"/>
        </w:rPr>
        <w:t>Supported QFC</w:t>
      </w:r>
      <w:r>
        <w:rPr>
          <w:rFonts w:ascii="Arial" w:cs="Arial" w:eastAsia="Arial" w:hAnsi="Arial"/>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2"/>
          <w:szCs w:val="22"/>
          <w:u w:val="single" w:color="auto"/>
          <w:color w:val="auto"/>
        </w:rPr>
        <w:t>U.S. Special Resolution Regimes</w:t>
      </w:r>
      <w:r>
        <w:rPr>
          <w:rFonts w:ascii="Arial" w:cs="Arial" w:eastAsia="Arial" w:hAnsi="Arial"/>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4" w:lineRule="exact"/>
        <w:rPr>
          <w:rFonts w:ascii="Arial" w:cs="Arial" w:eastAsia="Arial" w:hAnsi="Arial"/>
          <w:sz w:val="22"/>
          <w:szCs w:val="22"/>
          <w:color w:val="auto"/>
        </w:rPr>
      </w:pPr>
    </w:p>
    <w:p>
      <w:pPr>
        <w:jc w:val="both"/>
        <w:ind w:firstLine="1952"/>
        <w:spacing w:after="0" w:line="212" w:lineRule="auto"/>
        <w:tabs>
          <w:tab w:leader="none" w:pos="2464" w:val="left"/>
        </w:tabs>
        <w:numPr>
          <w:ilvl w:val="1"/>
          <w:numId w:val="264"/>
        </w:numPr>
        <w:rPr>
          <w:rFonts w:ascii="Arial" w:cs="Arial" w:eastAsia="Arial" w:hAnsi="Arial"/>
          <w:sz w:val="22"/>
          <w:szCs w:val="22"/>
          <w:color w:val="auto"/>
        </w:rPr>
      </w:pPr>
      <w:r>
        <w:rPr>
          <w:rFonts w:ascii="Arial" w:cs="Arial" w:eastAsia="Arial" w:hAnsi="Arial"/>
          <w:sz w:val="22"/>
          <w:szCs w:val="22"/>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63" w:lineRule="exact"/>
        <w:rPr>
          <w:rFonts w:ascii="Arial" w:cs="Arial" w:eastAsia="Arial" w:hAnsi="Arial"/>
          <w:sz w:val="22"/>
          <w:szCs w:val="22"/>
          <w:color w:val="auto"/>
        </w:rPr>
      </w:pPr>
    </w:p>
    <w:p>
      <w:pPr>
        <w:jc w:val="both"/>
        <w:ind w:firstLine="1952"/>
        <w:spacing w:after="0" w:line="252" w:lineRule="auto"/>
        <w:tabs>
          <w:tab w:leader="none" w:pos="2561" w:val="left"/>
        </w:tabs>
        <w:numPr>
          <w:ilvl w:val="1"/>
          <w:numId w:val="264"/>
        </w:numPr>
        <w:rPr>
          <w:rFonts w:ascii="Arial" w:cs="Arial" w:eastAsia="Arial" w:hAnsi="Arial"/>
          <w:sz w:val="19"/>
          <w:szCs w:val="19"/>
          <w:color w:val="auto"/>
        </w:rPr>
      </w:pPr>
      <w:r>
        <w:rPr>
          <w:rFonts w:ascii="Arial" w:cs="Arial" w:eastAsia="Arial" w:hAnsi="Arial"/>
          <w:sz w:val="19"/>
          <w:szCs w:val="19"/>
          <w:color w:val="auto"/>
        </w:rPr>
        <w:t>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77" w:lineRule="exact"/>
        <w:rPr>
          <w:sz w:val="20"/>
          <w:szCs w:val="20"/>
          <w:color w:val="auto"/>
        </w:rPr>
      </w:pPr>
    </w:p>
    <w:p>
      <w:pPr>
        <w:jc w:val="both"/>
        <w:ind w:firstLine="1952"/>
        <w:spacing w:after="0" w:line="223" w:lineRule="auto"/>
        <w:tabs>
          <w:tab w:leader="none" w:pos="241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u w:val="single" w:color="auto"/>
          <w:color w:val="0000FF"/>
        </w:rPr>
        <w:t>Section 12.30 Erroneous Payments. If a payment is made by the Administrative Agent (or its Affiliates) in error (whether known to the recipient or not) or if a Lender or another recipient of funds is not otherwise entitled to receive such funds at such time of such payment or from such Person in accordance with the Loan Documents, then such Lender or recipient shall forthwith on demand repay to the Administrative Agent the portion of such payment that was made in error (or otherwise not intended (as determined by the Administrative Agent) to be received) in the amount made available by the Administrative Agent (or its Affiliate) to such Lender or recipient, with interest thereon, for each day from and including the date such amount was made available by the Administrative Agent (or its Affiliate) to it to but excluding the date of payment to the Administrative Agent, at the greater of the Federal Funds Rate and a rate determined by the Administrative Agent in accordance with banking industry rules on interbank compensation; provided that, without limiting any other rights or remedies (whether at law or in equity), the Administrative Agent may not make any such demand under this Section 12.30 with respect to such payment unless such demand is made within sixty (60) days of the date of receipt of such payment by the applicable Lender. Each Lender and other party hereto waives the discharge for value defense in respect of any such payment.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JURISDICTION; VENUE, SERVICE OF PROCESS; JURY TRIAL WAIVER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JURISDICTION</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0000FF"/>
        </w:rPr>
        <w:t xml:space="preserve">Section 13.01 </w:t>
      </w:r>
      <w:r>
        <w:rPr>
          <w:rFonts w:ascii="Arial" w:cs="Arial" w:eastAsia="Arial" w:hAnsi="Arial"/>
          <w:sz w:val="21"/>
          <w:szCs w:val="21"/>
          <w:u w:val="single" w:color="auto"/>
          <w:color w:val="FF0000"/>
          <w:strike w:val="1"/>
        </w:rPr>
        <w:t>.</w:t>
      </w:r>
      <w:r>
        <w:rPr>
          <w:rFonts w:ascii="Arial" w:cs="Arial" w:eastAsia="Arial" w:hAnsi="Arial"/>
          <w:sz w:val="21"/>
          <w:szCs w:val="21"/>
          <w:u w:val="single" w:color="auto"/>
          <w:color w:val="0000FF"/>
        </w:rPr>
        <w:t>JURISDICTION.</w:t>
      </w:r>
      <w:r>
        <w:rPr>
          <w:rFonts w:ascii="Arial" w:cs="Arial" w:eastAsia="Arial" w:hAnsi="Arial"/>
          <w:sz w:val="21"/>
          <w:szCs w:val="21"/>
          <w:color w:val="0000FF"/>
        </w:rPr>
        <w:t xml:space="preserve"> </w:t>
      </w:r>
      <w:r>
        <w:rPr>
          <w:rFonts w:ascii="Arial" w:cs="Arial" w:eastAsia="Arial" w:hAnsi="Arial"/>
          <w:sz w:val="21"/>
          <w:szCs w:val="21"/>
          <w:color w:val="000000"/>
        </w:rPr>
        <w:t>EACH LOAN PARTY HEREBY IRREVOCABLY AND UNCONDITIONALLY</w:t>
      </w:r>
      <w:r>
        <w:rPr>
          <w:rFonts w:ascii="Arial" w:cs="Arial" w:eastAsia="Arial" w:hAnsi="Arial"/>
          <w:sz w:val="21"/>
          <w:szCs w:val="21"/>
          <w:color w:val="0000FF"/>
        </w:rPr>
        <w:t xml:space="preserve"> </w:t>
      </w:r>
      <w:r>
        <w:rPr>
          <w:rFonts w:ascii="Arial" w:cs="Arial" w:eastAsia="Arial" w:hAnsi="Arial"/>
          <w:sz w:val="21"/>
          <w:szCs w:val="21"/>
          <w:color w:val="000000"/>
        </w:rPr>
        <w:t>SUBMITS, FOR ITSELF AND ITS PROPERTY, TO THE EXCLUSIVE JURISDICTION OF ANY NEW YORK STATE COURT OR FEDERAL COURT OF THE UNITED STATES OF AMERICA SITTING IN THE BOROUGH OF MANHATTAN IN THE STATE OF NEW YORK, AND ANY APPELLATE COURT FROM ANY THEREOF, IN ANY ACTION OR PROCEEDING ARISING OUT OF OR RELATING TO THE LOANS, THIS LOAN AGREEMENT, THE NOTES, OR ANY OTHER LOAN DOCUMENT, OR FOR RECOGNITION OR ENFORCEMENT OF ANY JUDGMENT, AND EACH OF THE PARTIES HERETO HEREBY IRREVOCABLY AND UNCONDITIONALLY AGREES THAT, TO THE EXTENT PERMITTED BY APPLICABLE LAW, ALL 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NOTWITHSTANDING ANYTHING TO THE CONTRARY, NOTHING IN THIS LOAN AGREEMENT SHALL AFFECT ANY RIGHT THAT THE AGENTS AND LENDERS MAY OTHERWISE HAVE TO BRING ANY ACTION OR PROCEEDING RELATING TO THE LOANS, THIS LOAN AGREEMENT, THE NOTES, OR ANY OTHER LOAN DOCUMENT AGAINST THE LOAN PARTIES OR THEIR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-2085975</wp:posOffset>
            </wp:positionV>
            <wp:extent cx="1021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FF0000"/>
          <w:strike w:val="1"/>
        </w:rPr>
        <w:t>VENUE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u w:val="single" w:color="auto"/>
          <w:color w:val="0000FF"/>
        </w:rPr>
        <w:t>Section 13.02 VENUE</w:t>
      </w:r>
      <w:r>
        <w:rPr>
          <w:rFonts w:ascii="Arial" w:cs="Arial" w:eastAsia="Arial" w:hAnsi="Arial"/>
          <w:sz w:val="22"/>
          <w:szCs w:val="22"/>
          <w:color w:val="000000"/>
        </w:rPr>
        <w:t>. EACH LOAN PARTY HEREBY IRREVOCABLY AND UNCONDITIONALLY WAIVES, TO</w:t>
      </w:r>
      <w:r>
        <w:rPr>
          <w:rFonts w:ascii="Arial" w:cs="Arial" w:eastAsia="Arial" w:hAnsi="Arial"/>
          <w:sz w:val="22"/>
          <w:szCs w:val="22"/>
          <w:color w:val="0000FF"/>
        </w:rPr>
        <w:t xml:space="preserve"> </w:t>
      </w:r>
      <w:r>
        <w:rPr>
          <w:rFonts w:ascii="Arial" w:cs="Arial" w:eastAsia="Arial" w:hAnsi="Arial"/>
          <w:sz w:val="22"/>
          <w:szCs w:val="22"/>
          <w:color w:val="000000"/>
        </w:rPr>
        <w:t>THE FULLEST EXTENT IT MAY LEGALLY AND EFFECTIVELY DO SO, ANY OBJECTION THAT IT MAY NOW OR HEREAFTER HAVE</w:t>
      </w:r>
    </w:p>
    <w:p>
      <w:pPr>
        <w:sectPr>
          <w:pgSz w:w="11900" w:h="16838" w:orient="portrait"/>
          <w:cols w:equalWidth="0" w:num="1">
            <w:col w:w="11240"/>
          </w:cols>
          <w:pgMar w:left="320" w:top="1440" w:right="339" w:bottom="1440" w:gutter="0" w:footer="0" w:header="0"/>
        </w:sectPr>
      </w:pPr>
    </w:p>
    <w:bookmarkStart w:id="205" w:name="page206"/>
    <w:bookmarkEnd w:id="205"/>
    <w:p>
      <w:pPr>
        <w:jc w:val="both"/>
        <w:spacing w:after="0" w:line="226" w:lineRule="auto"/>
        <w:rPr>
          <w:sz w:val="20"/>
          <w:szCs w:val="20"/>
          <w:color w:val="auto"/>
        </w:rPr>
      </w:pPr>
      <w:r>
        <w:rPr>
          <w:rFonts w:ascii="Arial" w:cs="Arial" w:eastAsia="Arial" w:hAnsi="Arial"/>
          <w:sz w:val="21"/>
          <w:szCs w:val="21"/>
          <w:color w:val="auto"/>
        </w:rPr>
        <w:t>TO THE LAYING OF VENUE OF ANY SUIT, ACTION OR PROCEEDING ARISING OUT OF OR RELATING TO THE LOANS, THIS LOAN AGREEMENT, THE NOTES, OR ANY OTHER LOAN DOCUMENT IN ANY STATE OR FEDERAL COURT SITTING IN THE BOROUGH OF MANHATTAN IN THE STATE OF NEW YORK. EACH OF THE PARTIES HERETO HEREBY IRREVOCABLY WAIVES, TO THE FULLEST EXTENT PERMITTED BY LAW, THE DEFENSE OF AN INCONVENIENT FORUM TO THE MAINTENANCE OF SUCH ACTION OR PROCEEDING IN ANY SUCH COURT.</w:t>
      </w:r>
    </w:p>
    <w:p>
      <w:pPr>
        <w:spacing w:after="0" w:line="15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13.03</w:t>
      </w:r>
      <w:r>
        <w:rPr>
          <w:sz w:val="20"/>
          <w:szCs w:val="20"/>
          <w:color w:val="auto"/>
        </w:rPr>
        <w:tab/>
      </w:r>
      <w:r>
        <w:rPr>
          <w:rFonts w:ascii="Arial" w:cs="Arial" w:eastAsia="Arial" w:hAnsi="Arial"/>
          <w:sz w:val="19"/>
          <w:szCs w:val="19"/>
          <w:u w:val="single" w:color="auto"/>
          <w:color w:val="auto"/>
        </w:rPr>
        <w:t>SERVICE OF PROCESS</w:t>
      </w:r>
    </w:p>
    <w:p>
      <w:pPr>
        <w:spacing w:after="0" w:line="179" w:lineRule="exact"/>
        <w:rPr>
          <w:sz w:val="20"/>
          <w:szCs w:val="20"/>
          <w:color w:val="auto"/>
        </w:rPr>
      </w:pPr>
    </w:p>
    <w:p>
      <w:pPr>
        <w:jc w:val="both"/>
        <w:ind w:firstLine="656"/>
        <w:spacing w:after="0" w:line="218" w:lineRule="auto"/>
        <w:tabs>
          <w:tab w:leader="none" w:pos="77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EACH PARTY TO THIS LOAN AGREEMENT IRREVOCABLY CONSENTS TO SERVICE OF PROCESS IN THE MANNER AND AT THE ADDRESSES PROVIDED FOR NOTICES IN </w:t>
      </w:r>
      <w:r>
        <w:rPr>
          <w:rFonts w:ascii="Arial" w:cs="Arial" w:eastAsia="Arial" w:hAnsi="Arial"/>
          <w:sz w:val="22"/>
          <w:szCs w:val="22"/>
          <w:u w:val="single" w:color="auto"/>
          <w:color w:val="auto"/>
        </w:rPr>
        <w:t>SECTION 12.02</w:t>
      </w:r>
      <w:r>
        <w:rPr>
          <w:rFonts w:ascii="Arial" w:cs="Arial" w:eastAsia="Arial" w:hAnsi="Arial"/>
          <w:sz w:val="22"/>
          <w:szCs w:val="22"/>
          <w:color w:val="auto"/>
        </w:rPr>
        <w:t xml:space="preserve"> BY MAIL. NOTHING IN THIS LOAN AGREEMENT WILL AFFECT THE RIGHT OF ANY PARTY TO THIS LOAN AGREEMENT TO SERVE PROCESS IN ANY OTHER MANNER PERMITTED BY LAW.</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13.04</w:t>
      </w:r>
      <w:r>
        <w:rPr>
          <w:sz w:val="20"/>
          <w:szCs w:val="20"/>
          <w:color w:val="auto"/>
        </w:rPr>
        <w:tab/>
      </w:r>
      <w:r>
        <w:rPr>
          <w:rFonts w:ascii="Arial" w:cs="Arial" w:eastAsia="Arial" w:hAnsi="Arial"/>
          <w:sz w:val="19"/>
          <w:szCs w:val="19"/>
          <w:u w:val="single" w:color="auto"/>
          <w:color w:val="auto"/>
        </w:rPr>
        <w:t>JURY TRIAL WAIVER</w:t>
      </w:r>
    </w:p>
    <w:p>
      <w:pPr>
        <w:spacing w:after="0" w:line="179" w:lineRule="exact"/>
        <w:rPr>
          <w:sz w:val="20"/>
          <w:szCs w:val="20"/>
          <w:color w:val="auto"/>
        </w:rPr>
      </w:pPr>
    </w:p>
    <w:p>
      <w:pPr>
        <w:jc w:val="both"/>
        <w:ind w:firstLine="656"/>
        <w:spacing w:after="0" w:line="244" w:lineRule="auto"/>
        <w:tabs>
          <w:tab w:leader="none" w:pos="75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EACH LOAN PARTY HEREBY IRREVOCABLY WAIVES ANY RIGHT TO TRIAL BY JURY IN ANY ACTION OR PROCEEDING (I) TO ENFORCE OR DEFEND ANY RIGHTS UNDER OR IN CONNECTION WITH THE LOANS, THIS LOAN AGREEMENT, THE NOTES OR ANY OTHER LOAN DOCUMENT, OR (II) ARISING FROM ANY DISPUTE OR CONTROVERSY IN CONNECTION WITH OR RELATED TO THE LOANS, THIS LOAN AGREEMENT, THE NOTES OR ANY OTHER LOAN DOCUMENT, AND AGREES THAT ANY SUCH ACTION OR COUNTERCLAIM SHALL BE TRIED BEFORE A COURT AND NOT BEFORE A JURY. EACH LOAN PARTY ACKNOWLEDGES THAT IT HAD THE OPPORTUNITY TO REVIEW THIS JURY TRIAL WAIVER WITH ITS LEGAL COUNSEL AND THAT IT KNOWINGLY AND VOLUNTARILY WAIVES ITS RIGHT TO A JURY TRIAL. THIS </w:t>
      </w:r>
      <w:r>
        <w:rPr>
          <w:rFonts w:ascii="Arial" w:cs="Arial" w:eastAsia="Arial" w:hAnsi="Arial"/>
          <w:sz w:val="19"/>
          <w:szCs w:val="19"/>
          <w:u w:val="single" w:color="auto"/>
          <w:color w:val="auto"/>
        </w:rPr>
        <w:t>SECTION 13.04</w:t>
      </w:r>
      <w:r>
        <w:rPr>
          <w:rFonts w:ascii="Arial" w:cs="Arial" w:eastAsia="Arial" w:hAnsi="Arial"/>
          <w:sz w:val="19"/>
          <w:szCs w:val="19"/>
          <w:color w:val="auto"/>
        </w:rPr>
        <w:t xml:space="preserve"> IS A MATERIAL INDUCEMENT FOR THE AGENTS AND THE LENDERS GRANTING ANY FINANCIAL ACCOMMODATIONS TO THE LOAN PARTIES.</w:t>
      </w:r>
    </w:p>
    <w:p>
      <w:pPr>
        <w:spacing w:after="0" w:line="16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13.05</w:t>
      </w:r>
      <w:r>
        <w:rPr>
          <w:sz w:val="20"/>
          <w:szCs w:val="20"/>
          <w:color w:val="auto"/>
        </w:rPr>
        <w:tab/>
      </w:r>
      <w:r>
        <w:rPr>
          <w:rFonts w:ascii="Arial" w:cs="Arial" w:eastAsia="Arial" w:hAnsi="Arial"/>
          <w:sz w:val="19"/>
          <w:szCs w:val="19"/>
          <w:u w:val="single" w:color="auto"/>
          <w:color w:val="auto"/>
        </w:rPr>
        <w:t>JUDICIAL FORECLOSURE AND OTHER ACTIONS</w:t>
      </w:r>
    </w:p>
    <w:p>
      <w:pPr>
        <w:spacing w:after="0" w:line="179" w:lineRule="exact"/>
        <w:rPr>
          <w:sz w:val="20"/>
          <w:szCs w:val="20"/>
          <w:color w:val="auto"/>
        </w:rPr>
      </w:pPr>
    </w:p>
    <w:p>
      <w:pPr>
        <w:jc w:val="both"/>
        <w:ind w:firstLine="656"/>
        <w:spacing w:after="0" w:line="241" w:lineRule="auto"/>
        <w:tabs>
          <w:tab w:leader="none" w:pos="799" w:val="left"/>
        </w:tabs>
        <w:numPr>
          <w:ilvl w:val="1"/>
          <w:numId w:val="268"/>
        </w:numPr>
        <w:rPr>
          <w:rFonts w:ascii="Arial" w:cs="Arial" w:eastAsia="Arial" w:hAnsi="Arial"/>
          <w:sz w:val="19"/>
          <w:szCs w:val="19"/>
          <w:color w:val="auto"/>
        </w:rPr>
      </w:pPr>
      <w:r>
        <w:rPr>
          <w:rFonts w:ascii="Arial" w:cs="Arial" w:eastAsia="Arial" w:hAnsi="Arial"/>
          <w:sz w:val="19"/>
          <w:szCs w:val="19"/>
          <w:color w:val="auto"/>
        </w:rPr>
        <w:t xml:space="preserve">NO PROVISION OF, NOR THE EXERCISE OF ANY RIGHTS UNDER,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13.02</w:t>
      </w:r>
      <w:r>
        <w:rPr>
          <w:rFonts w:ascii="Arial" w:cs="Arial" w:eastAsia="Arial" w:hAnsi="Arial"/>
          <w:sz w:val="19"/>
          <w:szCs w:val="19"/>
          <w:color w:val="auto"/>
        </w:rPr>
        <w:t xml:space="preserve"> SHALL LIMIT THE RIGHT OF ANY AGENT OR ANY OTHER SECURED PARTY TO (I) FORECLOSE AGAINST ANY REAL OR PERSONAL PROPERTY COLLATERAL THROUGH JUDICIAL FORECLOSURE, BY THE EXERCISE OF A POWER OF SALE UNDER A DEED OF TRUST, MORTGAGE OR OTHER SECURITY AGREEMENT OR INSTRUMENT, PURSUANT TO APPLICABLE PROVISIONS OF THE UCC, OR OTHERWISE PURSUANT TO APPLICABLE LAW,</w:t>
      </w:r>
    </w:p>
    <w:p>
      <w:pPr>
        <w:spacing w:after="0" w:line="1" w:lineRule="exact"/>
        <w:rPr>
          <w:rFonts w:ascii="Arial" w:cs="Arial" w:eastAsia="Arial" w:hAnsi="Arial"/>
          <w:sz w:val="19"/>
          <w:szCs w:val="19"/>
          <w:color w:val="auto"/>
        </w:rPr>
      </w:pPr>
    </w:p>
    <w:p>
      <w:pPr>
        <w:ind w:left="400" w:hanging="392"/>
        <w:spacing w:after="0" w:line="214" w:lineRule="auto"/>
        <w:tabs>
          <w:tab w:leader="none" w:pos="40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EXERCISE SELF-HELP REMEDIES INCLUDING BUT NOT LIMITED TO SET-OFF AND REPOSSESSION, OR</w:t>
      </w:r>
    </w:p>
    <w:p>
      <w:pPr>
        <w:jc w:val="both"/>
        <w:ind w:firstLine="8"/>
        <w:spacing w:after="0" w:line="217" w:lineRule="auto"/>
        <w:tabs>
          <w:tab w:leader="none" w:pos="4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REQUEST AND OBTAIN FROM A COURT HAVING JURISDICTION, ANY PROVISIONAL OR ANCILLARY REMEDIES AND RELIEF INCLUDING BUT NOT LIMITED TO INJUNCTIVE OR MANDATORY RELIEF OR THE APPOINTMENT OF A RECEIVER.</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u w:val="single" w:color="auto"/>
          <w:color w:val="auto"/>
        </w:rPr>
        <w:t>Termination</w:t>
      </w:r>
      <w:r>
        <w:rPr>
          <w:rFonts w:ascii="Arial" w:cs="Arial" w:eastAsia="Arial" w:hAnsi="Arial"/>
          <w:sz w:val="22"/>
          <w:szCs w:val="22"/>
          <w:color w:val="auto"/>
        </w:rPr>
        <w:t>. Notwithstanding anything to the contrary contained herein, if (x) the Closing Date has not occurred on or prior July 7, 2020 and (y) no Obligations are outstanding on July 8, 2020, this Loan Agreement, the Commitments hereunder and all other Loan Documents shall automatically terminate on July 8, 2020 (other than those provisions herein which by their express terms survive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begin on next page</w:t>
      </w:r>
      <w:r>
        <w:rPr>
          <w:rFonts w:ascii="Arial" w:cs="Arial" w:eastAsia="Arial" w:hAnsi="Arial"/>
          <w:sz w:val="22"/>
          <w:szCs w:val="22"/>
          <w:color w:val="auto"/>
        </w:rPr>
        <w:t>]</w:t>
      </w:r>
    </w:p>
    <w:p>
      <w:pPr>
        <w:sectPr>
          <w:pgSz w:w="11900" w:h="16838" w:orient="portrait"/>
          <w:cols w:equalWidth="0" w:num="1">
            <w:col w:w="11240"/>
          </w:cols>
          <w:pgMar w:left="320" w:top="1401" w:right="33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each of the parties hereto has duly executed and delivered this Loan Agreement as of the date first above written.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80"/>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80" w:type="dxa"/>
            <w:vAlign w:val="bottom"/>
            <w:gridSpan w:val="3"/>
          </w:tcPr>
          <w:p>
            <w:pPr>
              <w:ind w:left="1760"/>
              <w:spacing w:after="0"/>
              <w:rPr>
                <w:sz w:val="20"/>
                <w:szCs w:val="20"/>
                <w:color w:val="auto"/>
              </w:rPr>
            </w:pPr>
            <w:r>
              <w:rPr>
                <w:rFonts w:ascii="Arial" w:cs="Arial" w:eastAsia="Arial" w:hAnsi="Arial"/>
                <w:sz w:val="22"/>
                <w:szCs w:val="22"/>
                <w:b w:val="1"/>
                <w:bCs w:val="1"/>
                <w:color w:val="auto"/>
              </w:rPr>
              <w:t>MIMEDX GROUP, INC.</w:t>
            </w:r>
          </w:p>
        </w:tc>
        <w:tc>
          <w:tcPr>
            <w:tcW w:w="0" w:type="dxa"/>
            <w:vAlign w:val="bottom"/>
          </w:tcPr>
          <w:p>
            <w:pPr>
              <w:spacing w:after="0"/>
              <w:rPr>
                <w:sz w:val="1"/>
                <w:szCs w:val="1"/>
                <w:color w:val="auto"/>
              </w:rPr>
            </w:pPr>
          </w:p>
        </w:tc>
      </w:tr>
      <w:tr>
        <w:trPr>
          <w:trHeight w:val="598"/>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80" w:type="dxa"/>
            <w:vAlign w:val="bottom"/>
          </w:tcPr>
          <w:p>
            <w:pPr>
              <w:ind w:left="1760"/>
              <w:spacing w:after="0"/>
              <w:rPr>
                <w:sz w:val="20"/>
                <w:szCs w:val="20"/>
                <w:color w:val="auto"/>
              </w:rPr>
            </w:pPr>
            <w:r>
              <w:rPr>
                <w:rFonts w:ascii="Arial" w:cs="Arial" w:eastAsia="Arial" w:hAnsi="Arial"/>
                <w:sz w:val="22"/>
                <w:szCs w:val="22"/>
                <w:color w:val="auto"/>
              </w:rPr>
              <w:t>By:</w:t>
            </w:r>
          </w:p>
        </w:tc>
        <w:tc>
          <w:tcPr>
            <w:tcW w:w="220" w:type="dxa"/>
            <w:vAlign w:val="bottom"/>
            <w:tcBorders>
              <w:bottom w:val="single" w:sz="8" w:color="auto"/>
            </w:tcBorders>
          </w:tcPr>
          <w:p>
            <w:pPr>
              <w:spacing w:after="0"/>
              <w:rPr>
                <w:sz w:val="24"/>
                <w:szCs w:val="24"/>
                <w:color w:val="auto"/>
              </w:rPr>
            </w:pPr>
          </w:p>
        </w:tc>
        <w:tc>
          <w:tcPr>
            <w:tcW w:w="3780" w:type="dxa"/>
            <w:vAlign w:val="bottom"/>
          </w:tcPr>
          <w:p>
            <w:pPr>
              <w:jc w:val="right"/>
              <w:spacing w:after="0"/>
              <w:rPr>
                <w:sz w:val="20"/>
                <w:szCs w:val="20"/>
                <w:color w:val="auto"/>
              </w:rPr>
            </w:pPr>
            <w:r>
              <w:rPr>
                <w:rFonts w:ascii="Arial" w:cs="Arial" w:eastAsia="Arial" w:hAnsi="Arial"/>
                <w:sz w:val="22"/>
                <w:szCs w:val="22"/>
                <w:color w:val="auto"/>
                <w:w w:val="87"/>
              </w:rPr>
              <w:t>___________________________________</w:t>
            </w:r>
          </w:p>
        </w:tc>
        <w:tc>
          <w:tcPr>
            <w:tcW w:w="0" w:type="dxa"/>
            <w:vAlign w:val="bottom"/>
          </w:tcPr>
          <w:p>
            <w:pPr>
              <w:spacing w:after="0"/>
              <w:rPr>
                <w:sz w:val="1"/>
                <w:szCs w:val="1"/>
                <w:color w:val="auto"/>
              </w:rPr>
            </w:pPr>
          </w:p>
        </w:tc>
      </w:tr>
      <w:tr>
        <w:trPr>
          <w:trHeight w:val="188"/>
        </w:trPr>
        <w:tc>
          <w:tcPr>
            <w:tcW w:w="36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THE BORROWER</w:t>
            </w:r>
            <w:r>
              <w:rPr>
                <w:rFonts w:ascii="Arial" w:cs="Arial" w:eastAsia="Arial" w:hAnsi="Arial"/>
                <w:sz w:val="22"/>
                <w:szCs w:val="22"/>
                <w:color w:val="auto"/>
              </w:rPr>
              <w:t>:</w:t>
            </w:r>
          </w:p>
        </w:tc>
        <w:tc>
          <w:tcPr>
            <w:tcW w:w="2500" w:type="dxa"/>
            <w:vAlign w:val="bottom"/>
            <w:gridSpan w:val="2"/>
          </w:tcPr>
          <w:p>
            <w:pPr>
              <w:ind w:left="1980"/>
              <w:spacing w:after="0" w:line="188" w:lineRule="exact"/>
              <w:rPr>
                <w:sz w:val="20"/>
                <w:szCs w:val="20"/>
                <w:color w:val="auto"/>
              </w:rPr>
            </w:pPr>
            <w:r>
              <w:rPr>
                <w:rFonts w:ascii="Arial" w:cs="Arial" w:eastAsia="Arial" w:hAnsi="Arial"/>
                <w:sz w:val="21"/>
                <w:szCs w:val="21"/>
                <w:color w:val="auto"/>
                <w:w w:val="80"/>
              </w:rPr>
              <w:t>Name:</w:t>
            </w:r>
          </w:p>
        </w:tc>
        <w:tc>
          <w:tcPr>
            <w:tcW w:w="3780" w:type="dxa"/>
            <w:vAlign w:val="bottom"/>
          </w:tcPr>
          <w:p>
            <w:pPr>
              <w:ind w:left="100"/>
              <w:spacing w:after="0" w:line="188" w:lineRule="exact"/>
              <w:rPr>
                <w:sz w:val="20"/>
                <w:szCs w:val="20"/>
                <w:color w:val="auto"/>
              </w:rPr>
            </w:pPr>
            <w:r>
              <w:rPr>
                <w:rFonts w:ascii="Arial" w:cs="Arial" w:eastAsia="Arial" w:hAnsi="Arial"/>
                <w:sz w:val="21"/>
                <w:szCs w:val="21"/>
                <w:color w:val="auto"/>
              </w:rPr>
              <w:t>Peter M. Carlson</w:t>
            </w:r>
          </w:p>
        </w:tc>
        <w:tc>
          <w:tcPr>
            <w:tcW w:w="0" w:type="dxa"/>
            <w:vAlign w:val="bottom"/>
          </w:tcPr>
          <w:p>
            <w:pPr>
              <w:spacing w:after="0"/>
              <w:rPr>
                <w:sz w:val="1"/>
                <w:szCs w:val="1"/>
                <w:color w:val="auto"/>
              </w:rPr>
            </w:pPr>
          </w:p>
        </w:tc>
      </w:tr>
      <w:tr>
        <w:trPr>
          <w:trHeight w:val="224"/>
        </w:trPr>
        <w:tc>
          <w:tcPr>
            <w:tcW w:w="3640" w:type="dxa"/>
            <w:vAlign w:val="bottom"/>
            <w:gridSpan w:val="3"/>
            <w:vMerge w:val="continue"/>
          </w:tcPr>
          <w:p>
            <w:pPr>
              <w:spacing w:after="0"/>
              <w:rPr>
                <w:sz w:val="19"/>
                <w:szCs w:val="19"/>
                <w:color w:val="auto"/>
              </w:rPr>
            </w:pPr>
          </w:p>
        </w:tc>
        <w:tc>
          <w:tcPr>
            <w:tcW w:w="6280" w:type="dxa"/>
            <w:vAlign w:val="bottom"/>
            <w:gridSpan w:val="3"/>
          </w:tcPr>
          <w:p>
            <w:pPr>
              <w:ind w:left="1980"/>
              <w:spacing w:after="0" w:line="224" w:lineRule="exact"/>
              <w:rPr>
                <w:sz w:val="20"/>
                <w:szCs w:val="20"/>
                <w:color w:val="auto"/>
              </w:rPr>
            </w:pPr>
            <w:r>
              <w:rPr>
                <w:rFonts w:ascii="Arial" w:cs="Arial" w:eastAsia="Arial" w:hAnsi="Arial"/>
                <w:sz w:val="22"/>
                <w:szCs w:val="22"/>
                <w:color w:val="auto"/>
              </w:rPr>
              <w:t>Title: Chief Financial Officer</w:t>
            </w:r>
          </w:p>
        </w:tc>
        <w:tc>
          <w:tcPr>
            <w:tcW w:w="0" w:type="dxa"/>
            <w:vAlign w:val="bottom"/>
          </w:tcPr>
          <w:p>
            <w:pPr>
              <w:spacing w:after="0"/>
              <w:rPr>
                <w:sz w:val="1"/>
                <w:szCs w:val="1"/>
                <w:color w:val="auto"/>
              </w:rPr>
            </w:pPr>
          </w:p>
        </w:tc>
      </w:tr>
      <w:tr>
        <w:trPr>
          <w:trHeight w:val="300"/>
        </w:trPr>
        <w:tc>
          <w:tcPr>
            <w:tcW w:w="1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6280" w:type="dxa"/>
            <w:vAlign w:val="bottom"/>
            <w:gridSpan w:val="3"/>
          </w:tcPr>
          <w:p>
            <w:pPr>
              <w:ind w:left="1760"/>
              <w:spacing w:after="0"/>
              <w:rPr>
                <w:sz w:val="20"/>
                <w:szCs w:val="20"/>
                <w:color w:val="auto"/>
              </w:rPr>
            </w:pPr>
            <w:r>
              <w:rPr>
                <w:rFonts w:ascii="Arial" w:cs="Arial" w:eastAsia="Arial" w:hAnsi="Arial"/>
                <w:sz w:val="22"/>
                <w:szCs w:val="22"/>
                <w:color w:val="auto"/>
              </w:rPr>
              <w:t>MIMEDX TISSUE SERVICES, LLC</w:t>
            </w:r>
          </w:p>
        </w:tc>
        <w:tc>
          <w:tcPr>
            <w:tcW w:w="0" w:type="dxa"/>
            <w:vAlign w:val="bottom"/>
          </w:tcPr>
          <w:p>
            <w:pPr>
              <w:spacing w:after="0"/>
              <w:rPr>
                <w:sz w:val="1"/>
                <w:szCs w:val="1"/>
                <w:color w:val="auto"/>
              </w:rPr>
            </w:pPr>
          </w:p>
        </w:tc>
      </w:tr>
      <w:tr>
        <w:trPr>
          <w:trHeight w:val="598"/>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80" w:type="dxa"/>
            <w:vAlign w:val="bottom"/>
          </w:tcPr>
          <w:p>
            <w:pPr>
              <w:ind w:left="1760"/>
              <w:spacing w:after="0"/>
              <w:rPr>
                <w:sz w:val="20"/>
                <w:szCs w:val="20"/>
                <w:color w:val="auto"/>
              </w:rPr>
            </w:pPr>
            <w:r>
              <w:rPr>
                <w:rFonts w:ascii="Arial" w:cs="Arial" w:eastAsia="Arial" w:hAnsi="Arial"/>
                <w:sz w:val="22"/>
                <w:szCs w:val="22"/>
                <w:color w:val="auto"/>
              </w:rPr>
              <w:t>By:</w:t>
            </w:r>
          </w:p>
        </w:tc>
        <w:tc>
          <w:tcPr>
            <w:tcW w:w="220" w:type="dxa"/>
            <w:vAlign w:val="bottom"/>
            <w:tcBorders>
              <w:bottom w:val="single" w:sz="8" w:color="auto"/>
            </w:tcBorders>
          </w:tcPr>
          <w:p>
            <w:pPr>
              <w:spacing w:after="0"/>
              <w:rPr>
                <w:sz w:val="24"/>
                <w:szCs w:val="24"/>
                <w:color w:val="auto"/>
              </w:rPr>
            </w:pPr>
          </w:p>
        </w:tc>
        <w:tc>
          <w:tcPr>
            <w:tcW w:w="3780" w:type="dxa"/>
            <w:vAlign w:val="bottom"/>
          </w:tcPr>
          <w:p>
            <w:pPr>
              <w:jc w:val="right"/>
              <w:spacing w:after="0"/>
              <w:rPr>
                <w:sz w:val="20"/>
                <w:szCs w:val="20"/>
                <w:color w:val="auto"/>
              </w:rPr>
            </w:pPr>
            <w:r>
              <w:rPr>
                <w:rFonts w:ascii="Arial" w:cs="Arial" w:eastAsia="Arial" w:hAnsi="Arial"/>
                <w:sz w:val="22"/>
                <w:szCs w:val="22"/>
                <w:color w:val="auto"/>
                <w:w w:val="87"/>
              </w:rPr>
              <w:t>___________________________________</w:t>
            </w:r>
          </w:p>
        </w:tc>
        <w:tc>
          <w:tcPr>
            <w:tcW w:w="0" w:type="dxa"/>
            <w:vAlign w:val="bottom"/>
          </w:tcPr>
          <w:p>
            <w:pPr>
              <w:spacing w:after="0"/>
              <w:rPr>
                <w:sz w:val="1"/>
                <w:szCs w:val="1"/>
                <w:color w:val="auto"/>
              </w:rPr>
            </w:pPr>
          </w:p>
        </w:tc>
      </w:tr>
      <w:tr>
        <w:trPr>
          <w:trHeight w:val="188"/>
        </w:trPr>
        <w:tc>
          <w:tcPr>
            <w:tcW w:w="36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GUARANTORS</w:t>
            </w:r>
            <w:r>
              <w:rPr>
                <w:rFonts w:ascii="Arial" w:cs="Arial" w:eastAsia="Arial" w:hAnsi="Arial"/>
                <w:sz w:val="22"/>
                <w:szCs w:val="22"/>
                <w:color w:val="auto"/>
              </w:rPr>
              <w:t>:</w:t>
            </w:r>
          </w:p>
        </w:tc>
        <w:tc>
          <w:tcPr>
            <w:tcW w:w="2500" w:type="dxa"/>
            <w:vAlign w:val="bottom"/>
            <w:gridSpan w:val="2"/>
          </w:tcPr>
          <w:p>
            <w:pPr>
              <w:ind w:left="1980"/>
              <w:spacing w:after="0" w:line="188" w:lineRule="exact"/>
              <w:rPr>
                <w:sz w:val="20"/>
                <w:szCs w:val="20"/>
                <w:color w:val="auto"/>
              </w:rPr>
            </w:pPr>
            <w:r>
              <w:rPr>
                <w:rFonts w:ascii="Arial" w:cs="Arial" w:eastAsia="Arial" w:hAnsi="Arial"/>
                <w:sz w:val="21"/>
                <w:szCs w:val="21"/>
                <w:color w:val="auto"/>
                <w:w w:val="80"/>
              </w:rPr>
              <w:t>Name:</w:t>
            </w:r>
          </w:p>
        </w:tc>
        <w:tc>
          <w:tcPr>
            <w:tcW w:w="3780" w:type="dxa"/>
            <w:vAlign w:val="bottom"/>
          </w:tcPr>
          <w:p>
            <w:pPr>
              <w:ind w:left="100"/>
              <w:spacing w:after="0" w:line="188" w:lineRule="exact"/>
              <w:rPr>
                <w:sz w:val="20"/>
                <w:szCs w:val="20"/>
                <w:color w:val="auto"/>
              </w:rPr>
            </w:pPr>
            <w:r>
              <w:rPr>
                <w:rFonts w:ascii="Arial" w:cs="Arial" w:eastAsia="Arial" w:hAnsi="Arial"/>
                <w:sz w:val="21"/>
                <w:szCs w:val="21"/>
                <w:color w:val="auto"/>
              </w:rPr>
              <w:t>Timothy R. Wright</w:t>
            </w:r>
          </w:p>
        </w:tc>
        <w:tc>
          <w:tcPr>
            <w:tcW w:w="0" w:type="dxa"/>
            <w:vAlign w:val="bottom"/>
          </w:tcPr>
          <w:p>
            <w:pPr>
              <w:spacing w:after="0"/>
              <w:rPr>
                <w:sz w:val="1"/>
                <w:szCs w:val="1"/>
                <w:color w:val="auto"/>
              </w:rPr>
            </w:pPr>
          </w:p>
        </w:tc>
      </w:tr>
      <w:tr>
        <w:trPr>
          <w:trHeight w:val="224"/>
        </w:trPr>
        <w:tc>
          <w:tcPr>
            <w:tcW w:w="3640" w:type="dxa"/>
            <w:vAlign w:val="bottom"/>
            <w:gridSpan w:val="3"/>
            <w:vMerge w:val="continue"/>
          </w:tcPr>
          <w:p>
            <w:pPr>
              <w:spacing w:after="0"/>
              <w:rPr>
                <w:sz w:val="19"/>
                <w:szCs w:val="19"/>
                <w:color w:val="auto"/>
              </w:rPr>
            </w:pPr>
          </w:p>
        </w:tc>
        <w:tc>
          <w:tcPr>
            <w:tcW w:w="6280" w:type="dxa"/>
            <w:vAlign w:val="bottom"/>
            <w:gridSpan w:val="3"/>
          </w:tcPr>
          <w:p>
            <w:pPr>
              <w:ind w:left="1980"/>
              <w:spacing w:after="0" w:line="224" w:lineRule="exact"/>
              <w:rPr>
                <w:sz w:val="20"/>
                <w:szCs w:val="20"/>
                <w:color w:val="auto"/>
              </w:rPr>
            </w:pPr>
            <w:r>
              <w:rPr>
                <w:rFonts w:ascii="Arial" w:cs="Arial" w:eastAsia="Arial" w:hAnsi="Arial"/>
                <w:sz w:val="22"/>
                <w:szCs w:val="22"/>
                <w:color w:val="auto"/>
              </w:rPr>
              <w:t>Title: Chief Executive Officer</w:t>
            </w:r>
          </w:p>
        </w:tc>
        <w:tc>
          <w:tcPr>
            <w:tcW w:w="0" w:type="dxa"/>
            <w:vAlign w:val="bottom"/>
          </w:tcPr>
          <w:p>
            <w:pPr>
              <w:spacing w:after="0"/>
              <w:rPr>
                <w:sz w:val="1"/>
                <w:szCs w:val="1"/>
                <w:color w:val="auto"/>
              </w:rPr>
            </w:pPr>
          </w:p>
        </w:tc>
      </w:tr>
      <w:tr>
        <w:trPr>
          <w:trHeight w:val="557"/>
        </w:trPr>
        <w:tc>
          <w:tcPr>
            <w:tcW w:w="1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80" w:type="dxa"/>
            <w:vAlign w:val="bottom"/>
            <w:gridSpan w:val="3"/>
          </w:tcPr>
          <w:p>
            <w:pPr>
              <w:ind w:left="1760"/>
              <w:spacing w:after="0"/>
              <w:rPr>
                <w:sz w:val="20"/>
                <w:szCs w:val="20"/>
                <w:color w:val="auto"/>
              </w:rPr>
            </w:pPr>
            <w:r>
              <w:rPr>
                <w:rFonts w:ascii="Arial" w:cs="Arial" w:eastAsia="Arial" w:hAnsi="Arial"/>
                <w:sz w:val="22"/>
                <w:szCs w:val="22"/>
                <w:color w:val="auto"/>
              </w:rPr>
              <w:t>MIMEDX PROCESSING SERVICES, LLC</w:t>
            </w:r>
          </w:p>
        </w:tc>
        <w:tc>
          <w:tcPr>
            <w:tcW w:w="0" w:type="dxa"/>
            <w:vAlign w:val="bottom"/>
          </w:tcPr>
          <w:p>
            <w:pPr>
              <w:spacing w:after="0"/>
              <w:rPr>
                <w:sz w:val="1"/>
                <w:szCs w:val="1"/>
                <w:color w:val="auto"/>
              </w:rPr>
            </w:pPr>
          </w:p>
        </w:tc>
      </w:tr>
      <w:tr>
        <w:trPr>
          <w:trHeight w:val="598"/>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80" w:type="dxa"/>
            <w:vAlign w:val="bottom"/>
          </w:tcPr>
          <w:p>
            <w:pPr>
              <w:ind w:left="1760"/>
              <w:spacing w:after="0"/>
              <w:rPr>
                <w:sz w:val="20"/>
                <w:szCs w:val="20"/>
                <w:color w:val="auto"/>
              </w:rPr>
            </w:pPr>
            <w:r>
              <w:rPr>
                <w:rFonts w:ascii="Arial" w:cs="Arial" w:eastAsia="Arial" w:hAnsi="Arial"/>
                <w:sz w:val="22"/>
                <w:szCs w:val="22"/>
                <w:color w:val="auto"/>
              </w:rPr>
              <w:t>By:</w:t>
            </w:r>
          </w:p>
        </w:tc>
        <w:tc>
          <w:tcPr>
            <w:tcW w:w="220" w:type="dxa"/>
            <w:vAlign w:val="bottom"/>
            <w:tcBorders>
              <w:bottom w:val="single" w:sz="8" w:color="auto"/>
            </w:tcBorders>
          </w:tcPr>
          <w:p>
            <w:pPr>
              <w:spacing w:after="0"/>
              <w:rPr>
                <w:sz w:val="24"/>
                <w:szCs w:val="24"/>
                <w:color w:val="auto"/>
              </w:rPr>
            </w:pPr>
          </w:p>
        </w:tc>
        <w:tc>
          <w:tcPr>
            <w:tcW w:w="3780" w:type="dxa"/>
            <w:vAlign w:val="bottom"/>
          </w:tcPr>
          <w:p>
            <w:pPr>
              <w:jc w:val="right"/>
              <w:spacing w:after="0"/>
              <w:rPr>
                <w:sz w:val="20"/>
                <w:szCs w:val="20"/>
                <w:color w:val="auto"/>
              </w:rPr>
            </w:pPr>
            <w:r>
              <w:rPr>
                <w:rFonts w:ascii="Arial" w:cs="Arial" w:eastAsia="Arial" w:hAnsi="Arial"/>
                <w:sz w:val="22"/>
                <w:szCs w:val="22"/>
                <w:color w:val="auto"/>
                <w:w w:val="87"/>
              </w:rPr>
              <w:t>___________________________________</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gridSpan w:val="2"/>
          </w:tcPr>
          <w:p>
            <w:pPr>
              <w:ind w:left="1980"/>
              <w:spacing w:after="0" w:line="188" w:lineRule="exact"/>
              <w:rPr>
                <w:sz w:val="20"/>
                <w:szCs w:val="20"/>
                <w:color w:val="auto"/>
              </w:rPr>
            </w:pPr>
            <w:r>
              <w:rPr>
                <w:rFonts w:ascii="Arial" w:cs="Arial" w:eastAsia="Arial" w:hAnsi="Arial"/>
                <w:sz w:val="21"/>
                <w:szCs w:val="21"/>
                <w:color w:val="auto"/>
                <w:w w:val="80"/>
              </w:rPr>
              <w:t>Name:</w:t>
            </w:r>
          </w:p>
        </w:tc>
        <w:tc>
          <w:tcPr>
            <w:tcW w:w="3780" w:type="dxa"/>
            <w:vAlign w:val="bottom"/>
          </w:tcPr>
          <w:p>
            <w:pPr>
              <w:ind w:left="100"/>
              <w:spacing w:after="0" w:line="188" w:lineRule="exact"/>
              <w:rPr>
                <w:sz w:val="20"/>
                <w:szCs w:val="20"/>
                <w:color w:val="auto"/>
              </w:rPr>
            </w:pPr>
            <w:r>
              <w:rPr>
                <w:rFonts w:ascii="Arial" w:cs="Arial" w:eastAsia="Arial" w:hAnsi="Arial"/>
                <w:sz w:val="21"/>
                <w:szCs w:val="21"/>
                <w:color w:val="auto"/>
              </w:rPr>
              <w:t>Timothy R. Wright</w:t>
            </w:r>
          </w:p>
        </w:tc>
        <w:tc>
          <w:tcPr>
            <w:tcW w:w="0" w:type="dxa"/>
            <w:vAlign w:val="bottom"/>
          </w:tcPr>
          <w:p>
            <w:pPr>
              <w:spacing w:after="0"/>
              <w:rPr>
                <w:sz w:val="1"/>
                <w:szCs w:val="1"/>
                <w:color w:val="auto"/>
              </w:rPr>
            </w:pPr>
          </w:p>
        </w:tc>
      </w:tr>
      <w:tr>
        <w:trPr>
          <w:trHeight w:val="274"/>
        </w:trPr>
        <w:tc>
          <w:tcPr>
            <w:tcW w:w="1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280" w:type="dxa"/>
            <w:vAlign w:val="bottom"/>
            <w:gridSpan w:val="3"/>
          </w:tcPr>
          <w:p>
            <w:pPr>
              <w:ind w:left="1980"/>
              <w:spacing w:after="0"/>
              <w:rPr>
                <w:sz w:val="20"/>
                <w:szCs w:val="20"/>
                <w:color w:val="auto"/>
              </w:rPr>
            </w:pPr>
            <w:r>
              <w:rPr>
                <w:rFonts w:ascii="Arial" w:cs="Arial" w:eastAsia="Arial" w:hAnsi="Arial"/>
                <w:sz w:val="22"/>
                <w:szCs w:val="22"/>
                <w:color w:val="auto"/>
              </w:rPr>
              <w:t>Title: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07" w:name="page208"/>
    <w:bookmarkEnd w:id="20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540" w:type="dxa"/>
            <w:vAlign w:val="bottom"/>
            <w:gridSpan w:val="4"/>
          </w:tcPr>
          <w:p>
            <w:pPr>
              <w:ind w:left="800"/>
              <w:spacing w:after="0"/>
              <w:rPr>
                <w:sz w:val="20"/>
                <w:szCs w:val="20"/>
                <w:color w:val="auto"/>
              </w:rPr>
            </w:pPr>
            <w:r>
              <w:rPr>
                <w:rFonts w:ascii="Arial" w:cs="Arial" w:eastAsia="Arial" w:hAnsi="Arial"/>
                <w:sz w:val="22"/>
                <w:szCs w:val="22"/>
                <w:b w:val="1"/>
                <w:bCs w:val="1"/>
                <w:color w:val="auto"/>
              </w:rPr>
              <w:t>HAYFIN SERVICES LLP,</w:t>
            </w:r>
          </w:p>
        </w:tc>
        <w:tc>
          <w:tcPr>
            <w:tcW w:w="0" w:type="dxa"/>
            <w:vAlign w:val="bottom"/>
          </w:tcPr>
          <w:p>
            <w:pPr>
              <w:spacing w:after="0"/>
              <w:rPr>
                <w:sz w:val="1"/>
                <w:szCs w:val="1"/>
                <w:color w:val="auto"/>
              </w:rPr>
            </w:pPr>
          </w:p>
        </w:tc>
      </w:tr>
      <w:tr>
        <w:trPr>
          <w:trHeight w:val="652"/>
        </w:trPr>
        <w:tc>
          <w:tcPr>
            <w:tcW w:w="4800" w:type="dxa"/>
            <w:vAlign w:val="bottom"/>
            <w:gridSpan w:val="2"/>
            <w:vMerge w:val="restart"/>
          </w:tcPr>
          <w:p>
            <w:pPr>
              <w:spacing w:after="0"/>
              <w:rPr>
                <w:sz w:val="20"/>
                <w:szCs w:val="20"/>
                <w:color w:val="auto"/>
              </w:rPr>
            </w:pPr>
            <w:r>
              <w:rPr>
                <w:rFonts w:ascii="Arial" w:cs="Arial" w:eastAsia="Arial" w:hAnsi="Arial"/>
                <w:sz w:val="22"/>
                <w:szCs w:val="22"/>
                <w:b w:val="1"/>
                <w:bCs w:val="1"/>
                <w:color w:val="auto"/>
                <w:w w:val="99"/>
              </w:rPr>
              <w:t>ADMINISTRATIVE AGENT AND COLLATERAL</w:t>
            </w:r>
          </w:p>
        </w:tc>
        <w:tc>
          <w:tcPr>
            <w:tcW w:w="1340" w:type="dxa"/>
            <w:vAlign w:val="bottom"/>
          </w:tcPr>
          <w:p>
            <w:pPr>
              <w:ind w:left="800"/>
              <w:spacing w:after="0"/>
              <w:rPr>
                <w:sz w:val="20"/>
                <w:szCs w:val="20"/>
                <w:color w:val="auto"/>
              </w:rPr>
            </w:pPr>
            <w:r>
              <w:rPr>
                <w:rFonts w:ascii="Arial" w:cs="Arial" w:eastAsia="Arial" w:hAnsi="Arial"/>
                <w:sz w:val="22"/>
                <w:szCs w:val="22"/>
                <w:color w:val="auto"/>
              </w:rPr>
              <w:t>By:</w:t>
            </w: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___________________________________</w:t>
            </w:r>
          </w:p>
        </w:tc>
        <w:tc>
          <w:tcPr>
            <w:tcW w:w="0" w:type="dxa"/>
            <w:vAlign w:val="bottom"/>
          </w:tcPr>
          <w:p>
            <w:pPr>
              <w:spacing w:after="0"/>
              <w:rPr>
                <w:sz w:val="1"/>
                <w:szCs w:val="1"/>
                <w:color w:val="auto"/>
              </w:rPr>
            </w:pPr>
          </w:p>
        </w:tc>
      </w:tr>
      <w:tr>
        <w:trPr>
          <w:trHeight w:val="201"/>
        </w:trPr>
        <w:tc>
          <w:tcPr>
            <w:tcW w:w="4800" w:type="dxa"/>
            <w:vAlign w:val="bottom"/>
            <w:tcBorders>
              <w:bottom w:val="single" w:sz="8" w:color="auto"/>
            </w:tcBorders>
            <w:gridSpan w:val="2"/>
            <w:vMerge w:val="continue"/>
          </w:tcPr>
          <w:p>
            <w:pPr>
              <w:spacing w:after="0"/>
              <w:rPr>
                <w:sz w:val="17"/>
                <w:szCs w:val="17"/>
                <w:color w:val="auto"/>
              </w:rPr>
            </w:pPr>
          </w:p>
        </w:tc>
        <w:tc>
          <w:tcPr>
            <w:tcW w:w="1540" w:type="dxa"/>
            <w:vAlign w:val="bottom"/>
            <w:gridSpan w:val="2"/>
          </w:tcPr>
          <w:p>
            <w:pPr>
              <w:ind w:left="1020"/>
              <w:spacing w:after="0" w:line="195" w:lineRule="exact"/>
              <w:rPr>
                <w:sz w:val="20"/>
                <w:szCs w:val="20"/>
                <w:color w:val="auto"/>
              </w:rPr>
            </w:pPr>
            <w:r>
              <w:rPr>
                <w:rFonts w:ascii="Arial" w:cs="Arial" w:eastAsia="Arial" w:hAnsi="Arial"/>
                <w:sz w:val="22"/>
                <w:szCs w:val="22"/>
                <w:color w:val="auto"/>
                <w:w w:val="77"/>
              </w:rPr>
              <w:t>Name:</w:t>
            </w:r>
          </w:p>
        </w:tc>
        <w:tc>
          <w:tcPr>
            <w:tcW w:w="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spacing w:after="0" w:line="195" w:lineRule="exact"/>
              <w:rPr>
                <w:sz w:val="20"/>
                <w:szCs w:val="20"/>
                <w:color w:val="auto"/>
              </w:rPr>
            </w:pPr>
            <w:r>
              <w:rPr>
                <w:rFonts w:ascii="Arial" w:cs="Arial" w:eastAsia="Arial" w:hAnsi="Arial"/>
                <w:sz w:val="22"/>
                <w:szCs w:val="22"/>
                <w:b w:val="1"/>
                <w:bCs w:val="1"/>
                <w:color w:val="auto"/>
              </w:rPr>
              <w:t>AGENT</w:t>
            </w:r>
            <w:r>
              <w:rPr>
                <w:rFonts w:ascii="Arial" w:cs="Arial" w:eastAsia="Arial" w:hAnsi="Arial"/>
                <w:sz w:val="22"/>
                <w:szCs w:val="22"/>
                <w:color w:val="auto"/>
              </w:rPr>
              <w:t>:</w:t>
            </w:r>
          </w:p>
        </w:tc>
        <w:tc>
          <w:tcPr>
            <w:tcW w:w="1680" w:type="dxa"/>
            <w:vAlign w:val="bottom"/>
            <w:gridSpan w:val="3"/>
          </w:tcPr>
          <w:p>
            <w:pPr>
              <w:ind w:left="1020"/>
              <w:spacing w:after="0" w:line="195" w:lineRule="exact"/>
              <w:rPr>
                <w:sz w:val="20"/>
                <w:szCs w:val="20"/>
                <w:color w:val="auto"/>
              </w:rPr>
            </w:pPr>
            <w:r>
              <w:rPr>
                <w:rFonts w:ascii="Arial" w:cs="Arial" w:eastAsia="Arial" w:hAnsi="Arial"/>
                <w:sz w:val="22"/>
                <w:szCs w:val="22"/>
                <w:color w:val="auto"/>
              </w:rPr>
              <w:t>Title:</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40"/>
          </w:cols>
          <w:pgMar w:left="400" w:top="1440" w:right="115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p>
        </w:tc>
        <w:tc>
          <w:tcPr>
            <w:tcW w:w="2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140" w:type="dxa"/>
            <w:vAlign w:val="bottom"/>
          </w:tcPr>
          <w:p>
            <w:pPr>
              <w:ind w:left="920"/>
              <w:spacing w:after="0"/>
              <w:rPr>
                <w:sz w:val="20"/>
                <w:szCs w:val="20"/>
                <w:color w:val="auto"/>
              </w:rPr>
            </w:pPr>
            <w:r>
              <w:rPr>
                <w:rFonts w:ascii="Arial" w:cs="Arial" w:eastAsia="Arial" w:hAnsi="Arial"/>
                <w:sz w:val="22"/>
                <w:szCs w:val="22"/>
                <w:color w:val="auto"/>
              </w:rPr>
              <w:t>as a Lender</w:t>
            </w: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20" w:type="dxa"/>
            <w:vAlign w:val="bottom"/>
            <w:gridSpan w:val="4"/>
          </w:tcPr>
          <w:p>
            <w:pPr>
              <w:ind w:left="920"/>
              <w:spacing w:after="0"/>
              <w:rPr>
                <w:sz w:val="20"/>
                <w:szCs w:val="20"/>
                <w:color w:val="auto"/>
              </w:rPr>
            </w:pPr>
            <w:r>
              <w:rPr>
                <w:rFonts w:ascii="Arial" w:cs="Arial" w:eastAsia="Arial" w:hAnsi="Arial"/>
                <w:sz w:val="22"/>
                <w:szCs w:val="22"/>
                <w:color w:val="auto"/>
              </w:rPr>
              <w:t>By:___________________________________</w:t>
            </w:r>
          </w:p>
        </w:tc>
        <w:tc>
          <w:tcPr>
            <w:tcW w:w="0" w:type="dxa"/>
            <w:vAlign w:val="bottom"/>
          </w:tcPr>
          <w:p>
            <w:pPr>
              <w:spacing w:after="0"/>
              <w:rPr>
                <w:sz w:val="1"/>
                <w:szCs w:val="1"/>
                <w:color w:val="auto"/>
              </w:rPr>
            </w:pPr>
          </w:p>
        </w:tc>
      </w:tr>
      <w:tr>
        <w:trPr>
          <w:trHeight w:val="216"/>
        </w:trPr>
        <w:tc>
          <w:tcPr>
            <w:tcW w:w="2680" w:type="dxa"/>
            <w:vAlign w:val="bottom"/>
            <w:gridSpan w:val="3"/>
            <w:vMerge w:val="restart"/>
          </w:tcPr>
          <w:p>
            <w:pPr>
              <w:ind w:left="180"/>
              <w:spacing w:after="0"/>
              <w:rPr>
                <w:sz w:val="20"/>
                <w:szCs w:val="20"/>
                <w:color w:val="auto"/>
              </w:rPr>
            </w:pPr>
            <w:r>
              <w:rPr>
                <w:rFonts w:ascii="Arial" w:cs="Arial" w:eastAsia="Arial" w:hAnsi="Arial"/>
                <w:sz w:val="22"/>
                <w:szCs w:val="22"/>
                <w:b w:val="1"/>
                <w:bCs w:val="1"/>
                <w:color w:val="auto"/>
              </w:rPr>
              <w:t>LENDER:</w:t>
            </w:r>
          </w:p>
        </w:tc>
        <w:tc>
          <w:tcPr>
            <w:tcW w:w="2140" w:type="dxa"/>
            <w:vAlign w:val="bottom"/>
          </w:tcPr>
          <w:p>
            <w:pPr>
              <w:spacing w:after="0"/>
              <w:rPr>
                <w:sz w:val="18"/>
                <w:szCs w:val="18"/>
                <w:color w:val="auto"/>
              </w:rPr>
            </w:pPr>
          </w:p>
        </w:tc>
        <w:tc>
          <w:tcPr>
            <w:tcW w:w="2140" w:type="dxa"/>
            <w:vAlign w:val="bottom"/>
          </w:tcPr>
          <w:p>
            <w:pPr>
              <w:ind w:left="920"/>
              <w:spacing w:after="0" w:line="216" w:lineRule="exact"/>
              <w:rPr>
                <w:sz w:val="20"/>
                <w:szCs w:val="20"/>
                <w:color w:val="auto"/>
              </w:rPr>
            </w:pPr>
            <w:r>
              <w:rPr>
                <w:rFonts w:ascii="Arial" w:cs="Arial" w:eastAsia="Arial" w:hAnsi="Arial"/>
                <w:sz w:val="22"/>
                <w:szCs w:val="22"/>
                <w:color w:val="auto"/>
              </w:rPr>
              <w:t>Name:</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gridSpan w:val="3"/>
            <w:vMerge w:val="continue"/>
          </w:tcPr>
          <w:p>
            <w:pPr>
              <w:spacing w:after="0"/>
              <w:rPr>
                <w:sz w:val="19"/>
                <w:szCs w:val="19"/>
                <w:color w:val="auto"/>
              </w:rPr>
            </w:pPr>
          </w:p>
        </w:tc>
        <w:tc>
          <w:tcPr>
            <w:tcW w:w="2140" w:type="dxa"/>
            <w:vAlign w:val="bottom"/>
          </w:tcPr>
          <w:p>
            <w:pPr>
              <w:spacing w:after="0"/>
              <w:rPr>
                <w:sz w:val="19"/>
                <w:szCs w:val="19"/>
                <w:color w:val="auto"/>
              </w:rPr>
            </w:pPr>
          </w:p>
        </w:tc>
        <w:tc>
          <w:tcPr>
            <w:tcW w:w="2140" w:type="dxa"/>
            <w:vAlign w:val="bottom"/>
          </w:tcPr>
          <w:p>
            <w:pPr>
              <w:ind w:left="920"/>
              <w:spacing w:after="0" w:line="224" w:lineRule="exact"/>
              <w:rPr>
                <w:sz w:val="20"/>
                <w:szCs w:val="20"/>
                <w:color w:val="auto"/>
              </w:rPr>
            </w:pPr>
            <w:r>
              <w:rPr>
                <w:rFonts w:ascii="Arial" w:cs="Arial" w:eastAsia="Arial" w:hAnsi="Arial"/>
                <w:sz w:val="22"/>
                <w:szCs w:val="22"/>
                <w:color w:val="auto"/>
              </w:rPr>
              <w:t>Title:</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4"/>
        </w:trPr>
        <w:tc>
          <w:tcPr>
            <w:tcW w:w="1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SCHEDULE 1.01</w:t>
            </w:r>
          </w:p>
        </w:tc>
        <w:tc>
          <w:tcPr>
            <w:tcW w:w="0" w:type="dxa"/>
            <w:vAlign w:val="bottom"/>
          </w:tcPr>
          <w:p>
            <w:pPr>
              <w:spacing w:after="0"/>
              <w:rPr>
                <w:sz w:val="1"/>
                <w:szCs w:val="1"/>
                <w:color w:val="auto"/>
              </w:rPr>
            </w:pPr>
          </w:p>
        </w:tc>
      </w:tr>
      <w:tr>
        <w:trPr>
          <w:trHeight w:val="463"/>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20" w:type="dxa"/>
            <w:vAlign w:val="bottom"/>
            <w:gridSpan w:val="4"/>
          </w:tcPr>
          <w:p>
            <w:pPr>
              <w:jc w:val="right"/>
              <w:ind w:right="92"/>
              <w:spacing w:after="0"/>
              <w:rPr>
                <w:sz w:val="20"/>
                <w:szCs w:val="20"/>
                <w:color w:val="auto"/>
              </w:rPr>
            </w:pPr>
            <w:r>
              <w:rPr>
                <w:rFonts w:ascii="Arial" w:cs="Arial" w:eastAsia="Arial" w:hAnsi="Arial"/>
                <w:sz w:val="22"/>
                <w:szCs w:val="22"/>
                <w:color w:val="auto"/>
              </w:rPr>
              <w:t>INITIAL TERM LOAN COMMITMENTS AND DDTL COMMITMENTS</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80" w:type="dxa"/>
            <w:vAlign w:val="bottom"/>
            <w:tcBorders>
              <w:left w:val="single" w:sz="8" w:color="auto"/>
            </w:tcBorders>
            <w:shd w:val="clear" w:color="auto" w:fill="CCCCCC"/>
          </w:tcPr>
          <w:p>
            <w:pPr>
              <w:spacing w:after="0"/>
              <w:rPr>
                <w:sz w:val="24"/>
                <w:szCs w:val="24"/>
                <w:color w:val="auto"/>
              </w:rPr>
            </w:pPr>
          </w:p>
        </w:tc>
        <w:tc>
          <w:tcPr>
            <w:tcW w:w="2500" w:type="dxa"/>
            <w:vAlign w:val="bottom"/>
            <w:tcBorders>
              <w:right w:val="single" w:sz="8" w:color="auto"/>
            </w:tcBorders>
            <w:gridSpan w:val="2"/>
            <w:shd w:val="clear" w:color="auto" w:fill="CCCCCC"/>
          </w:tcPr>
          <w:p>
            <w:pPr>
              <w:ind w:left="800"/>
              <w:spacing w:after="0"/>
              <w:rPr>
                <w:sz w:val="20"/>
                <w:szCs w:val="20"/>
                <w:color w:val="auto"/>
              </w:rPr>
            </w:pPr>
            <w:r>
              <w:rPr>
                <w:rFonts w:ascii="Arial" w:cs="Arial" w:eastAsia="Arial" w:hAnsi="Arial"/>
                <w:sz w:val="22"/>
                <w:szCs w:val="22"/>
                <w:b w:val="1"/>
                <w:bCs w:val="1"/>
                <w:color w:val="auto"/>
              </w:rPr>
              <w:t>Lenders</w:t>
            </w:r>
          </w:p>
        </w:tc>
        <w:tc>
          <w:tcPr>
            <w:tcW w:w="2140" w:type="dxa"/>
            <w:vAlign w:val="bottom"/>
            <w:tcBorders>
              <w:right w:val="single" w:sz="8" w:color="auto"/>
            </w:tcBorders>
            <w:shd w:val="clear" w:color="auto" w:fill="CCCCCC"/>
          </w:tcPr>
          <w:p>
            <w:pPr>
              <w:jc w:val="right"/>
              <w:ind w:right="152"/>
              <w:spacing w:after="0"/>
              <w:rPr>
                <w:sz w:val="20"/>
                <w:szCs w:val="20"/>
                <w:color w:val="auto"/>
              </w:rPr>
            </w:pPr>
            <w:r>
              <w:rPr>
                <w:rFonts w:ascii="Arial" w:cs="Arial" w:eastAsia="Arial" w:hAnsi="Arial"/>
                <w:sz w:val="22"/>
                <w:szCs w:val="22"/>
                <w:b w:val="1"/>
                <w:bCs w:val="1"/>
                <w:color w:val="auto"/>
              </w:rPr>
              <w:t>Initial Term Loan</w:t>
            </w:r>
          </w:p>
        </w:tc>
        <w:tc>
          <w:tcPr>
            <w:tcW w:w="2140" w:type="dxa"/>
            <w:vAlign w:val="bottom"/>
            <w:tcBorders>
              <w:right w:val="single" w:sz="8" w:color="auto"/>
            </w:tcBorders>
            <w:shd w:val="clear" w:color="auto" w:fill="CCCCCC"/>
          </w:tcPr>
          <w:p>
            <w:pPr>
              <w:ind w:left="900"/>
              <w:spacing w:after="0"/>
              <w:rPr>
                <w:sz w:val="20"/>
                <w:szCs w:val="20"/>
                <w:color w:val="auto"/>
              </w:rPr>
            </w:pPr>
            <w:r>
              <w:rPr>
                <w:rFonts w:ascii="Arial" w:cs="Arial" w:eastAsia="Arial" w:hAnsi="Arial"/>
                <w:sz w:val="22"/>
                <w:szCs w:val="22"/>
                <w:b w:val="1"/>
                <w:bCs w:val="1"/>
                <w:color w:val="auto"/>
              </w:rPr>
              <w:t>Pro</w:t>
            </w:r>
          </w:p>
        </w:tc>
        <w:tc>
          <w:tcPr>
            <w:tcW w:w="2140" w:type="dxa"/>
            <w:vAlign w:val="bottom"/>
            <w:tcBorders>
              <w:right w:val="single" w:sz="8" w:color="auto"/>
            </w:tcBorders>
            <w:shd w:val="clear" w:color="auto" w:fill="CCCCCC"/>
          </w:tcPr>
          <w:p>
            <w:pPr>
              <w:jc w:val="right"/>
              <w:ind w:right="32"/>
              <w:spacing w:after="0"/>
              <w:rPr>
                <w:sz w:val="20"/>
                <w:szCs w:val="20"/>
                <w:color w:val="auto"/>
              </w:rPr>
            </w:pPr>
            <w:r>
              <w:rPr>
                <w:rFonts w:ascii="Arial" w:cs="Arial" w:eastAsia="Arial" w:hAnsi="Arial"/>
                <w:sz w:val="22"/>
                <w:szCs w:val="22"/>
                <w:b w:val="1"/>
                <w:bCs w:val="1"/>
                <w:color w:val="auto"/>
                <w:w w:val="99"/>
              </w:rPr>
              <w:t>DDTL Commitment</w:t>
            </w:r>
          </w:p>
        </w:tc>
        <w:tc>
          <w:tcPr>
            <w:tcW w:w="2140" w:type="dxa"/>
            <w:vAlign w:val="bottom"/>
            <w:tcBorders>
              <w:right w:val="single" w:sz="8" w:color="auto"/>
            </w:tcBorders>
            <w:gridSpan w:val="2"/>
            <w:shd w:val="clear" w:color="auto" w:fill="CCCCCC"/>
          </w:tcPr>
          <w:p>
            <w:pPr>
              <w:ind w:left="140"/>
              <w:spacing w:after="0"/>
              <w:rPr>
                <w:sz w:val="20"/>
                <w:szCs w:val="20"/>
                <w:color w:val="auto"/>
              </w:rPr>
            </w:pPr>
            <w:r>
              <w:rPr>
                <w:rFonts w:ascii="Arial" w:cs="Arial" w:eastAsia="Arial" w:hAnsi="Arial"/>
                <w:sz w:val="22"/>
                <w:szCs w:val="22"/>
                <w:b w:val="1"/>
                <w:bCs w:val="1"/>
                <w:color w:val="auto"/>
                <w:w w:val="97"/>
              </w:rPr>
              <w:t>Pro Rata Portion of</w:t>
            </w:r>
          </w:p>
        </w:tc>
        <w:tc>
          <w:tcPr>
            <w:tcW w:w="0" w:type="dxa"/>
            <w:vAlign w:val="bottom"/>
          </w:tcPr>
          <w:p>
            <w:pPr>
              <w:spacing w:after="0"/>
              <w:rPr>
                <w:sz w:val="1"/>
                <w:szCs w:val="1"/>
                <w:color w:val="auto"/>
              </w:rPr>
            </w:pPr>
          </w:p>
        </w:tc>
      </w:tr>
      <w:tr>
        <w:trPr>
          <w:trHeight w:val="283"/>
        </w:trPr>
        <w:tc>
          <w:tcPr>
            <w:tcW w:w="180" w:type="dxa"/>
            <w:vAlign w:val="bottom"/>
            <w:tcBorders>
              <w:left w:val="single" w:sz="8" w:color="auto"/>
            </w:tcBorders>
            <w:shd w:val="clear" w:color="auto" w:fill="CCCCCC"/>
          </w:tcPr>
          <w:p>
            <w:pPr>
              <w:spacing w:after="0"/>
              <w:rPr>
                <w:sz w:val="24"/>
                <w:szCs w:val="24"/>
                <w:color w:val="auto"/>
              </w:rPr>
            </w:pPr>
          </w:p>
        </w:tc>
        <w:tc>
          <w:tcPr>
            <w:tcW w:w="900" w:type="dxa"/>
            <w:vAlign w:val="bottom"/>
            <w:shd w:val="clear" w:color="auto" w:fill="CCCCCC"/>
          </w:tcPr>
          <w:p>
            <w:pPr>
              <w:spacing w:after="0"/>
              <w:rPr>
                <w:sz w:val="24"/>
                <w:szCs w:val="24"/>
                <w:color w:val="auto"/>
              </w:rPr>
            </w:pPr>
          </w:p>
        </w:tc>
        <w:tc>
          <w:tcPr>
            <w:tcW w:w="1600" w:type="dxa"/>
            <w:vAlign w:val="bottom"/>
            <w:tcBorders>
              <w:right w:val="single" w:sz="8" w:color="auto"/>
            </w:tcBorders>
            <w:shd w:val="clear" w:color="auto" w:fill="CCCCCC"/>
          </w:tcPr>
          <w:p>
            <w:pPr>
              <w:spacing w:after="0"/>
              <w:rPr>
                <w:sz w:val="24"/>
                <w:szCs w:val="24"/>
                <w:color w:val="auto"/>
              </w:rPr>
            </w:pPr>
          </w:p>
        </w:tc>
        <w:tc>
          <w:tcPr>
            <w:tcW w:w="2140" w:type="dxa"/>
            <w:vAlign w:val="bottom"/>
            <w:tcBorders>
              <w:right w:val="single" w:sz="8" w:color="auto"/>
            </w:tcBorders>
            <w:shd w:val="clear" w:color="auto" w:fill="CCCCCC"/>
          </w:tcPr>
          <w:p>
            <w:pPr>
              <w:jc w:val="right"/>
              <w:ind w:right="352"/>
              <w:spacing w:after="0"/>
              <w:rPr>
                <w:sz w:val="20"/>
                <w:szCs w:val="20"/>
                <w:color w:val="auto"/>
              </w:rPr>
            </w:pPr>
            <w:r>
              <w:rPr>
                <w:rFonts w:ascii="Arial" w:cs="Arial" w:eastAsia="Arial" w:hAnsi="Arial"/>
                <w:sz w:val="22"/>
                <w:szCs w:val="22"/>
                <w:b w:val="1"/>
                <w:bCs w:val="1"/>
                <w:color w:val="auto"/>
              </w:rPr>
              <w:t>Commitment</w:t>
            </w:r>
          </w:p>
        </w:tc>
        <w:tc>
          <w:tcPr>
            <w:tcW w:w="2140" w:type="dxa"/>
            <w:vAlign w:val="bottom"/>
            <w:tcBorders>
              <w:right w:val="single" w:sz="8" w:color="auto"/>
            </w:tcBorders>
            <w:shd w:val="clear" w:color="auto" w:fill="CCCCCC"/>
          </w:tcPr>
          <w:p>
            <w:pPr>
              <w:ind w:left="40"/>
              <w:spacing w:after="0"/>
              <w:rPr>
                <w:sz w:val="20"/>
                <w:szCs w:val="20"/>
                <w:color w:val="auto"/>
              </w:rPr>
            </w:pPr>
            <w:r>
              <w:rPr>
                <w:rFonts w:ascii="Arial" w:cs="Arial" w:eastAsia="Arial" w:hAnsi="Arial"/>
                <w:sz w:val="22"/>
                <w:szCs w:val="22"/>
                <w:b w:val="1"/>
                <w:bCs w:val="1"/>
                <w:color w:val="auto"/>
                <w:w w:val="93"/>
              </w:rPr>
              <w:t>Rata Portion of Initial</w:t>
            </w:r>
          </w:p>
        </w:tc>
        <w:tc>
          <w:tcPr>
            <w:tcW w:w="2140" w:type="dxa"/>
            <w:vAlign w:val="bottom"/>
            <w:tcBorders>
              <w:right w:val="single" w:sz="8" w:color="auto"/>
            </w:tcBorders>
            <w:shd w:val="clear" w:color="auto" w:fill="CCCCCC"/>
          </w:tcPr>
          <w:p>
            <w:pPr>
              <w:spacing w:after="0"/>
              <w:rPr>
                <w:sz w:val="24"/>
                <w:szCs w:val="24"/>
                <w:color w:val="auto"/>
              </w:rPr>
            </w:pPr>
          </w:p>
        </w:tc>
        <w:tc>
          <w:tcPr>
            <w:tcW w:w="2140" w:type="dxa"/>
            <w:vAlign w:val="bottom"/>
            <w:tcBorders>
              <w:right w:val="single" w:sz="8" w:color="auto"/>
            </w:tcBorders>
            <w:gridSpan w:val="2"/>
            <w:shd w:val="clear" w:color="auto" w:fill="CCCCCC"/>
          </w:tcPr>
          <w:p>
            <w:pPr>
              <w:ind w:left="120"/>
              <w:spacing w:after="0"/>
              <w:rPr>
                <w:sz w:val="20"/>
                <w:szCs w:val="20"/>
                <w:color w:val="auto"/>
              </w:rPr>
            </w:pPr>
            <w:r>
              <w:rPr>
                <w:rFonts w:ascii="Arial" w:cs="Arial" w:eastAsia="Arial" w:hAnsi="Arial"/>
                <w:sz w:val="22"/>
                <w:szCs w:val="22"/>
                <w:b w:val="1"/>
                <w:bCs w:val="1"/>
                <w:color w:val="auto"/>
                <w:w w:val="99"/>
              </w:rPr>
              <w:t>DDTL Commitment</w:t>
            </w:r>
          </w:p>
        </w:tc>
        <w:tc>
          <w:tcPr>
            <w:tcW w:w="0" w:type="dxa"/>
            <w:vAlign w:val="bottom"/>
          </w:tcPr>
          <w:p>
            <w:pPr>
              <w:spacing w:after="0"/>
              <w:rPr>
                <w:sz w:val="1"/>
                <w:szCs w:val="1"/>
                <w:color w:val="auto"/>
              </w:rPr>
            </w:pPr>
          </w:p>
        </w:tc>
      </w:tr>
      <w:tr>
        <w:trPr>
          <w:trHeight w:val="283"/>
        </w:trPr>
        <w:tc>
          <w:tcPr>
            <w:tcW w:w="180" w:type="dxa"/>
            <w:vAlign w:val="bottom"/>
            <w:tcBorders>
              <w:left w:val="single" w:sz="8" w:color="auto"/>
            </w:tcBorders>
            <w:shd w:val="clear" w:color="auto" w:fill="CCCCCC"/>
          </w:tcPr>
          <w:p>
            <w:pPr>
              <w:spacing w:after="0"/>
              <w:rPr>
                <w:sz w:val="24"/>
                <w:szCs w:val="24"/>
                <w:color w:val="auto"/>
              </w:rPr>
            </w:pPr>
          </w:p>
        </w:tc>
        <w:tc>
          <w:tcPr>
            <w:tcW w:w="900" w:type="dxa"/>
            <w:vAlign w:val="bottom"/>
            <w:shd w:val="clear" w:color="auto" w:fill="CCCCCC"/>
          </w:tcPr>
          <w:p>
            <w:pPr>
              <w:spacing w:after="0"/>
              <w:rPr>
                <w:sz w:val="24"/>
                <w:szCs w:val="24"/>
                <w:color w:val="auto"/>
              </w:rPr>
            </w:pPr>
          </w:p>
        </w:tc>
        <w:tc>
          <w:tcPr>
            <w:tcW w:w="1600" w:type="dxa"/>
            <w:vAlign w:val="bottom"/>
            <w:tcBorders>
              <w:right w:val="single" w:sz="8" w:color="auto"/>
            </w:tcBorders>
            <w:shd w:val="clear" w:color="auto" w:fill="CCCCCC"/>
          </w:tcPr>
          <w:p>
            <w:pPr>
              <w:spacing w:after="0"/>
              <w:rPr>
                <w:sz w:val="24"/>
                <w:szCs w:val="24"/>
                <w:color w:val="auto"/>
              </w:rPr>
            </w:pPr>
          </w:p>
        </w:tc>
        <w:tc>
          <w:tcPr>
            <w:tcW w:w="2140" w:type="dxa"/>
            <w:vAlign w:val="bottom"/>
            <w:tcBorders>
              <w:right w:val="single" w:sz="8" w:color="auto"/>
            </w:tcBorders>
            <w:shd w:val="clear" w:color="auto" w:fill="CCCCCC"/>
          </w:tcPr>
          <w:p>
            <w:pPr>
              <w:spacing w:after="0"/>
              <w:rPr>
                <w:sz w:val="24"/>
                <w:szCs w:val="24"/>
                <w:color w:val="auto"/>
              </w:rPr>
            </w:pPr>
          </w:p>
        </w:tc>
        <w:tc>
          <w:tcPr>
            <w:tcW w:w="2140" w:type="dxa"/>
            <w:vAlign w:val="bottom"/>
            <w:tcBorders>
              <w:right w:val="single" w:sz="8" w:color="auto"/>
            </w:tcBorders>
            <w:shd w:val="clear" w:color="auto" w:fill="CCCCCC"/>
          </w:tcPr>
          <w:p>
            <w:pPr>
              <w:ind w:left="540"/>
              <w:spacing w:after="0"/>
              <w:rPr>
                <w:sz w:val="20"/>
                <w:szCs w:val="20"/>
                <w:color w:val="auto"/>
              </w:rPr>
            </w:pPr>
            <w:r>
              <w:rPr>
                <w:rFonts w:ascii="Arial" w:cs="Arial" w:eastAsia="Arial" w:hAnsi="Arial"/>
                <w:sz w:val="22"/>
                <w:szCs w:val="22"/>
                <w:b w:val="1"/>
                <w:bCs w:val="1"/>
                <w:color w:val="auto"/>
              </w:rPr>
              <w:t>Term Loan</w:t>
            </w:r>
          </w:p>
        </w:tc>
        <w:tc>
          <w:tcPr>
            <w:tcW w:w="2140" w:type="dxa"/>
            <w:vAlign w:val="bottom"/>
            <w:tcBorders>
              <w:right w:val="single" w:sz="8" w:color="auto"/>
            </w:tcBorders>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c>
          <w:tcPr>
            <w:tcW w:w="15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80" w:type="dxa"/>
            <w:vAlign w:val="bottom"/>
            <w:tcBorders>
              <w:left w:val="single" w:sz="8" w:color="auto"/>
              <w:bottom w:val="single" w:sz="8" w:color="CCCCCC"/>
            </w:tcBorders>
            <w:shd w:val="clear" w:color="auto" w:fill="CCCCCC"/>
          </w:tcPr>
          <w:p>
            <w:pPr>
              <w:spacing w:after="0"/>
              <w:rPr>
                <w:sz w:val="24"/>
                <w:szCs w:val="24"/>
                <w:color w:val="auto"/>
              </w:rPr>
            </w:pPr>
          </w:p>
        </w:tc>
        <w:tc>
          <w:tcPr>
            <w:tcW w:w="900" w:type="dxa"/>
            <w:vAlign w:val="bottom"/>
            <w:tcBorders>
              <w:bottom w:val="single" w:sz="8" w:color="CCCCCC"/>
            </w:tcBorders>
            <w:shd w:val="clear" w:color="auto" w:fill="CCCCCC"/>
          </w:tcPr>
          <w:p>
            <w:pPr>
              <w:spacing w:after="0"/>
              <w:rPr>
                <w:sz w:val="24"/>
                <w:szCs w:val="24"/>
                <w:color w:val="auto"/>
              </w:rPr>
            </w:pPr>
          </w:p>
        </w:tc>
        <w:tc>
          <w:tcPr>
            <w:tcW w:w="1600" w:type="dxa"/>
            <w:vAlign w:val="bottom"/>
            <w:tcBorders>
              <w:bottom w:val="single" w:sz="8" w:color="CCCCCC"/>
              <w:right w:val="single" w:sz="8" w:color="auto"/>
            </w:tcBorders>
            <w:shd w:val="clear" w:color="auto" w:fill="CCCCCC"/>
          </w:tcPr>
          <w:p>
            <w:pPr>
              <w:spacing w:after="0"/>
              <w:rPr>
                <w:sz w:val="24"/>
                <w:szCs w:val="24"/>
                <w:color w:val="auto"/>
              </w:rPr>
            </w:pPr>
          </w:p>
        </w:tc>
        <w:tc>
          <w:tcPr>
            <w:tcW w:w="2140" w:type="dxa"/>
            <w:vAlign w:val="bottom"/>
            <w:tcBorders>
              <w:bottom w:val="single" w:sz="8" w:color="CCCCCC"/>
              <w:right w:val="single" w:sz="8" w:color="auto"/>
            </w:tcBorders>
            <w:shd w:val="clear" w:color="auto" w:fill="CCCCCC"/>
          </w:tcPr>
          <w:p>
            <w:pPr>
              <w:spacing w:after="0"/>
              <w:rPr>
                <w:sz w:val="24"/>
                <w:szCs w:val="24"/>
                <w:color w:val="auto"/>
              </w:rPr>
            </w:pPr>
          </w:p>
        </w:tc>
        <w:tc>
          <w:tcPr>
            <w:tcW w:w="2140" w:type="dxa"/>
            <w:vAlign w:val="bottom"/>
            <w:tcBorders>
              <w:bottom w:val="single" w:sz="8" w:color="CCCCCC"/>
              <w:right w:val="single" w:sz="8" w:color="auto"/>
            </w:tcBorders>
            <w:shd w:val="clear" w:color="auto" w:fill="CCCCCC"/>
          </w:tcPr>
          <w:p>
            <w:pPr>
              <w:ind w:left="460"/>
              <w:spacing w:after="0"/>
              <w:rPr>
                <w:sz w:val="20"/>
                <w:szCs w:val="20"/>
                <w:color w:val="auto"/>
              </w:rPr>
            </w:pPr>
            <w:r>
              <w:rPr>
                <w:rFonts w:ascii="Arial" w:cs="Arial" w:eastAsia="Arial" w:hAnsi="Arial"/>
                <w:sz w:val="22"/>
                <w:szCs w:val="22"/>
                <w:b w:val="1"/>
                <w:bCs w:val="1"/>
                <w:color w:val="auto"/>
              </w:rPr>
              <w:t>Commitment</w:t>
            </w:r>
          </w:p>
        </w:tc>
        <w:tc>
          <w:tcPr>
            <w:tcW w:w="2140" w:type="dxa"/>
            <w:vAlign w:val="bottom"/>
            <w:tcBorders>
              <w:bottom w:val="single" w:sz="8" w:color="CCCCCC"/>
              <w:right w:val="single" w:sz="8" w:color="auto"/>
            </w:tcBorders>
            <w:shd w:val="clear" w:color="auto" w:fill="CCCCCC"/>
          </w:tcPr>
          <w:p>
            <w:pPr>
              <w:spacing w:after="0"/>
              <w:rPr>
                <w:sz w:val="24"/>
                <w:szCs w:val="24"/>
                <w:color w:val="auto"/>
              </w:rPr>
            </w:pPr>
          </w:p>
        </w:tc>
        <w:tc>
          <w:tcPr>
            <w:tcW w:w="580" w:type="dxa"/>
            <w:vAlign w:val="bottom"/>
            <w:tcBorders>
              <w:bottom w:val="single" w:sz="8" w:color="CCCCCC"/>
            </w:tcBorders>
            <w:shd w:val="clear" w:color="auto" w:fill="CCCCCC"/>
          </w:tcPr>
          <w:p>
            <w:pPr>
              <w:spacing w:after="0"/>
              <w:rPr>
                <w:sz w:val="24"/>
                <w:szCs w:val="24"/>
                <w:color w:val="auto"/>
              </w:rPr>
            </w:pPr>
          </w:p>
        </w:tc>
        <w:tc>
          <w:tcPr>
            <w:tcW w:w="156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8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22"/>
                <w:szCs w:val="22"/>
                <w:b w:val="1"/>
                <w:bCs w:val="1"/>
                <w:color w:val="auto"/>
              </w:rPr>
              <w:t>Hayfin  DLF  III  Luxco  1</w:t>
            </w:r>
          </w:p>
        </w:tc>
        <w:tc>
          <w:tcPr>
            <w:tcW w:w="2140" w:type="dxa"/>
            <w:vAlign w:val="bottom"/>
            <w:tcBorders>
              <w:top w:val="single" w:sz="8" w:color="auto"/>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140" w:type="dxa"/>
            <w:vAlign w:val="bottom"/>
            <w:tcBorders>
              <w:top w:val="single" w:sz="8" w:color="auto"/>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80" w:type="dxa"/>
            <w:vAlign w:val="bottom"/>
            <w:tcBorders>
              <w:left w:val="single" w:sz="8" w:color="auto"/>
              <w:bottom w:val="single" w:sz="8" w:color="auto"/>
              <w:right w:val="single" w:sz="8" w:color="auto"/>
            </w:tcBorders>
            <w:gridSpan w:val="3"/>
          </w:tcPr>
          <w:p>
            <w:pPr>
              <w:ind w:left="60"/>
              <w:spacing w:after="0" w:line="243" w:lineRule="exact"/>
              <w:rPr>
                <w:sz w:val="20"/>
                <w:szCs w:val="20"/>
                <w:color w:val="auto"/>
              </w:rPr>
            </w:pPr>
            <w:r>
              <w:rPr>
                <w:rFonts w:ascii="Arial" w:cs="Arial" w:eastAsia="Arial" w:hAnsi="Arial"/>
                <w:sz w:val="22"/>
                <w:szCs w:val="22"/>
                <w:b w:val="1"/>
                <w:bCs w:val="1"/>
                <w:color w:val="auto"/>
              </w:rPr>
              <w:t>S.àr.l</w:t>
            </w:r>
          </w:p>
        </w:tc>
        <w:tc>
          <w:tcPr>
            <w:tcW w:w="21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6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22"/>
                <w:szCs w:val="22"/>
                <w:b w:val="1"/>
                <w:bCs w:val="1"/>
                <w:color w:val="auto"/>
                <w:w w:val="97"/>
              </w:rPr>
              <w:t>Hayfin Sapphire IV Luxco</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80" w:type="dxa"/>
            <w:vAlign w:val="bottom"/>
            <w:tcBorders>
              <w:left w:val="single" w:sz="8" w:color="auto"/>
              <w:bottom w:val="single" w:sz="8" w:color="auto"/>
              <w:right w:val="single" w:sz="8" w:color="auto"/>
            </w:tcBorders>
            <w:gridSpan w:val="3"/>
          </w:tcPr>
          <w:p>
            <w:pPr>
              <w:ind w:left="60"/>
              <w:spacing w:after="0" w:line="243" w:lineRule="exact"/>
              <w:rPr>
                <w:sz w:val="20"/>
                <w:szCs w:val="20"/>
                <w:color w:val="auto"/>
              </w:rPr>
            </w:pPr>
            <w:r>
              <w:rPr>
                <w:rFonts w:ascii="Arial" w:cs="Arial" w:eastAsia="Arial" w:hAnsi="Arial"/>
                <w:sz w:val="22"/>
                <w:szCs w:val="22"/>
                <w:b w:val="1"/>
                <w:bCs w:val="1"/>
                <w:color w:val="auto"/>
              </w:rPr>
              <w:t>SCA</w:t>
            </w:r>
          </w:p>
        </w:tc>
        <w:tc>
          <w:tcPr>
            <w:tcW w:w="21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26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22"/>
                <w:szCs w:val="22"/>
                <w:b w:val="1"/>
                <w:bCs w:val="1"/>
                <w:color w:val="auto"/>
              </w:rPr>
              <w:t>Hayfin PT Luxco 2 S.àr.l</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680" w:type="dxa"/>
            <w:vAlign w:val="bottom"/>
            <w:tcBorders>
              <w:left w:val="single" w:sz="8" w:color="auto"/>
              <w:bottom w:val="single" w:sz="8" w:color="auto"/>
              <w:right w:val="single" w:sz="8" w:color="auto"/>
            </w:tcBorders>
            <w:gridSpan w:val="3"/>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6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22"/>
                <w:szCs w:val="22"/>
                <w:b w:val="1"/>
                <w:bCs w:val="1"/>
                <w:color w:val="auto"/>
              </w:rPr>
              <w:t>Infinity   Holdco   Private</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80" w:type="dxa"/>
            <w:vAlign w:val="bottom"/>
            <w:tcBorders>
              <w:left w:val="single" w:sz="8" w:color="auto"/>
              <w:bottom w:val="single" w:sz="8" w:color="auto"/>
              <w:right w:val="single" w:sz="8" w:color="auto"/>
            </w:tcBorders>
            <w:gridSpan w:val="3"/>
          </w:tcPr>
          <w:p>
            <w:pPr>
              <w:ind w:left="60"/>
              <w:spacing w:after="0" w:line="243" w:lineRule="exact"/>
              <w:rPr>
                <w:sz w:val="20"/>
                <w:szCs w:val="20"/>
                <w:color w:val="auto"/>
              </w:rPr>
            </w:pPr>
            <w:r>
              <w:rPr>
                <w:rFonts w:ascii="Arial" w:cs="Arial" w:eastAsia="Arial" w:hAnsi="Arial"/>
                <w:sz w:val="22"/>
                <w:szCs w:val="22"/>
                <w:b w:val="1"/>
                <w:bCs w:val="1"/>
                <w:color w:val="auto"/>
              </w:rPr>
              <w:t>Debt II S.àr.l</w:t>
            </w:r>
          </w:p>
        </w:tc>
        <w:tc>
          <w:tcPr>
            <w:tcW w:w="21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26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22"/>
                <w:szCs w:val="22"/>
                <w:b w:val="1"/>
                <w:bCs w:val="1"/>
                <w:color w:val="auto"/>
              </w:rPr>
              <w:t>Total</w:t>
            </w:r>
          </w:p>
        </w:tc>
        <w:tc>
          <w:tcPr>
            <w:tcW w:w="2140" w:type="dxa"/>
            <w:vAlign w:val="bottom"/>
            <w:tcBorders>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140" w:type="dxa"/>
            <w:vAlign w:val="bottom"/>
            <w:tcBorders>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8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8" w:right="339" w:bottom="1440" w:gutter="0" w:footer="0" w:header="0"/>
        </w:sectPr>
      </w:pPr>
    </w:p>
    <w:bookmarkStart w:id="209" w:name="page210"/>
    <w:bookmarkEnd w:id="209"/>
    <w:p>
      <w:pPr>
        <w:spacing w:after="0" w:line="200" w:lineRule="exact"/>
        <w:rPr>
          <w:sz w:val="20"/>
          <w:szCs w:val="20"/>
          <w:color w:val="auto"/>
        </w:rPr>
      </w:pPr>
    </w:p>
    <w:p>
      <w:pPr>
        <w:spacing w:after="0" w:line="296"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5777865" cy="4105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777865" cy="41059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9"/>
          <w:szCs w:val="19"/>
          <w:b w:val="1"/>
          <w:bCs w:val="1"/>
          <w:color w:val="auto"/>
        </w:rPr>
        <w:t>Litera Compare for Word 11.2.0.54 Document comparison done on 7/24/2023 7:03:55 PM</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 xml:space="preserve">Style name: </w:t>
      </w:r>
      <w:r>
        <w:rPr>
          <w:rFonts w:ascii="Arial" w:cs="Arial" w:eastAsia="Arial" w:hAnsi="Arial"/>
          <w:sz w:val="22"/>
          <w:szCs w:val="22"/>
          <w:color w:val="auto"/>
        </w:rPr>
        <w:t>Default Style with comment comparison</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 xml:space="preserve">Intelligent Table Comparison: </w:t>
      </w:r>
      <w:r>
        <w:rPr>
          <w:rFonts w:ascii="Arial" w:cs="Arial" w:eastAsia="Arial" w:hAnsi="Arial"/>
          <w:sz w:val="22"/>
          <w:szCs w:val="22"/>
          <w:color w:val="auto"/>
        </w:rPr>
        <w:t>Active</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 xml:space="preserve">Original DMS: </w:t>
      </w:r>
      <w:r>
        <w:rPr>
          <w:rFonts w:ascii="Arial" w:cs="Arial" w:eastAsia="Arial" w:hAnsi="Arial"/>
          <w:sz w:val="22"/>
          <w:szCs w:val="22"/>
          <w:color w:val="auto"/>
        </w:rPr>
        <w:t>iw://freshfields-us.imanage.work/US-LEGAL/12054632/1</w:t>
      </w:r>
    </w:p>
    <w:p>
      <w:pPr>
        <w:spacing w:after="0" w:line="31" w:lineRule="exact"/>
        <w:rPr>
          <w:sz w:val="20"/>
          <w:szCs w:val="20"/>
          <w:color w:val="auto"/>
        </w:rPr>
      </w:pPr>
    </w:p>
    <w:p>
      <w:pPr>
        <w:ind w:left="80" w:right="1239"/>
        <w:spacing w:after="0" w:line="235" w:lineRule="auto"/>
        <w:rPr>
          <w:sz w:val="20"/>
          <w:szCs w:val="20"/>
          <w:color w:val="auto"/>
        </w:rPr>
      </w:pPr>
      <w:r>
        <w:rPr>
          <w:rFonts w:ascii="Arial" w:cs="Arial" w:eastAsia="Arial" w:hAnsi="Arial"/>
          <w:sz w:val="22"/>
          <w:szCs w:val="22"/>
          <w:b w:val="1"/>
          <w:bCs w:val="1"/>
          <w:color w:val="auto"/>
        </w:rPr>
        <w:t xml:space="preserve">Modified filename: </w:t>
      </w:r>
      <w:r>
        <w:rPr>
          <w:rFonts w:ascii="Arial" w:cs="Arial" w:eastAsia="Arial" w:hAnsi="Arial"/>
          <w:sz w:val="22"/>
          <w:szCs w:val="22"/>
          <w:color w:val="auto"/>
        </w:rPr>
        <w:t>MiMedx - Exhibit A - Amended Credit Agreement (through Amen. No. 2)</w:t>
      </w:r>
      <w:r>
        <w:rPr>
          <w:rFonts w:ascii="Arial" w:cs="Arial" w:eastAsia="Arial" w:hAnsi="Arial"/>
          <w:sz w:val="22"/>
          <w:szCs w:val="22"/>
          <w:b w:val="1"/>
          <w:bCs w:val="1"/>
          <w:color w:val="auto"/>
        </w:rPr>
        <w:t xml:space="preserve"> </w:t>
      </w:r>
      <w:r>
        <w:rPr>
          <w:rFonts w:ascii="Arial" w:cs="Arial" w:eastAsia="Arial" w:hAnsi="Arial"/>
          <w:sz w:val="22"/>
          <w:szCs w:val="22"/>
          <w:color w:val="auto"/>
        </w:rPr>
        <w:t>(Final).10.docx</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Changes: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 w:type="dxa"/>
            <w:vAlign w:val="bottom"/>
            <w:tcBorders>
              <w:top w:val="single" w:sz="8" w:color="auto"/>
            </w:tcBorders>
          </w:tcPr>
          <w:p>
            <w:pPr>
              <w:spacing w:after="0"/>
              <w:rPr>
                <w:sz w:val="23"/>
                <w:szCs w:val="23"/>
                <w:color w:val="auto"/>
              </w:rPr>
            </w:pPr>
          </w:p>
        </w:tc>
        <w:tc>
          <w:tcPr>
            <w:tcW w:w="696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22"/>
                <w:szCs w:val="22"/>
                <w:color w:val="0000FF"/>
              </w:rPr>
              <w:t>Add</w:t>
            </w:r>
          </w:p>
        </w:tc>
        <w:tc>
          <w:tcPr>
            <w:tcW w:w="206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rPr>
              <w:t>547</w:t>
            </w:r>
          </w:p>
        </w:tc>
      </w:tr>
      <w:tr>
        <w:trPr>
          <w:trHeight w:val="74"/>
        </w:trPr>
        <w:tc>
          <w:tcPr>
            <w:tcW w:w="80" w:type="dxa"/>
            <w:vAlign w:val="bottom"/>
            <w:tcBorders>
              <w:bottom w:val="single" w:sz="8" w:color="auto"/>
            </w:tcBorders>
          </w:tcPr>
          <w:p>
            <w:pPr>
              <w:spacing w:after="0"/>
              <w:rPr>
                <w:sz w:val="6"/>
                <w:szCs w:val="6"/>
                <w:color w:val="auto"/>
              </w:rPr>
            </w:pPr>
          </w:p>
        </w:tc>
        <w:tc>
          <w:tcPr>
            <w:tcW w:w="380" w:type="dxa"/>
            <w:vAlign w:val="bottom"/>
            <w:tcBorders>
              <w:top w:val="single" w:sz="8" w:color="0000FF"/>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64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r>
      <w:tr>
        <w:trPr>
          <w:trHeight w:val="301"/>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22"/>
                <w:szCs w:val="22"/>
                <w:color w:val="FF0000"/>
                <w:strike w:val="1"/>
              </w:rPr>
              <w:t>Delete</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tcBorders>
              <w:right w:val="single" w:sz="8" w:color="auto"/>
            </w:tcBorders>
          </w:tcPr>
          <w:p>
            <w:pPr>
              <w:spacing w:after="0"/>
              <w:rPr>
                <w:sz w:val="24"/>
                <w:szCs w:val="24"/>
                <w:color w:val="auto"/>
              </w:rPr>
            </w:pPr>
          </w:p>
        </w:tc>
        <w:tc>
          <w:tcPr>
            <w:tcW w:w="2060" w:type="dxa"/>
            <w:vAlign w:val="bottom"/>
          </w:tcPr>
          <w:p>
            <w:pPr>
              <w:ind w:left="60"/>
              <w:spacing w:after="0"/>
              <w:rPr>
                <w:sz w:val="20"/>
                <w:szCs w:val="20"/>
                <w:color w:val="auto"/>
              </w:rPr>
            </w:pPr>
            <w:r>
              <w:rPr>
                <w:rFonts w:ascii="Arial" w:cs="Arial" w:eastAsia="Arial" w:hAnsi="Arial"/>
                <w:sz w:val="22"/>
                <w:szCs w:val="22"/>
                <w:color w:val="auto"/>
              </w:rPr>
              <w:t>757</w:t>
            </w:r>
          </w:p>
        </w:tc>
      </w:tr>
      <w:tr>
        <w:trPr>
          <w:trHeight w:val="30"/>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01"/>
        </w:trPr>
        <w:tc>
          <w:tcPr>
            <w:tcW w:w="8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22"/>
                <w:szCs w:val="22"/>
                <w:color w:val="008000"/>
                <w:strike w:val="1"/>
                <w:w w:val="89"/>
              </w:rPr>
              <w:t>Move From</w:t>
            </w:r>
          </w:p>
        </w:tc>
        <w:tc>
          <w:tcPr>
            <w:tcW w:w="300" w:type="dxa"/>
            <w:vAlign w:val="bottom"/>
          </w:tcPr>
          <w:p>
            <w:pPr>
              <w:spacing w:after="0"/>
              <w:rPr>
                <w:sz w:val="24"/>
                <w:szCs w:val="24"/>
                <w:color w:val="auto"/>
              </w:rPr>
            </w:pPr>
          </w:p>
        </w:tc>
        <w:tc>
          <w:tcPr>
            <w:tcW w:w="5640" w:type="dxa"/>
            <w:vAlign w:val="bottom"/>
            <w:tcBorders>
              <w:right w:val="single" w:sz="8" w:color="auto"/>
            </w:tcBorders>
          </w:tcPr>
          <w:p>
            <w:pPr>
              <w:spacing w:after="0"/>
              <w:rPr>
                <w:sz w:val="24"/>
                <w:szCs w:val="24"/>
                <w:color w:val="auto"/>
              </w:rPr>
            </w:pPr>
          </w:p>
        </w:tc>
        <w:tc>
          <w:tcPr>
            <w:tcW w:w="2060" w:type="dxa"/>
            <w:vAlign w:val="bottom"/>
          </w:tcPr>
          <w:p>
            <w:pPr>
              <w:ind w:left="60"/>
              <w:spacing w:after="0"/>
              <w:rPr>
                <w:sz w:val="20"/>
                <w:szCs w:val="20"/>
                <w:color w:val="auto"/>
              </w:rPr>
            </w:pPr>
            <w:r>
              <w:rPr>
                <w:rFonts w:ascii="Arial" w:cs="Arial" w:eastAsia="Arial" w:hAnsi="Arial"/>
                <w:sz w:val="22"/>
                <w:szCs w:val="22"/>
                <w:color w:val="auto"/>
              </w:rPr>
              <w:t>16</w:t>
            </w:r>
          </w:p>
        </w:tc>
      </w:tr>
      <w:tr>
        <w:trPr>
          <w:trHeight w:val="31"/>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960" w:type="dxa"/>
            <w:vAlign w:val="bottom"/>
            <w:tcBorders>
              <w:right w:val="single" w:sz="8" w:color="auto"/>
            </w:tcBorders>
            <w:gridSpan w:val="5"/>
          </w:tcPr>
          <w:p>
            <w:pPr>
              <w:spacing w:after="0" w:line="250" w:lineRule="exact"/>
              <w:rPr>
                <w:sz w:val="20"/>
                <w:szCs w:val="20"/>
                <w:color w:val="auto"/>
              </w:rPr>
            </w:pPr>
            <w:r>
              <w:rPr>
                <w:rFonts w:ascii="Arial" w:cs="Arial" w:eastAsia="Arial" w:hAnsi="Arial"/>
                <w:sz w:val="22"/>
                <w:szCs w:val="22"/>
                <w:color w:val="008000"/>
              </w:rPr>
              <w:t>Move To</w:t>
            </w:r>
          </w:p>
        </w:tc>
        <w:tc>
          <w:tcPr>
            <w:tcW w:w="2060" w:type="dxa"/>
            <w:vAlign w:val="bottom"/>
          </w:tcPr>
          <w:p>
            <w:pPr>
              <w:ind w:left="60"/>
              <w:spacing w:after="0" w:line="250" w:lineRule="exact"/>
              <w:rPr>
                <w:sz w:val="20"/>
                <w:szCs w:val="20"/>
                <w:color w:val="auto"/>
              </w:rPr>
            </w:pPr>
            <w:r>
              <w:rPr>
                <w:rFonts w:ascii="Arial" w:cs="Arial" w:eastAsia="Arial" w:hAnsi="Arial"/>
                <w:sz w:val="22"/>
                <w:szCs w:val="22"/>
                <w:color w:val="auto"/>
              </w:rPr>
              <w:t>16</w:t>
            </w:r>
          </w:p>
        </w:tc>
      </w:tr>
      <w:tr>
        <w:trPr>
          <w:trHeight w:val="61"/>
        </w:trPr>
        <w:tc>
          <w:tcPr>
            <w:tcW w:w="80" w:type="dxa"/>
            <w:vAlign w:val="bottom"/>
            <w:tcBorders>
              <w:bottom w:val="single" w:sz="8" w:color="auto"/>
            </w:tcBorders>
          </w:tcPr>
          <w:p>
            <w:pPr>
              <w:spacing w:after="0"/>
              <w:rPr>
                <w:sz w:val="5"/>
                <w:szCs w:val="5"/>
                <w:color w:val="auto"/>
              </w:rPr>
            </w:pPr>
          </w:p>
        </w:tc>
        <w:tc>
          <w:tcPr>
            <w:tcW w:w="380" w:type="dxa"/>
            <w:vAlign w:val="bottom"/>
            <w:tcBorders>
              <w:top w:val="single" w:sz="8" w:color="008000"/>
              <w:bottom w:val="single" w:sz="8" w:color="auto"/>
            </w:tcBorders>
          </w:tcPr>
          <w:p>
            <w:pPr>
              <w:spacing w:after="0"/>
              <w:rPr>
                <w:sz w:val="5"/>
                <w:szCs w:val="5"/>
                <w:color w:val="auto"/>
              </w:rPr>
            </w:pPr>
          </w:p>
        </w:tc>
        <w:tc>
          <w:tcPr>
            <w:tcW w:w="400" w:type="dxa"/>
            <w:vAlign w:val="bottom"/>
            <w:tcBorders>
              <w:top w:val="single" w:sz="8" w:color="008000"/>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4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r>
      <w:tr>
        <w:trPr>
          <w:trHeight w:val="250"/>
        </w:trPr>
        <w:tc>
          <w:tcPr>
            <w:tcW w:w="80" w:type="dxa"/>
            <w:vAlign w:val="bottom"/>
          </w:tcPr>
          <w:p>
            <w:pPr>
              <w:spacing w:after="0"/>
              <w:rPr>
                <w:sz w:val="21"/>
                <w:szCs w:val="21"/>
                <w:color w:val="auto"/>
              </w:rPr>
            </w:pPr>
          </w:p>
        </w:tc>
        <w:tc>
          <w:tcPr>
            <w:tcW w:w="6960" w:type="dxa"/>
            <w:vAlign w:val="bottom"/>
            <w:tcBorders>
              <w:right w:val="single" w:sz="8" w:color="auto"/>
            </w:tcBorders>
            <w:gridSpan w:val="5"/>
          </w:tcPr>
          <w:p>
            <w:pPr>
              <w:spacing w:after="0" w:line="250" w:lineRule="exact"/>
              <w:rPr>
                <w:sz w:val="20"/>
                <w:szCs w:val="20"/>
                <w:color w:val="auto"/>
              </w:rPr>
            </w:pPr>
            <w:r>
              <w:rPr>
                <w:rFonts w:ascii="Arial" w:cs="Arial" w:eastAsia="Arial" w:hAnsi="Arial"/>
                <w:sz w:val="22"/>
                <w:szCs w:val="22"/>
                <w:color w:val="0000FF"/>
              </w:rPr>
              <w:t>Table Insert</w:t>
            </w:r>
          </w:p>
        </w:tc>
        <w:tc>
          <w:tcPr>
            <w:tcW w:w="2060" w:type="dxa"/>
            <w:vAlign w:val="bottom"/>
          </w:tcPr>
          <w:p>
            <w:pPr>
              <w:ind w:left="60"/>
              <w:spacing w:after="0" w:line="250" w:lineRule="exact"/>
              <w:rPr>
                <w:sz w:val="20"/>
                <w:szCs w:val="20"/>
                <w:color w:val="auto"/>
              </w:rPr>
            </w:pPr>
            <w:r>
              <w:rPr>
                <w:rFonts w:ascii="Arial" w:cs="Arial" w:eastAsia="Arial" w:hAnsi="Arial"/>
                <w:sz w:val="22"/>
                <w:szCs w:val="22"/>
                <w:color w:val="auto"/>
              </w:rPr>
              <w:t>0</w:t>
            </w:r>
          </w:p>
        </w:tc>
      </w:tr>
      <w:tr>
        <w:trPr>
          <w:trHeight w:val="74"/>
        </w:trPr>
        <w:tc>
          <w:tcPr>
            <w:tcW w:w="80" w:type="dxa"/>
            <w:vAlign w:val="bottom"/>
            <w:tcBorders>
              <w:bottom w:val="single" w:sz="8" w:color="auto"/>
            </w:tcBorders>
          </w:tcPr>
          <w:p>
            <w:pPr>
              <w:spacing w:after="0"/>
              <w:rPr>
                <w:sz w:val="6"/>
                <w:szCs w:val="6"/>
                <w:color w:val="auto"/>
              </w:rPr>
            </w:pPr>
          </w:p>
        </w:tc>
        <w:tc>
          <w:tcPr>
            <w:tcW w:w="380" w:type="dxa"/>
            <w:vAlign w:val="bottom"/>
            <w:tcBorders>
              <w:top w:val="single" w:sz="8" w:color="0000FF"/>
              <w:bottom w:val="single" w:sz="8" w:color="auto"/>
            </w:tcBorders>
          </w:tcPr>
          <w:p>
            <w:pPr>
              <w:spacing w:after="0"/>
              <w:rPr>
                <w:sz w:val="6"/>
                <w:szCs w:val="6"/>
                <w:color w:val="auto"/>
              </w:rPr>
            </w:pPr>
          </w:p>
        </w:tc>
        <w:tc>
          <w:tcPr>
            <w:tcW w:w="400" w:type="dxa"/>
            <w:vAlign w:val="bottom"/>
            <w:tcBorders>
              <w:top w:val="single" w:sz="8" w:color="0000FF"/>
              <w:bottom w:val="single" w:sz="8" w:color="auto"/>
            </w:tcBorders>
          </w:tcPr>
          <w:p>
            <w:pPr>
              <w:spacing w:after="0"/>
              <w:rPr>
                <w:sz w:val="6"/>
                <w:szCs w:val="6"/>
                <w:color w:val="auto"/>
              </w:rPr>
            </w:pPr>
          </w:p>
        </w:tc>
        <w:tc>
          <w:tcPr>
            <w:tcW w:w="240" w:type="dxa"/>
            <w:vAlign w:val="bottom"/>
            <w:tcBorders>
              <w:top w:val="single" w:sz="8" w:color="0000FF"/>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64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r>
      <w:tr>
        <w:trPr>
          <w:trHeight w:val="301"/>
        </w:trPr>
        <w:tc>
          <w:tcPr>
            <w:tcW w:w="8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22"/>
                <w:szCs w:val="22"/>
                <w:color w:val="FF0000"/>
                <w:strike w:val="1"/>
              </w:rPr>
              <w:t>Table Delete</w:t>
            </w:r>
          </w:p>
        </w:tc>
        <w:tc>
          <w:tcPr>
            <w:tcW w:w="5640" w:type="dxa"/>
            <w:vAlign w:val="bottom"/>
            <w:tcBorders>
              <w:right w:val="single" w:sz="8" w:color="auto"/>
            </w:tcBorders>
          </w:tcPr>
          <w:p>
            <w:pPr>
              <w:spacing w:after="0"/>
              <w:rPr>
                <w:sz w:val="24"/>
                <w:szCs w:val="24"/>
                <w:color w:val="auto"/>
              </w:rPr>
            </w:pPr>
          </w:p>
        </w:tc>
        <w:tc>
          <w:tcPr>
            <w:tcW w:w="2060" w:type="dxa"/>
            <w:vAlign w:val="bottom"/>
          </w:tcPr>
          <w:p>
            <w:pPr>
              <w:ind w:left="60"/>
              <w:spacing w:after="0"/>
              <w:rPr>
                <w:sz w:val="20"/>
                <w:szCs w:val="20"/>
                <w:color w:val="auto"/>
              </w:rPr>
            </w:pPr>
            <w:r>
              <w:rPr>
                <w:rFonts w:ascii="Arial" w:cs="Arial" w:eastAsia="Arial" w:hAnsi="Arial"/>
                <w:sz w:val="22"/>
                <w:szCs w:val="22"/>
                <w:color w:val="auto"/>
              </w:rPr>
              <w:t>0</w:t>
            </w:r>
          </w:p>
        </w:tc>
      </w:tr>
      <w:tr>
        <w:trPr>
          <w:trHeight w:val="30"/>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960" w:type="dxa"/>
            <w:vAlign w:val="bottom"/>
            <w:tcBorders>
              <w:right w:val="single" w:sz="8" w:color="auto"/>
            </w:tcBorders>
            <w:gridSpan w:val="5"/>
          </w:tcPr>
          <w:p>
            <w:pPr>
              <w:spacing w:after="0" w:line="250" w:lineRule="exact"/>
              <w:rPr>
                <w:sz w:val="20"/>
                <w:szCs w:val="20"/>
                <w:color w:val="auto"/>
              </w:rPr>
            </w:pPr>
            <w:r>
              <w:rPr>
                <w:rFonts w:ascii="Arial" w:cs="Arial" w:eastAsia="Arial" w:hAnsi="Arial"/>
                <w:sz w:val="22"/>
                <w:szCs w:val="22"/>
                <w:color w:val="008000"/>
              </w:rPr>
              <w:t>Table moves to</w:t>
            </w:r>
          </w:p>
        </w:tc>
        <w:tc>
          <w:tcPr>
            <w:tcW w:w="2060" w:type="dxa"/>
            <w:vAlign w:val="bottom"/>
          </w:tcPr>
          <w:p>
            <w:pPr>
              <w:ind w:left="60"/>
              <w:spacing w:after="0" w:line="250" w:lineRule="exact"/>
              <w:rPr>
                <w:sz w:val="20"/>
                <w:szCs w:val="20"/>
                <w:color w:val="auto"/>
              </w:rPr>
            </w:pPr>
            <w:r>
              <w:rPr>
                <w:rFonts w:ascii="Arial" w:cs="Arial" w:eastAsia="Arial" w:hAnsi="Arial"/>
                <w:sz w:val="22"/>
                <w:szCs w:val="22"/>
                <w:color w:val="auto"/>
              </w:rPr>
              <w:t>0</w:t>
            </w:r>
          </w:p>
        </w:tc>
      </w:tr>
      <w:tr>
        <w:trPr>
          <w:trHeight w:val="61"/>
        </w:trPr>
        <w:tc>
          <w:tcPr>
            <w:tcW w:w="80" w:type="dxa"/>
            <w:vAlign w:val="bottom"/>
            <w:tcBorders>
              <w:bottom w:val="single" w:sz="8" w:color="auto"/>
            </w:tcBorders>
          </w:tcPr>
          <w:p>
            <w:pPr>
              <w:spacing w:after="0"/>
              <w:rPr>
                <w:sz w:val="5"/>
                <w:szCs w:val="5"/>
                <w:color w:val="auto"/>
              </w:rPr>
            </w:pPr>
          </w:p>
        </w:tc>
        <w:tc>
          <w:tcPr>
            <w:tcW w:w="380" w:type="dxa"/>
            <w:vAlign w:val="bottom"/>
            <w:tcBorders>
              <w:top w:val="single" w:sz="8" w:color="008000"/>
              <w:bottom w:val="single" w:sz="8" w:color="auto"/>
            </w:tcBorders>
          </w:tcPr>
          <w:p>
            <w:pPr>
              <w:spacing w:after="0"/>
              <w:rPr>
                <w:sz w:val="5"/>
                <w:szCs w:val="5"/>
                <w:color w:val="auto"/>
              </w:rPr>
            </w:pPr>
          </w:p>
        </w:tc>
        <w:tc>
          <w:tcPr>
            <w:tcW w:w="400" w:type="dxa"/>
            <w:vAlign w:val="bottom"/>
            <w:tcBorders>
              <w:top w:val="single" w:sz="8" w:color="008000"/>
              <w:bottom w:val="single" w:sz="8" w:color="auto"/>
            </w:tcBorders>
          </w:tcPr>
          <w:p>
            <w:pPr>
              <w:spacing w:after="0"/>
              <w:rPr>
                <w:sz w:val="5"/>
                <w:szCs w:val="5"/>
                <w:color w:val="auto"/>
              </w:rPr>
            </w:pPr>
          </w:p>
        </w:tc>
        <w:tc>
          <w:tcPr>
            <w:tcW w:w="240" w:type="dxa"/>
            <w:vAlign w:val="bottom"/>
            <w:tcBorders>
              <w:top w:val="single" w:sz="8" w:color="008000"/>
              <w:bottom w:val="single" w:sz="8" w:color="auto"/>
            </w:tcBorders>
          </w:tcPr>
          <w:p>
            <w:pPr>
              <w:spacing w:after="0"/>
              <w:rPr>
                <w:sz w:val="5"/>
                <w:szCs w:val="5"/>
                <w:color w:val="auto"/>
              </w:rPr>
            </w:pPr>
          </w:p>
        </w:tc>
        <w:tc>
          <w:tcPr>
            <w:tcW w:w="300" w:type="dxa"/>
            <w:vAlign w:val="bottom"/>
            <w:tcBorders>
              <w:top w:val="single" w:sz="8" w:color="008000"/>
              <w:bottom w:val="single" w:sz="8" w:color="auto"/>
            </w:tcBorders>
          </w:tcPr>
          <w:p>
            <w:pPr>
              <w:spacing w:after="0"/>
              <w:rPr>
                <w:sz w:val="5"/>
                <w:szCs w:val="5"/>
                <w:color w:val="auto"/>
              </w:rPr>
            </w:pPr>
          </w:p>
        </w:tc>
        <w:tc>
          <w:tcPr>
            <w:tcW w:w="564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r>
      <w:tr>
        <w:trPr>
          <w:trHeight w:val="300"/>
        </w:trPr>
        <w:tc>
          <w:tcPr>
            <w:tcW w:w="80" w:type="dxa"/>
            <w:vAlign w:val="bottom"/>
          </w:tcPr>
          <w:p>
            <w:pPr>
              <w:spacing w:after="0"/>
              <w:rPr>
                <w:sz w:val="24"/>
                <w:szCs w:val="24"/>
                <w:color w:val="auto"/>
              </w:rPr>
            </w:pPr>
          </w:p>
        </w:tc>
        <w:tc>
          <w:tcPr>
            <w:tcW w:w="6960" w:type="dxa"/>
            <w:vAlign w:val="bottom"/>
            <w:tcBorders>
              <w:right w:val="single" w:sz="8" w:color="auto"/>
            </w:tcBorders>
            <w:gridSpan w:val="5"/>
          </w:tcPr>
          <w:p>
            <w:pPr>
              <w:spacing w:after="0"/>
              <w:rPr>
                <w:sz w:val="20"/>
                <w:szCs w:val="20"/>
                <w:color w:val="auto"/>
              </w:rPr>
            </w:pPr>
            <w:r>
              <w:rPr>
                <w:rFonts w:ascii="Arial" w:cs="Arial" w:eastAsia="Arial" w:hAnsi="Arial"/>
                <w:sz w:val="22"/>
                <w:szCs w:val="22"/>
                <w:color w:val="008000"/>
                <w:strike w:val="1"/>
              </w:rPr>
              <w:t>Table moves from</w:t>
            </w:r>
          </w:p>
        </w:tc>
        <w:tc>
          <w:tcPr>
            <w:tcW w:w="2060" w:type="dxa"/>
            <w:vAlign w:val="bottom"/>
          </w:tcPr>
          <w:p>
            <w:pPr>
              <w:ind w:left="60"/>
              <w:spacing w:after="0"/>
              <w:rPr>
                <w:sz w:val="20"/>
                <w:szCs w:val="20"/>
                <w:color w:val="auto"/>
              </w:rPr>
            </w:pPr>
            <w:r>
              <w:rPr>
                <w:rFonts w:ascii="Arial" w:cs="Arial" w:eastAsia="Arial" w:hAnsi="Arial"/>
                <w:sz w:val="22"/>
                <w:szCs w:val="22"/>
                <w:color w:val="auto"/>
              </w:rPr>
              <w:t>0</w:t>
            </w:r>
          </w:p>
        </w:tc>
      </w:tr>
      <w:tr>
        <w:trPr>
          <w:trHeight w:val="30"/>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01"/>
        </w:trPr>
        <w:tc>
          <w:tcPr>
            <w:tcW w:w="80" w:type="dxa"/>
            <w:vAlign w:val="bottom"/>
          </w:tcPr>
          <w:p>
            <w:pPr>
              <w:spacing w:after="0"/>
              <w:rPr>
                <w:sz w:val="24"/>
                <w:szCs w:val="24"/>
                <w:color w:val="auto"/>
              </w:rPr>
            </w:pPr>
          </w:p>
        </w:tc>
        <w:tc>
          <w:tcPr>
            <w:tcW w:w="6960" w:type="dxa"/>
            <w:vAlign w:val="bottom"/>
            <w:tcBorders>
              <w:right w:val="single" w:sz="8" w:color="auto"/>
            </w:tcBorders>
            <w:gridSpan w:val="5"/>
          </w:tcPr>
          <w:p>
            <w:pPr>
              <w:spacing w:after="0"/>
              <w:rPr>
                <w:sz w:val="20"/>
                <w:szCs w:val="20"/>
                <w:color w:val="auto"/>
              </w:rPr>
            </w:pPr>
            <w:r>
              <w:rPr>
                <w:rFonts w:ascii="Arial" w:cs="Arial" w:eastAsia="Arial" w:hAnsi="Arial"/>
                <w:sz w:val="22"/>
                <w:szCs w:val="22"/>
                <w:color w:val="auto"/>
              </w:rPr>
              <w:t>Embedded Graphics (Visio, ChemDraw, Images etc.)</w:t>
            </w:r>
          </w:p>
        </w:tc>
        <w:tc>
          <w:tcPr>
            <w:tcW w:w="2060" w:type="dxa"/>
            <w:vAlign w:val="bottom"/>
          </w:tcPr>
          <w:p>
            <w:pPr>
              <w:ind w:left="60"/>
              <w:spacing w:after="0"/>
              <w:rPr>
                <w:sz w:val="20"/>
                <w:szCs w:val="20"/>
                <w:color w:val="auto"/>
              </w:rPr>
            </w:pPr>
            <w:r>
              <w:rPr>
                <w:rFonts w:ascii="Arial" w:cs="Arial" w:eastAsia="Arial" w:hAnsi="Arial"/>
                <w:sz w:val="22"/>
                <w:szCs w:val="22"/>
                <w:color w:val="auto"/>
              </w:rPr>
              <w:t>0</w:t>
            </w:r>
          </w:p>
        </w:tc>
      </w:tr>
      <w:tr>
        <w:trPr>
          <w:trHeight w:val="44"/>
        </w:trPr>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300"/>
        </w:trPr>
        <w:tc>
          <w:tcPr>
            <w:tcW w:w="80" w:type="dxa"/>
            <w:vAlign w:val="bottom"/>
          </w:tcPr>
          <w:p>
            <w:pPr>
              <w:spacing w:after="0"/>
              <w:rPr>
                <w:sz w:val="24"/>
                <w:szCs w:val="24"/>
                <w:color w:val="auto"/>
              </w:rPr>
            </w:pPr>
          </w:p>
        </w:tc>
        <w:tc>
          <w:tcPr>
            <w:tcW w:w="6960" w:type="dxa"/>
            <w:vAlign w:val="bottom"/>
            <w:tcBorders>
              <w:right w:val="single" w:sz="8" w:color="auto"/>
            </w:tcBorders>
            <w:gridSpan w:val="5"/>
          </w:tcPr>
          <w:p>
            <w:pPr>
              <w:spacing w:after="0"/>
              <w:rPr>
                <w:sz w:val="20"/>
                <w:szCs w:val="20"/>
                <w:color w:val="auto"/>
              </w:rPr>
            </w:pPr>
            <w:r>
              <w:rPr>
                <w:rFonts w:ascii="Arial" w:cs="Arial" w:eastAsia="Arial" w:hAnsi="Arial"/>
                <w:sz w:val="22"/>
                <w:szCs w:val="22"/>
                <w:color w:val="auto"/>
              </w:rPr>
              <w:t>Embedded Excel</w:t>
            </w:r>
          </w:p>
        </w:tc>
        <w:tc>
          <w:tcPr>
            <w:tcW w:w="2060" w:type="dxa"/>
            <w:vAlign w:val="bottom"/>
          </w:tcPr>
          <w:p>
            <w:pPr>
              <w:ind w:left="60"/>
              <w:spacing w:after="0"/>
              <w:rPr>
                <w:sz w:val="20"/>
                <w:szCs w:val="20"/>
                <w:color w:val="auto"/>
              </w:rPr>
            </w:pPr>
            <w:r>
              <w:rPr>
                <w:rFonts w:ascii="Arial" w:cs="Arial" w:eastAsia="Arial" w:hAnsi="Arial"/>
                <w:sz w:val="22"/>
                <w:szCs w:val="22"/>
                <w:color w:val="auto"/>
              </w:rPr>
              <w:t>0</w:t>
            </w:r>
          </w:p>
        </w:tc>
      </w:tr>
      <w:tr>
        <w:trPr>
          <w:trHeight w:val="30"/>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01"/>
        </w:trPr>
        <w:tc>
          <w:tcPr>
            <w:tcW w:w="80" w:type="dxa"/>
            <w:vAlign w:val="bottom"/>
          </w:tcPr>
          <w:p>
            <w:pPr>
              <w:spacing w:after="0"/>
              <w:rPr>
                <w:sz w:val="24"/>
                <w:szCs w:val="24"/>
                <w:color w:val="auto"/>
              </w:rPr>
            </w:pPr>
          </w:p>
        </w:tc>
        <w:tc>
          <w:tcPr>
            <w:tcW w:w="6960" w:type="dxa"/>
            <w:vAlign w:val="bottom"/>
            <w:tcBorders>
              <w:right w:val="single" w:sz="8" w:color="auto"/>
            </w:tcBorders>
            <w:gridSpan w:val="5"/>
          </w:tcPr>
          <w:p>
            <w:pPr>
              <w:spacing w:after="0"/>
              <w:rPr>
                <w:sz w:val="20"/>
                <w:szCs w:val="20"/>
                <w:color w:val="auto"/>
              </w:rPr>
            </w:pPr>
            <w:r>
              <w:rPr>
                <w:rFonts w:ascii="Arial" w:cs="Arial" w:eastAsia="Arial" w:hAnsi="Arial"/>
                <w:sz w:val="22"/>
                <w:szCs w:val="22"/>
                <w:color w:val="auto"/>
              </w:rPr>
              <w:t>Format changes</w:t>
            </w:r>
          </w:p>
        </w:tc>
        <w:tc>
          <w:tcPr>
            <w:tcW w:w="2060" w:type="dxa"/>
            <w:vAlign w:val="bottom"/>
          </w:tcPr>
          <w:p>
            <w:pPr>
              <w:ind w:left="60"/>
              <w:spacing w:after="0"/>
              <w:rPr>
                <w:sz w:val="20"/>
                <w:szCs w:val="20"/>
                <w:color w:val="auto"/>
              </w:rPr>
            </w:pPr>
            <w:r>
              <w:rPr>
                <w:rFonts w:ascii="Arial" w:cs="Arial" w:eastAsia="Arial" w:hAnsi="Arial"/>
                <w:sz w:val="22"/>
                <w:szCs w:val="22"/>
                <w:color w:val="auto"/>
              </w:rPr>
              <w:t>0</w:t>
            </w:r>
          </w:p>
        </w:tc>
      </w:tr>
      <w:tr>
        <w:trPr>
          <w:trHeight w:val="30"/>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01"/>
        </w:trPr>
        <w:tc>
          <w:tcPr>
            <w:tcW w:w="80" w:type="dxa"/>
            <w:vAlign w:val="bottom"/>
          </w:tcPr>
          <w:p>
            <w:pPr>
              <w:spacing w:after="0"/>
              <w:rPr>
                <w:sz w:val="24"/>
                <w:szCs w:val="24"/>
                <w:color w:val="auto"/>
              </w:rPr>
            </w:pPr>
          </w:p>
        </w:tc>
        <w:tc>
          <w:tcPr>
            <w:tcW w:w="6960" w:type="dxa"/>
            <w:vAlign w:val="bottom"/>
            <w:tcBorders>
              <w:right w:val="single" w:sz="8" w:color="auto"/>
            </w:tcBorders>
            <w:gridSpan w:val="5"/>
          </w:tcPr>
          <w:p>
            <w:pPr>
              <w:spacing w:after="0"/>
              <w:rPr>
                <w:sz w:val="20"/>
                <w:szCs w:val="20"/>
                <w:color w:val="auto"/>
              </w:rPr>
            </w:pPr>
            <w:r>
              <w:rPr>
                <w:rFonts w:ascii="Arial" w:cs="Arial" w:eastAsia="Arial" w:hAnsi="Arial"/>
                <w:sz w:val="22"/>
                <w:szCs w:val="22"/>
                <w:b w:val="1"/>
                <w:bCs w:val="1"/>
                <w:color w:val="auto"/>
              </w:rPr>
              <w:t>Total Changes:</w:t>
            </w:r>
          </w:p>
        </w:tc>
        <w:tc>
          <w:tcPr>
            <w:tcW w:w="2060" w:type="dxa"/>
            <w:vAlign w:val="bottom"/>
          </w:tcPr>
          <w:p>
            <w:pPr>
              <w:ind w:left="60"/>
              <w:spacing w:after="0"/>
              <w:rPr>
                <w:sz w:val="20"/>
                <w:szCs w:val="20"/>
                <w:color w:val="auto"/>
              </w:rPr>
            </w:pPr>
            <w:r>
              <w:rPr>
                <w:rFonts w:ascii="Arial" w:cs="Arial" w:eastAsia="Arial" w:hAnsi="Arial"/>
                <w:sz w:val="22"/>
                <w:szCs w:val="22"/>
                <w:color w:val="auto"/>
              </w:rPr>
              <w:t>1336</w:t>
            </w:r>
          </w:p>
        </w:tc>
      </w:tr>
      <w:tr>
        <w:trPr>
          <w:trHeight w:val="30"/>
        </w:trPr>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ectPr>
          <w:pgSz w:w="11900" w:h="16838" w:orient="portrait"/>
          <w:cols w:equalWidth="0" w:num="1">
            <w:col w:w="9519"/>
          </w:cols>
          <w:pgMar w:left="940" w:top="1440" w:right="1440" w:bottom="1440" w:gutter="0" w:footer="0" w:header="0"/>
        </w:sectPr>
      </w:pPr>
    </w:p>
    <w:bookmarkStart w:id="210" w:name="page211"/>
    <w:bookmarkEnd w:id="210"/>
    <w:p>
      <w:pPr>
        <w:ind w:left="10320"/>
        <w:spacing w:after="0"/>
        <w:rPr>
          <w:sz w:val="20"/>
          <w:szCs w:val="20"/>
          <w:color w:val="auto"/>
        </w:rPr>
      </w:pPr>
      <w:r>
        <w:rPr>
          <w:rFonts w:ascii="Arial" w:cs="Arial" w:eastAsia="Arial" w:hAnsi="Arial"/>
          <w:sz w:val="16"/>
          <w:szCs w:val="16"/>
          <w:b w:val="1"/>
          <w:bCs w:val="1"/>
          <w:color w:val="auto"/>
        </w:rPr>
        <w:t>Exhibit 31.1</w:t>
      </w:r>
    </w:p>
    <w:p>
      <w:pPr>
        <w:spacing w:after="0" w:line="30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OF INTERIM CHIEF EXECUTIVE OFFICER</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PURSUANT TO RULES 13a-14(A) AND 15d-14(A)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Joseph H. Capper, certify that:</w:t>
      </w:r>
    </w:p>
    <w:p>
      <w:pPr>
        <w:spacing w:after="0" w:line="293" w:lineRule="exact"/>
        <w:rPr>
          <w:sz w:val="20"/>
          <w:szCs w:val="20"/>
          <w:color w:val="auto"/>
        </w:rPr>
      </w:pPr>
    </w:p>
    <w:p>
      <w:pPr>
        <w:ind w:left="680" w:hanging="186"/>
        <w:spacing w:after="0"/>
        <w:tabs>
          <w:tab w:leader="none" w:pos="6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MiMedx Group, Inc.;</w:t>
      </w:r>
    </w:p>
    <w:p>
      <w:pPr>
        <w:spacing w:after="0" w:line="144" w:lineRule="exact"/>
        <w:rPr>
          <w:rFonts w:ascii="Arial" w:cs="Arial" w:eastAsia="Arial" w:hAnsi="Arial"/>
          <w:sz w:val="18"/>
          <w:szCs w:val="18"/>
          <w:color w:val="auto"/>
        </w:rPr>
      </w:pPr>
    </w:p>
    <w:p>
      <w:pPr>
        <w:ind w:firstLine="454"/>
        <w:spacing w:after="0" w:line="377" w:lineRule="auto"/>
        <w:tabs>
          <w:tab w:leader="none" w:pos="63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firstLine="454"/>
        <w:spacing w:after="0" w:line="324" w:lineRule="auto"/>
        <w:tabs>
          <w:tab w:leader="none" w:pos="63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40" w:hanging="186"/>
        <w:spacing w:after="0"/>
        <w:tabs>
          <w:tab w:leader="none" w:pos="6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2" w:lineRule="exact"/>
        <w:rPr>
          <w:rFonts w:ascii="Arial" w:cs="Arial" w:eastAsia="Arial" w:hAnsi="Arial"/>
          <w:sz w:val="16"/>
          <w:szCs w:val="16"/>
          <w:color w:val="auto"/>
        </w:rPr>
      </w:pPr>
    </w:p>
    <w:p>
      <w:pPr>
        <w:spacing w:after="0" w:line="308"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720" w:hanging="266"/>
        <w:spacing w:after="0"/>
        <w:tabs>
          <w:tab w:leader="none" w:pos="7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2" w:lineRule="exact"/>
        <w:rPr>
          <w:rFonts w:ascii="Arial" w:cs="Arial" w:eastAsia="Arial" w:hAnsi="Arial"/>
          <w:sz w:val="16"/>
          <w:szCs w:val="16"/>
          <w:color w:val="auto"/>
        </w:rPr>
      </w:pPr>
    </w:p>
    <w:p>
      <w:pPr>
        <w:spacing w:after="0" w:line="308"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6"/>
          <w:szCs w:val="16"/>
          <w:color w:val="auto"/>
        </w:rPr>
      </w:pPr>
    </w:p>
    <w:p>
      <w:pPr>
        <w:jc w:val="both"/>
        <w:ind w:firstLine="454"/>
        <w:spacing w:after="0" w:line="310" w:lineRule="auto"/>
        <w:tabs>
          <w:tab w:leader="none" w:pos="73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firstLine="454"/>
        <w:spacing w:after="0" w:line="341" w:lineRule="auto"/>
        <w:tabs>
          <w:tab w:leader="none" w:pos="73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Arial" w:cs="Arial" w:eastAsia="Arial" w:hAnsi="Arial"/>
          <w:sz w:val="17"/>
          <w:szCs w:val="17"/>
          <w:color w:val="auto"/>
        </w:rPr>
      </w:pPr>
    </w:p>
    <w:p>
      <w:pPr>
        <w:jc w:val="both"/>
        <w:ind w:firstLine="454"/>
        <w:spacing w:after="0" w:line="310" w:lineRule="auto"/>
        <w:tabs>
          <w:tab w:leader="none" w:pos="71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firstLine="454"/>
        <w:spacing w:after="0" w:line="341" w:lineRule="auto"/>
        <w:tabs>
          <w:tab w:leader="none" w:pos="62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firstLine="454"/>
        <w:spacing w:after="0" w:line="324" w:lineRule="auto"/>
        <w:tabs>
          <w:tab w:leader="none" w:pos="69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454"/>
        <w:spacing w:after="0" w:line="324" w:lineRule="auto"/>
        <w:tabs>
          <w:tab w:leader="none" w:pos="69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20"/>
        <w:spacing w:after="0"/>
        <w:tabs>
          <w:tab w:leader="none" w:pos="82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2023</w:t>
      </w:r>
      <w:r>
        <w:rPr>
          <w:sz w:val="20"/>
          <w:szCs w:val="20"/>
          <w:color w:val="auto"/>
        </w:rPr>
        <w:tab/>
      </w:r>
      <w:r>
        <w:rPr>
          <w:rFonts w:ascii="Arial" w:cs="Arial" w:eastAsia="Arial" w:hAnsi="Arial"/>
          <w:sz w:val="15"/>
          <w:szCs w:val="15"/>
          <w:color w:val="auto"/>
        </w:rPr>
        <w:t>/s/</w:t>
      </w:r>
      <w:r>
        <w:rPr>
          <w:rFonts w:ascii="Arial" w:cs="Arial" w:eastAsia="Arial" w:hAnsi="Arial"/>
          <w:sz w:val="18"/>
          <w:szCs w:val="18"/>
          <w:color w:val="auto"/>
        </w:rPr>
        <w:t>Joseph H. Capper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45085</wp:posOffset>
            </wp:positionV>
            <wp:extent cx="27000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6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H. Capper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04" w:right="339" w:bottom="1440" w:gutter="0" w:footer="0" w:header="0"/>
        </w:sectPr>
      </w:pPr>
    </w:p>
    <w:bookmarkStart w:id="211" w:name="page212"/>
    <w:bookmarkEnd w:id="211"/>
    <w:p>
      <w:pPr>
        <w:ind w:left="10320"/>
        <w:spacing w:after="0"/>
        <w:rPr>
          <w:sz w:val="20"/>
          <w:szCs w:val="20"/>
          <w:color w:val="auto"/>
        </w:rPr>
      </w:pPr>
      <w:r>
        <w:rPr>
          <w:rFonts w:ascii="Arial" w:cs="Arial" w:eastAsia="Arial" w:hAnsi="Arial"/>
          <w:sz w:val="16"/>
          <w:szCs w:val="16"/>
          <w:b w:val="1"/>
          <w:bCs w:val="1"/>
          <w:color w:val="auto"/>
        </w:rPr>
        <w:t>Exhibit 31.2</w:t>
      </w:r>
    </w:p>
    <w:p>
      <w:pPr>
        <w:spacing w:after="0" w:line="30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PURSUANT TO RULES 13a-14(A) AND 15d-14(A)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Doug Rice, certify that:</w:t>
      </w:r>
    </w:p>
    <w:p>
      <w:pPr>
        <w:spacing w:after="0" w:line="293" w:lineRule="exact"/>
        <w:rPr>
          <w:sz w:val="20"/>
          <w:szCs w:val="20"/>
          <w:color w:val="auto"/>
        </w:rPr>
      </w:pPr>
    </w:p>
    <w:p>
      <w:pPr>
        <w:ind w:left="600" w:hanging="187"/>
        <w:spacing w:after="0"/>
        <w:tabs>
          <w:tab w:leader="none" w:pos="6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MiMedx Group, Inc.;</w:t>
      </w:r>
    </w:p>
    <w:p>
      <w:pPr>
        <w:spacing w:after="0" w:line="130" w:lineRule="exact"/>
        <w:rPr>
          <w:rFonts w:ascii="Arial" w:cs="Arial" w:eastAsia="Arial" w:hAnsi="Arial"/>
          <w:sz w:val="18"/>
          <w:szCs w:val="18"/>
          <w:color w:val="auto"/>
        </w:rPr>
      </w:pPr>
    </w:p>
    <w:p>
      <w:pPr>
        <w:ind w:firstLine="454"/>
        <w:spacing w:after="0" w:line="387" w:lineRule="auto"/>
        <w:tabs>
          <w:tab w:leader="none" w:pos="63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454"/>
        <w:spacing w:after="0" w:line="308" w:lineRule="auto"/>
        <w:tabs>
          <w:tab w:leader="none" w:pos="63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454"/>
        <w:spacing w:after="0" w:line="310" w:lineRule="auto"/>
        <w:tabs>
          <w:tab w:leader="none" w:pos="63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sz w:val="20"/>
          <w:szCs w:val="20"/>
          <w:color w:val="auto"/>
        </w:rPr>
      </w:pPr>
    </w:p>
    <w:p>
      <w:pPr>
        <w:jc w:val="both"/>
        <w:ind w:firstLine="454"/>
        <w:spacing w:after="0" w:line="303" w:lineRule="auto"/>
        <w:tabs>
          <w:tab w:leader="none" w:pos="70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454"/>
        <w:spacing w:after="0" w:line="303" w:lineRule="auto"/>
        <w:tabs>
          <w:tab w:leader="none" w:pos="73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firstLine="454"/>
        <w:spacing w:after="0" w:line="357" w:lineRule="auto"/>
        <w:tabs>
          <w:tab w:leader="none" w:pos="73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jc w:val="both"/>
        <w:ind w:firstLine="454"/>
        <w:spacing w:after="0" w:line="303" w:lineRule="auto"/>
        <w:tabs>
          <w:tab w:leader="none" w:pos="71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ind w:firstLine="454"/>
        <w:spacing w:after="0" w:line="357" w:lineRule="auto"/>
        <w:tabs>
          <w:tab w:leader="none" w:pos="62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sz w:val="20"/>
          <w:szCs w:val="20"/>
          <w:color w:val="auto"/>
        </w:rPr>
      </w:pPr>
    </w:p>
    <w:p>
      <w:pPr>
        <w:ind w:firstLine="454"/>
        <w:spacing w:after="0" w:line="308" w:lineRule="auto"/>
        <w:tabs>
          <w:tab w:leader="none" w:pos="69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454"/>
        <w:spacing w:after="0" w:line="308" w:lineRule="auto"/>
        <w:tabs>
          <w:tab w:leader="none" w:pos="69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200"/>
              <w:spacing w:after="0"/>
              <w:rPr>
                <w:sz w:val="20"/>
                <w:szCs w:val="20"/>
                <w:color w:val="auto"/>
              </w:rPr>
            </w:pPr>
            <w:r>
              <w:rPr>
                <w:rFonts w:ascii="Arial" w:cs="Arial" w:eastAsia="Arial" w:hAnsi="Arial"/>
                <w:sz w:val="18"/>
                <w:szCs w:val="18"/>
                <w:color w:val="auto"/>
              </w:rPr>
              <w:t>August 1, 2023</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 Rice</w:t>
            </w:r>
          </w:p>
        </w:tc>
      </w:tr>
      <w:tr>
        <w:trPr>
          <w:trHeight w:val="222"/>
        </w:trPr>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Doug Rice</w:t>
            </w:r>
          </w:p>
        </w:tc>
      </w:tr>
      <w:tr>
        <w:trPr>
          <w:trHeight w:val="230"/>
        </w:trPr>
        <w:tc>
          <w:tcPr>
            <w:tcW w:w="6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904" w:right="339" w:bottom="1440" w:gutter="0" w:footer="0" w:header="0"/>
        </w:sectPr>
      </w:pPr>
    </w:p>
    <w:bookmarkStart w:id="212" w:name="page213"/>
    <w:bookmarkEnd w:id="212"/>
    <w:p>
      <w:pPr>
        <w:ind w:left="10320"/>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97" w:lineRule="exact"/>
        <w:rPr>
          <w:sz w:val="20"/>
          <w:szCs w:val="20"/>
          <w:color w:val="auto"/>
        </w:rPr>
      </w:pPr>
    </w:p>
    <w:p>
      <w:pPr>
        <w:jc w:val="both"/>
        <w:ind w:firstLine="209"/>
        <w:spacing w:after="0" w:line="301" w:lineRule="auto"/>
        <w:rPr>
          <w:sz w:val="20"/>
          <w:szCs w:val="20"/>
          <w:color w:val="auto"/>
        </w:rPr>
      </w:pPr>
      <w:r>
        <w:rPr>
          <w:rFonts w:ascii="Arial" w:cs="Arial" w:eastAsia="Arial" w:hAnsi="Arial"/>
          <w:sz w:val="18"/>
          <w:szCs w:val="18"/>
          <w:color w:val="auto"/>
        </w:rPr>
        <w:t>The undersigned Joseph H. Capper, the Chief Executive Officer of MiMedx Group, Inc. (the “Company”), has executed this certification in connection with the filing with the Securities and Exchange Commission of the Company’s Quarterly Report on Form 10-Q for the quarter ended June 30, 2023 (the “Report”). Pursuant to 18 U.S.C. Section 1350, as adopted pursuant to Section 906 of the Sarbanes-Oxley Act of 2002, the undersigned hereby certifies, to his knowledge, that:</w:t>
      </w:r>
    </w:p>
    <w:p>
      <w:pPr>
        <w:spacing w:after="0" w:line="258" w:lineRule="exact"/>
        <w:rPr>
          <w:sz w:val="20"/>
          <w:szCs w:val="20"/>
          <w:color w:val="auto"/>
        </w:rPr>
      </w:pPr>
    </w:p>
    <w:p>
      <w:pPr>
        <w:ind w:left="660" w:hanging="328"/>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6400" w:type="dxa"/>
            <w:vAlign w:val="bottom"/>
          </w:tcPr>
          <w:p>
            <w:pPr>
              <w:ind w:left="180"/>
              <w:spacing w:after="0"/>
              <w:rPr>
                <w:sz w:val="20"/>
                <w:szCs w:val="20"/>
                <w:color w:val="auto"/>
              </w:rPr>
            </w:pPr>
            <w:r>
              <w:rPr>
                <w:rFonts w:ascii="Arial" w:cs="Arial" w:eastAsia="Arial" w:hAnsi="Arial"/>
                <w:sz w:val="18"/>
                <w:szCs w:val="18"/>
                <w:color w:val="auto"/>
              </w:rPr>
              <w:t>August 1, 2023</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H. Capper</w:t>
            </w:r>
          </w:p>
        </w:tc>
      </w:tr>
      <w:tr>
        <w:trPr>
          <w:trHeight w:val="250"/>
        </w:trPr>
        <w:tc>
          <w:tcPr>
            <w:tcW w:w="56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Joseph H. Capper</w:t>
            </w:r>
          </w:p>
        </w:tc>
      </w:tr>
      <w:tr>
        <w:trPr>
          <w:trHeight w:val="283"/>
        </w:trPr>
        <w:tc>
          <w:tcPr>
            <w:tcW w:w="5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04" w:right="339" w:bottom="1440" w:gutter="0" w:footer="0" w:header="0"/>
        </w:sectPr>
      </w:pPr>
    </w:p>
    <w:bookmarkStart w:id="213" w:name="page214"/>
    <w:bookmarkEnd w:id="213"/>
    <w:p>
      <w:pPr>
        <w:ind w:left="10320"/>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97" w:lineRule="exact"/>
        <w:rPr>
          <w:sz w:val="20"/>
          <w:szCs w:val="20"/>
          <w:color w:val="auto"/>
        </w:rPr>
      </w:pPr>
    </w:p>
    <w:p>
      <w:pPr>
        <w:jc w:val="both"/>
        <w:ind w:firstLine="194"/>
        <w:spacing w:after="0" w:line="301" w:lineRule="auto"/>
        <w:rPr>
          <w:sz w:val="20"/>
          <w:szCs w:val="20"/>
          <w:color w:val="auto"/>
        </w:rPr>
      </w:pPr>
      <w:r>
        <w:rPr>
          <w:rFonts w:ascii="Arial" w:cs="Arial" w:eastAsia="Arial" w:hAnsi="Arial"/>
          <w:sz w:val="18"/>
          <w:szCs w:val="18"/>
          <w:color w:val="auto"/>
        </w:rPr>
        <w:t>The undersigned Doug Rice, the Chief Financial Officer of MiMedx Group, Inc. (the “Company”), has executed this certification in connection with the filing with the Securities and Exchange Commission of the Company’s Quarterly Report on Form 10-Q for the quarter ended June 30, 2023 (the “Report”). Pursuant to 18 U.S.C. Section 1350, as adopted pursuant to Section 906 of the Sarbanes-Oxley Act of 2002, the undersigned hereby certifies, to his knowledge, that:</w:t>
      </w:r>
    </w:p>
    <w:p>
      <w:pPr>
        <w:spacing w:after="0" w:line="258" w:lineRule="exact"/>
        <w:rPr>
          <w:sz w:val="20"/>
          <w:szCs w:val="20"/>
          <w:color w:val="auto"/>
        </w:rPr>
      </w:pPr>
    </w:p>
    <w:p>
      <w:pPr>
        <w:ind w:left="660" w:hanging="328"/>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240"/>
              <w:spacing w:after="0"/>
              <w:rPr>
                <w:sz w:val="20"/>
                <w:szCs w:val="20"/>
                <w:color w:val="auto"/>
              </w:rPr>
            </w:pPr>
            <w:r>
              <w:rPr>
                <w:rFonts w:ascii="Arial" w:cs="Arial" w:eastAsia="Arial" w:hAnsi="Arial"/>
                <w:sz w:val="18"/>
                <w:szCs w:val="18"/>
                <w:color w:val="auto"/>
              </w:rPr>
              <w:t>August 1, 2023</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 Rice</w:t>
            </w:r>
          </w:p>
        </w:tc>
      </w:tr>
      <w:tr>
        <w:trPr>
          <w:trHeight w:val="224"/>
        </w:trPr>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Doug Rice</w:t>
            </w:r>
          </w:p>
        </w:tc>
      </w:tr>
      <w:tr>
        <w:trPr>
          <w:trHeight w:val="242"/>
        </w:trPr>
        <w:tc>
          <w:tcPr>
            <w:tcW w:w="6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FF9D09"/>
    <w:multiLevelType w:val="hybridMultilevel"/>
    <w:lvl w:ilvl="0">
      <w:lvlJc w:val="left"/>
      <w:lvlText w:val="☒"/>
      <w:numFmt w:val="bullet"/>
      <w:start w:val="1"/>
    </w:lvl>
  </w:abstractNum>
  <w:abstractNum w:abstractNumId="1">
    <w:nsid w:val="754342"/>
    <w:multiLevelType w:val="hybridMultilevel"/>
    <w:lvl w:ilvl="0">
      <w:lvlJc w:val="left"/>
      <w:lvlText w:val="☐"/>
      <w:numFmt w:val="bullet"/>
      <w:start w:val="1"/>
    </w:lvl>
  </w:abstractNum>
  <w:abstractNum w:abstractNumId="2">
    <w:nsid w:val="69E7F3E5"/>
    <w:multiLevelType w:val="hybridMultilevel"/>
    <w:lvl w:ilvl="0">
      <w:lvlJc w:val="left"/>
      <w:lvlText w:val="•"/>
      <w:numFmt w:val="bullet"/>
      <w:start w:val="1"/>
    </w:lvl>
  </w:abstractNum>
  <w:abstractNum w:abstractNumId="3">
    <w:nsid w:val="2A6DE806"/>
    <w:multiLevelType w:val="hybridMultilevel"/>
    <w:lvl w:ilvl="0">
      <w:lvlJc w:val="left"/>
      <w:lvlText w:val="%1."/>
      <w:numFmt w:val="decimal"/>
      <w:start w:val="1"/>
    </w:lvl>
  </w:abstractNum>
  <w:abstractNum w:abstractNumId="4">
    <w:nsid w:val="1816F8C4"/>
    <w:multiLevelType w:val="hybridMultilevel"/>
    <w:lvl w:ilvl="0">
      <w:lvlJc w:val="left"/>
      <w:lvlText w:val="%1."/>
      <w:numFmt w:val="decimal"/>
      <w:start w:val="2"/>
    </w:lvl>
  </w:abstractNum>
  <w:abstractNum w:abstractNumId="5">
    <w:nsid w:val="37DF2233"/>
    <w:multiLevelType w:val="hybridMultilevel"/>
    <w:lvl w:ilvl="0">
      <w:lvlJc w:val="left"/>
      <w:lvlText w:val="%1."/>
      <w:numFmt w:val="decimal"/>
      <w:start w:val="6"/>
    </w:lvl>
  </w:abstractNum>
  <w:abstractNum w:abstractNumId="6">
    <w:nsid w:val="7AB49DAF"/>
    <w:multiLevelType w:val="hybridMultilevel"/>
    <w:lvl w:ilvl="0">
      <w:lvlJc w:val="left"/>
      <w:lvlText w:val="(%1)"/>
      <w:numFmt w:val="lowerLetter"/>
      <w:start w:val="1"/>
    </w:lvl>
  </w:abstractNum>
  <w:abstractNum w:abstractNumId="7">
    <w:nsid w:val="759F82CD"/>
    <w:multiLevelType w:val="hybridMultilevel"/>
    <w:lvl w:ilvl="0">
      <w:lvlJc w:val="left"/>
      <w:lvlText w:val="%1."/>
      <w:numFmt w:val="decimal"/>
      <w:start w:val="14"/>
    </w:lvl>
  </w:abstractNum>
  <w:abstractNum w:abstractNumId="8">
    <w:nsid w:val="61E74EA3"/>
    <w:multiLevelType w:val="hybridMultilevel"/>
    <w:lvl w:ilvl="0">
      <w:lvlJc w:val="left"/>
      <w:lvlText w:val="(%1)"/>
      <w:numFmt w:val="decimal"/>
      <w:start w:val="1"/>
    </w:lvl>
  </w:abstractNum>
  <w:abstractNum w:abstractNumId="9">
    <w:nsid w:val="597B4D84"/>
    <w:multiLevelType w:val="hybridMultilevel"/>
    <w:lvl w:ilvl="0">
      <w:lvlJc w:val="left"/>
      <w:lvlText w:val="%1."/>
      <w:numFmt w:val="decimal"/>
      <w:start w:val="15"/>
    </w:lvl>
  </w:abstractNum>
  <w:abstractNum w:abstractNumId="10">
    <w:nsid w:val="F819E7F"/>
    <w:multiLevelType w:val="hybridMultilevel"/>
    <w:lvl w:ilvl="0">
      <w:lvlJc w:val="left"/>
      <w:lvlText w:val="•"/>
      <w:numFmt w:val="bullet"/>
      <w:start w:val="1"/>
    </w:lvl>
  </w:abstractNum>
  <w:abstractNum w:abstractNumId="11">
    <w:nsid w:val="57C7D42D"/>
    <w:multiLevelType w:val="hybridMultilevel"/>
    <w:lvl w:ilvl="0">
      <w:lvlJc w:val="left"/>
      <w:lvlText w:val="•"/>
      <w:numFmt w:val="bullet"/>
      <w:start w:val="1"/>
    </w:lvl>
  </w:abstractNum>
  <w:abstractNum w:abstractNumId="12">
    <w:nsid w:val="312167AD"/>
    <w:multiLevelType w:val="hybridMultilevel"/>
    <w:lvl w:ilvl="0">
      <w:lvlJc w:val="left"/>
      <w:lvlText w:val="(%1)"/>
      <w:numFmt w:val="lowerRoman"/>
      <w:start w:val="2"/>
    </w:lvl>
  </w:abstractNum>
  <w:abstractNum w:abstractNumId="13">
    <w:nsid w:val="631B64D4"/>
    <w:multiLevelType w:val="hybridMultilevel"/>
    <w:lvl w:ilvl="0">
      <w:lvlJc w:val="left"/>
      <w:lvlText w:val="%1."/>
      <w:numFmt w:val="decimal"/>
      <w:start w:val="16"/>
    </w:lvl>
  </w:abstractNum>
  <w:abstractNum w:abstractNumId="14">
    <w:nsid w:val="78B5E776"/>
    <w:multiLevelType w:val="hybridMultilevel"/>
    <w:lvl w:ilvl="0">
      <w:lvlJc w:val="left"/>
      <w:lvlText w:val="%1."/>
      <w:numFmt w:val="decimal"/>
      <w:start w:val="17"/>
    </w:lvl>
  </w:abstractNum>
  <w:abstractNum w:abstractNumId="15">
    <w:nsid w:val="75486E47"/>
    <w:multiLevelType w:val="hybridMultilevel"/>
    <w:lvl w:ilvl="0">
      <w:lvlJc w:val="left"/>
      <w:lvlText w:val="•"/>
      <w:numFmt w:val="bullet"/>
      <w:start w:val="1"/>
    </w:lvl>
  </w:abstractNum>
  <w:abstractNum w:abstractNumId="16">
    <w:nsid w:val="6E534CDE"/>
    <w:multiLevelType w:val="hybridMultilevel"/>
    <w:lvl w:ilvl="0">
      <w:lvlJc w:val="left"/>
      <w:lvlText w:val="(%1)"/>
      <w:numFmt w:val="lowerLetter"/>
      <w:start w:val="1"/>
    </w:lvl>
  </w:abstractNum>
  <w:abstractNum w:abstractNumId="17">
    <w:nsid w:val="1A0DDE32"/>
    <w:multiLevelType w:val="hybridMultilevel"/>
    <w:lvl w:ilvl="0">
      <w:lvlJc w:val="left"/>
      <w:lvlText w:val="*"/>
      <w:numFmt w:val="bullet"/>
      <w:start w:val="1"/>
    </w:lvl>
  </w:abstractNum>
  <w:abstractNum w:abstractNumId="18">
    <w:nsid w:val="65968C1C"/>
    <w:multiLevelType w:val="hybridMultilevel"/>
    <w:lvl w:ilvl="0">
      <w:lvlJc w:val="left"/>
      <w:lvlText w:val="%1."/>
      <w:numFmt w:val="decimal"/>
      <w:start w:val="1"/>
    </w:lvl>
    <w:lvl w:ilvl="1">
      <w:lvlJc w:val="left"/>
      <w:lvlText w:val="(%2)"/>
      <w:numFmt w:val="lowerLetter"/>
      <w:start w:val="1"/>
    </w:lvl>
  </w:abstractNum>
  <w:abstractNum w:abstractNumId="19">
    <w:nsid w:val="46263DE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0">
    <w:nsid w:val="260D8C4A"/>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2"/>
    </w:lvl>
  </w:abstractNum>
  <w:abstractNum w:abstractNumId="21">
    <w:nsid w:val="73D4D3C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
    <w:nsid w:val="746F2E30"/>
    <w:multiLevelType w:val="hybridMultilevel"/>
    <w:lvl w:ilvl="0">
      <w:lvlJc w:val="left"/>
      <w:lvlText w:val="%1."/>
      <w:numFmt w:val="decimal"/>
      <w:start w:val="5"/>
    </w:lvl>
    <w:lvl w:ilvl="1">
      <w:lvlJc w:val="left"/>
      <w:lvlText w:val="(%2)"/>
      <w:numFmt w:val="lowerLetter"/>
      <w:start w:val="1"/>
    </w:lvl>
  </w:abstractNum>
  <w:abstractNum w:abstractNumId="23">
    <w:nsid w:val="6FDE8AF6"/>
    <w:multiLevelType w:val="hybridMultilevel"/>
    <w:lvl w:ilvl="0">
      <w:lvlJc w:val="left"/>
      <w:lvlText w:val="(%1)"/>
      <w:numFmt w:val="lowerLetter"/>
      <w:start w:val="5"/>
    </w:lvl>
  </w:abstractNum>
  <w:abstractNum w:abstractNumId="24">
    <w:nsid w:val="3FC32E20"/>
    <w:multiLevelType w:val="hybridMultilevel"/>
    <w:lvl w:ilvl="0">
      <w:lvlJc w:val="left"/>
      <w:lvlText w:val="(%1)"/>
      <w:numFmt w:val="lowerLetter"/>
      <w:start w:val="1"/>
    </w:lvl>
  </w:abstractNum>
  <w:abstractNum w:abstractNumId="25">
    <w:nsid w:val="49C0E823"/>
    <w:multiLevelType w:val="hybridMultilevel"/>
    <w:lvl w:ilvl="0">
      <w:lvlJc w:val="left"/>
      <w:lvlText w:val="(%1)"/>
      <w:numFmt w:val="lowerRoman"/>
      <w:start w:val="2"/>
    </w:lvl>
  </w:abstractNum>
  <w:abstractNum w:abstractNumId="26">
    <w:nsid w:val="14D53685"/>
    <w:multiLevelType w:val="hybridMultilevel"/>
    <w:lvl w:ilvl="0">
      <w:lvlJc w:val="left"/>
      <w:lvlText w:val="(%1)"/>
      <w:numFmt w:val="lowerLetter"/>
      <w:start w:val="1"/>
    </w:lvl>
  </w:abstractNum>
  <w:abstractNum w:abstractNumId="27">
    <w:nsid w:val="230F856C"/>
    <w:multiLevelType w:val="hybridMultilevel"/>
    <w:lvl w:ilvl="0">
      <w:lvlJc w:val="left"/>
      <w:lvlText w:val="(%1)"/>
      <w:numFmt w:val="lowerLetter"/>
      <w:start w:val="1"/>
    </w:lvl>
  </w:abstractNum>
  <w:abstractNum w:abstractNumId="28">
    <w:nsid w:val="6EAA85FB"/>
    <w:multiLevelType w:val="hybridMultilevel"/>
    <w:lvl w:ilvl="0">
      <w:lvlJc w:val="left"/>
      <w:lvlText w:val="(%1)"/>
      <w:numFmt w:val="lowerLetter"/>
      <w:start w:val="1"/>
    </w:lvl>
  </w:abstractNum>
  <w:abstractNum w:abstractNumId="29">
    <w:nsid w:val="3F06ECB2"/>
    <w:multiLevelType w:val="hybridMultilevel"/>
    <w:lvl w:ilvl="0">
      <w:lvlJc w:val="left"/>
      <w:lvlText w:val="(%1)"/>
      <w:numFmt w:val="lowerLetter"/>
      <w:start w:val="2"/>
    </w:lvl>
  </w:abstractNum>
  <w:abstractNum w:abstractNumId="30">
    <w:nsid w:val="3B594807"/>
    <w:multiLevelType w:val="hybridMultilevel"/>
    <w:lvl w:ilvl="0">
      <w:lvlJc w:val="left"/>
      <w:lvlText w:val="(%1)"/>
      <w:numFmt w:val="lowerLetter"/>
      <w:start w:val="1"/>
    </w:lvl>
  </w:abstractNum>
  <w:abstractNum w:abstractNumId="31">
    <w:nsid w:val="6CAA2304"/>
    <w:multiLevelType w:val="hybridMultilevel"/>
    <w:lvl w:ilvl="0">
      <w:lvlJc w:val="left"/>
      <w:lvlText w:val="(%1)"/>
      <w:numFmt w:val="lowerLetter"/>
      <w:start w:val="3"/>
    </w:lvl>
  </w:abstractNum>
  <w:abstractNum w:abstractNumId="32">
    <w:nsid w:val="3F7C2FF4"/>
    <w:multiLevelType w:val="hybridMultilevel"/>
    <w:lvl w:ilvl="0">
      <w:lvlJc w:val="left"/>
      <w:lvlText w:val="(%1)"/>
      <w:numFmt w:val="lowerLetter"/>
      <w:start w:val="1"/>
    </w:lvl>
  </w:abstractNum>
  <w:abstractNum w:abstractNumId="33">
    <w:nsid w:val="25413BEC"/>
    <w:multiLevelType w:val="hybridMultilevel"/>
    <w:lvl w:ilvl="0">
      <w:lvlJc w:val="left"/>
      <w:lvlText w:val="(%1)"/>
      <w:numFmt w:val="lowerLetter"/>
      <w:start w:val="1"/>
    </w:lvl>
    <w:lvl w:ilvl="1">
      <w:lvlJc w:val="left"/>
      <w:lvlText w:val="(%2)"/>
      <w:numFmt w:val="lowerRoman"/>
      <w:start w:val="1"/>
    </w:lvl>
  </w:abstractNum>
  <w:abstractNum w:abstractNumId="34">
    <w:nsid w:val="17180B0B"/>
    <w:multiLevelType w:val="hybridMultilevel"/>
    <w:lvl w:ilvl="0">
      <w:lvlJc w:val="left"/>
      <w:lvlText w:val="(%1)"/>
      <w:numFmt w:val="lowerRoman"/>
      <w:start w:val="4"/>
    </w:lvl>
  </w:abstractNum>
  <w:abstractNum w:abstractNumId="35">
    <w:nsid w:val="579328B9"/>
    <w:multiLevelType w:val="hybridMultilevel"/>
    <w:lvl w:ilvl="0">
      <w:lvlJc w:val="left"/>
      <w:lvlText w:val="(%1)"/>
      <w:numFmt w:val="lowerRoman"/>
      <w:start w:val="11"/>
    </w:lvl>
  </w:abstractNum>
  <w:abstractNum w:abstractNumId="36">
    <w:nsid w:val="5D205E20"/>
    <w:multiLevelType w:val="hybridMultilevel"/>
    <w:lvl w:ilvl="0">
      <w:lvlJc w:val="left"/>
      <w:lvlText w:val="(%1)"/>
      <w:numFmt w:val="lowerLetter"/>
      <w:start w:val="3"/>
    </w:lvl>
    <w:lvl w:ilvl="1">
      <w:lvlJc w:val="left"/>
      <w:lvlText w:val="(%2)"/>
      <w:numFmt w:val="lowerRoman"/>
      <w:start w:val="1"/>
    </w:lvl>
  </w:abstractNum>
  <w:abstractNum w:abstractNumId="37">
    <w:nsid w:val="11CCA8BA"/>
    <w:multiLevelType w:val="hybridMultilevel"/>
    <w:lvl w:ilvl="0">
      <w:lvlJc w:val="left"/>
      <w:lvlText w:val="(%1)"/>
      <w:numFmt w:val="lowerRoman"/>
      <w:start w:val="1"/>
    </w:lvl>
  </w:abstractNum>
  <w:abstractNum w:abstractNumId="38">
    <w:nsid w:val="4D32AB86"/>
    <w:multiLevelType w:val="hybridMultilevel"/>
    <w:lvl w:ilvl="0">
      <w:lvlJc w:val="left"/>
      <w:lvlText w:val="(%1)"/>
      <w:numFmt w:val="lowerRoman"/>
      <w:start w:val="2"/>
    </w:lvl>
  </w:abstractNum>
  <w:abstractNum w:abstractNumId="39">
    <w:nsid w:val="3F07ACC3"/>
    <w:multiLevelType w:val="hybridMultilevel"/>
    <w:lvl w:ilvl="0">
      <w:lvlJc w:val="left"/>
      <w:lvlText w:val="(%1)"/>
      <w:numFmt w:val="lowerRoman"/>
      <w:start w:val="3"/>
    </w:lvl>
  </w:abstractNum>
  <w:abstractNum w:abstractNumId="40">
    <w:nsid w:val="6B47F63E"/>
    <w:multiLevelType w:val="hybridMultilevel"/>
    <w:lvl w:ilvl="0">
      <w:lvlJc w:val="left"/>
      <w:lvlText w:val="(%1)"/>
      <w:numFmt w:val="lowerLetter"/>
      <w:start w:val="3"/>
    </w:lvl>
  </w:abstractNum>
  <w:abstractNum w:abstractNumId="41">
    <w:nsid w:val="5CB44A05"/>
    <w:multiLevelType w:val="hybridMultilevel"/>
    <w:lvl w:ilvl="0">
      <w:lvlJc w:val="left"/>
      <w:lvlText w:val="(%1)"/>
      <w:numFmt w:val="lowerLetter"/>
      <w:start w:val="1"/>
    </w:lvl>
    <w:lvl w:ilvl="1">
      <w:lvlJc w:val="left"/>
      <w:lvlText w:val="(%2)"/>
      <w:numFmt w:val="lowerRoman"/>
      <w:start w:val="1"/>
    </w:lvl>
  </w:abstractNum>
  <w:abstractNum w:abstractNumId="42">
    <w:nsid w:val="16CF80F1"/>
    <w:multiLevelType w:val="hybridMultilevel"/>
    <w:lvl w:ilvl="0">
      <w:lvlJc w:val="left"/>
      <w:lvlText w:val="(%1)"/>
      <w:numFmt w:val="lowerRoman"/>
      <w:start w:val="6"/>
    </w:lvl>
  </w:abstractNum>
  <w:abstractNum w:abstractNumId="43">
    <w:nsid w:val="1C695DEC"/>
    <w:multiLevelType w:val="hybridMultilevel"/>
    <w:lvl w:ilvl="0">
      <w:lvlJc w:val="left"/>
      <w:lvlText w:val="(%1)"/>
      <w:numFmt w:val="lowerRoman"/>
      <w:start w:val="7"/>
    </w:lvl>
  </w:abstractNum>
  <w:abstractNum w:abstractNumId="44">
    <w:nsid w:val="3FCFAED9"/>
    <w:multiLevelType w:val="hybridMultilevel"/>
    <w:lvl w:ilvl="0">
      <w:lvlJc w:val="left"/>
      <w:lvlText w:val="(%1)"/>
      <w:numFmt w:val="lowerRoman"/>
      <w:start w:val="18"/>
    </w:lvl>
  </w:abstractNum>
  <w:abstractNum w:abstractNumId="45">
    <w:nsid w:val="F856867"/>
    <w:multiLevelType w:val="hybridMultilevel"/>
    <w:lvl w:ilvl="0">
      <w:lvlJc w:val="left"/>
      <w:lvlText w:val="(%1)"/>
      <w:numFmt w:val="lowerLetter"/>
      <w:start w:val="1"/>
    </w:lvl>
  </w:abstractNum>
  <w:abstractNum w:abstractNumId="46">
    <w:nsid w:val="11B1CC33"/>
    <w:multiLevelType w:val="hybridMultilevel"/>
    <w:lvl w:ilvl="0">
      <w:lvlJc w:val="left"/>
      <w:lvlText w:val="(%1)"/>
      <w:numFmt w:val="lowerLetter"/>
      <w:start w:val="4"/>
    </w:lvl>
  </w:abstractNum>
  <w:abstractNum w:abstractNumId="47">
    <w:nsid w:val="2E22FBB7"/>
    <w:multiLevelType w:val="hybridMultilevel"/>
    <w:lvl w:ilvl="0">
      <w:lvlJc w:val="left"/>
      <w:lvlText w:val="(%1)"/>
      <w:numFmt w:val="lowerLetter"/>
      <w:start w:val="2"/>
    </w:lvl>
  </w:abstractNum>
  <w:abstractNum w:abstractNumId="48">
    <w:nsid w:val="29934699"/>
    <w:multiLevelType w:val="hybridMultilevel"/>
    <w:lvl w:ilvl="0">
      <w:lvlJc w:val="left"/>
      <w:lvlText w:val="§§"/>
      <w:numFmt w:val="bullet"/>
      <w:start w:val="1"/>
    </w:lvl>
  </w:abstractNum>
  <w:abstractNum w:abstractNumId="49">
    <w:nsid w:val="77485850"/>
    <w:multiLevelType w:val="hybridMultilevel"/>
    <w:lvl w:ilvl="0">
      <w:lvlJc w:val="left"/>
      <w:lvlText w:val="(%1)"/>
      <w:numFmt w:val="lowerLetter"/>
      <w:start w:val="1"/>
    </w:lvl>
  </w:abstractNum>
  <w:abstractNum w:abstractNumId="50">
    <w:nsid w:val="744939A3"/>
    <w:multiLevelType w:val="hybridMultilevel"/>
    <w:lvl w:ilvl="0">
      <w:lvlJc w:val="left"/>
      <w:lvlText w:val="(%1)"/>
      <w:numFmt w:val="lowerLetter"/>
      <w:start w:val="1"/>
    </w:lvl>
  </w:abstractNum>
  <w:abstractNum w:abstractNumId="51">
    <w:nsid w:val="4FA0D2E3"/>
    <w:multiLevelType w:val="hybridMultilevel"/>
    <w:lvl w:ilvl="0">
      <w:lvlJc w:val="left"/>
      <w:lvlText w:val="(%1)"/>
      <w:numFmt w:val="lowerLetter"/>
      <w:start w:val="2"/>
    </w:lvl>
  </w:abstractNum>
  <w:abstractNum w:abstractNumId="52">
    <w:nsid w:val="6B1D2C14"/>
    <w:multiLevelType w:val="hybridMultilevel"/>
    <w:lvl w:ilvl="0">
      <w:lvlJc w:val="left"/>
      <w:lvlText w:val="(%1)"/>
      <w:numFmt w:val="lowerLetter"/>
      <w:start w:val="1"/>
    </w:lvl>
  </w:abstractNum>
  <w:abstractNum w:abstractNumId="53">
    <w:nsid w:val="68B867D3"/>
    <w:multiLevelType w:val="hybridMultilevel"/>
    <w:lvl w:ilvl="0">
      <w:lvlJc w:val="left"/>
      <w:lvlText w:val="(%1)"/>
      <w:numFmt w:val="lowerLetter"/>
      <w:start w:val="8"/>
    </w:lvl>
  </w:abstractNum>
  <w:abstractNum w:abstractNumId="54">
    <w:nsid w:val="3F7F5DD9"/>
    <w:multiLevelType w:val="hybridMultilevel"/>
    <w:lvl w:ilvl="0">
      <w:lvlJc w:val="left"/>
      <w:lvlText w:val="(%1)"/>
      <w:numFmt w:val="lowerRoman"/>
      <w:start w:val="1"/>
    </w:lvl>
  </w:abstractNum>
  <w:abstractNum w:abstractNumId="55">
    <w:nsid w:val="2AE05A34"/>
    <w:multiLevelType w:val="hybridMultilevel"/>
    <w:lvl w:ilvl="0">
      <w:lvlJc w:val="left"/>
      <w:lvlText w:val="(%1)"/>
      <w:numFmt w:val="lowerLetter"/>
      <w:start w:val="1"/>
    </w:lvl>
  </w:abstractNum>
  <w:abstractNum w:abstractNumId="56">
    <w:nsid w:val="32794FF7"/>
    <w:multiLevelType w:val="hybridMultilevel"/>
    <w:lvl w:ilvl="0">
      <w:lvlJc w:val="left"/>
      <w:lvlText w:val="(%1)"/>
      <w:numFmt w:val="lowerLetter"/>
      <w:start w:val="3"/>
    </w:lvl>
  </w:abstractNum>
  <w:abstractNum w:abstractNumId="57">
    <w:nsid w:val="5454945E"/>
    <w:multiLevelType w:val="hybridMultilevel"/>
    <w:lvl w:ilvl="0">
      <w:lvlJc w:val="left"/>
      <w:lvlText w:val="(%1)"/>
      <w:numFmt w:val="lowerRoman"/>
      <w:start w:val="2"/>
    </w:lvl>
  </w:abstractNum>
  <w:abstractNum w:abstractNumId="58">
    <w:nsid w:val="4DEFDFA0"/>
    <w:multiLevelType w:val="hybridMultilevel"/>
    <w:lvl w:ilvl="0">
      <w:lvlJc w:val="left"/>
      <w:lvlText w:val="(%1)"/>
      <w:numFmt w:val="lowerLetter"/>
      <w:start w:val="1"/>
    </w:lvl>
  </w:abstractNum>
  <w:abstractNum w:abstractNumId="59">
    <w:nsid w:val="2123D5F2"/>
    <w:multiLevelType w:val="hybridMultilevel"/>
    <w:lvl w:ilvl="0">
      <w:lvlJc w:val="left"/>
      <w:lvlText w:val="(%1)"/>
      <w:numFmt w:val="lowerLetter"/>
      <w:start w:val="3"/>
    </w:lvl>
  </w:abstractNum>
  <w:abstractNum w:abstractNumId="60">
    <w:nsid w:val="135B8110"/>
    <w:multiLevelType w:val="hybridMultilevel"/>
    <w:lvl w:ilvl="0">
      <w:lvlJc w:val="left"/>
      <w:lvlText w:val="."/>
      <w:numFmt w:val="bullet"/>
      <w:start w:val="1"/>
    </w:lvl>
    <w:lvl w:ilvl="1">
      <w:lvlJc w:val="left"/>
      <w:lvlText w:val="(%2)"/>
      <w:numFmt w:val="lowerLetter"/>
      <w:start w:val="1"/>
    </w:lvl>
  </w:abstractNum>
  <w:abstractNum w:abstractNumId="61">
    <w:nsid w:val="94927A8"/>
    <w:multiLevelType w:val="hybridMultilevel"/>
    <w:lvl w:ilvl="0">
      <w:lvlJc w:val="left"/>
      <w:lvlText w:val="(%1)"/>
      <w:numFmt w:val="lowerLetter"/>
      <w:start w:val="5"/>
    </w:lvl>
  </w:abstractNum>
  <w:abstractNum w:abstractNumId="62">
    <w:nsid w:val="DCDF8F6"/>
    <w:multiLevelType w:val="hybridMultilevel"/>
    <w:lvl w:ilvl="0">
      <w:lvlJc w:val="left"/>
      <w:lvlText w:val="."/>
      <w:numFmt w:val="bullet"/>
      <w:start w:val="1"/>
    </w:lvl>
  </w:abstractNum>
  <w:abstractNum w:abstractNumId="63">
    <w:nsid w:val="52D7B105"/>
    <w:multiLevelType w:val="hybridMultilevel"/>
    <w:lvl w:ilvl="0">
      <w:lvlJc w:val="left"/>
      <w:lvlText w:val="."/>
      <w:numFmt w:val="bullet"/>
      <w:start w:val="1"/>
    </w:lvl>
  </w:abstractNum>
  <w:abstractNum w:abstractNumId="64">
    <w:nsid w:val="2E8A6394"/>
    <w:multiLevelType w:val="hybridMultilevel"/>
    <w:lvl w:ilvl="0">
      <w:lvlJc w:val="left"/>
      <w:lvlText w:val="."/>
      <w:numFmt w:val="bullet"/>
      <w:start w:val="1"/>
    </w:lvl>
  </w:abstractNum>
  <w:abstractNum w:abstractNumId="65">
    <w:nsid w:val="24E60401"/>
    <w:multiLevelType w:val="hybridMultilevel"/>
    <w:lvl w:ilvl="0">
      <w:lvlJc w:val="left"/>
      <w:lvlText w:val="."/>
      <w:numFmt w:val="bullet"/>
      <w:start w:val="1"/>
    </w:lvl>
  </w:abstractNum>
  <w:abstractNum w:abstractNumId="66">
    <w:nsid w:val="2A6AD9BE"/>
    <w:multiLevelType w:val="hybridMultilevel"/>
    <w:lvl w:ilvl="0">
      <w:lvlJc w:val="left"/>
      <w:lvlText w:val="."/>
      <w:numFmt w:val="bullet"/>
      <w:start w:val="1"/>
    </w:lvl>
  </w:abstractNum>
  <w:abstractNum w:abstractNumId="67">
    <w:nsid w:val="BAAC1B4"/>
    <w:multiLevelType w:val="hybridMultilevel"/>
    <w:lvl w:ilvl="0">
      <w:lvlJc w:val="left"/>
      <w:lvlText w:val="(%1)"/>
      <w:numFmt w:val="lowerRoman"/>
      <w:start w:val="1"/>
    </w:lvl>
    <w:lvl w:ilvl="1">
      <w:lvlJc w:val="left"/>
      <w:lvlText w:val="."/>
      <w:numFmt w:val="bullet"/>
      <w:start w:val="1"/>
    </w:lvl>
  </w:abstractNum>
  <w:abstractNum w:abstractNumId="68">
    <w:nsid w:val="36B2ACBC"/>
    <w:multiLevelType w:val="hybridMultilevel"/>
    <w:lvl w:ilvl="0">
      <w:lvlJc w:val="left"/>
      <w:lvlText w:val="(%1)"/>
      <w:numFmt w:val="lowerLetter"/>
      <w:start w:val="1"/>
    </w:lvl>
  </w:abstractNum>
  <w:abstractNum w:abstractNumId="69">
    <w:nsid w:val="779D8544"/>
    <w:multiLevelType w:val="hybridMultilevel"/>
    <w:lvl w:ilvl="0">
      <w:lvlJc w:val="left"/>
      <w:lvlText w:val="(%1)"/>
      <w:numFmt w:val="lowerLetter"/>
      <w:start w:val="1"/>
    </w:lvl>
  </w:abstractNum>
  <w:abstractNum w:abstractNumId="70">
    <w:nsid w:val="4AB26E78"/>
    <w:multiLevelType w:val="hybridMultilevel"/>
    <w:lvl w:ilvl="0">
      <w:lvlJc w:val="left"/>
      <w:lvlText w:val="%1"/>
      <w:numFmt w:val="lowerLetter"/>
      <w:start w:val="1"/>
    </w:lvl>
    <w:lvl w:ilvl="1">
      <w:lvlJc w:val="left"/>
      <w:lvlText w:val="(%2)"/>
      <w:numFmt w:val="lowerRoman"/>
      <w:start w:val="1"/>
    </w:lvl>
  </w:abstractNum>
  <w:abstractNum w:abstractNumId="71">
    <w:nsid w:val="21FAA2FA"/>
    <w:multiLevelType w:val="hybridMultilevel"/>
    <w:lvl w:ilvl="0">
      <w:lvlJc w:val="left"/>
      <w:lvlText w:val="(%1)"/>
      <w:numFmt w:val="lowerLetter"/>
      <w:start w:val="3"/>
    </w:lvl>
    <w:lvl w:ilvl="1">
      <w:lvlJc w:val="left"/>
      <w:lvlText w:val="%2"/>
      <w:numFmt w:val="lowerRoman"/>
      <w:start w:val="1"/>
    </w:lvl>
  </w:abstractNum>
  <w:abstractNum w:abstractNumId="72">
    <w:nsid w:val="5451CF49"/>
    <w:multiLevelType w:val="hybridMultilevel"/>
    <w:lvl w:ilvl="0">
      <w:lvlJc w:val="left"/>
      <w:lvlText w:val="(%1)"/>
      <w:numFmt w:val="lowerLetter"/>
      <w:start w:val="1"/>
    </w:lvl>
  </w:abstractNum>
  <w:abstractNum w:abstractNumId="73">
    <w:nsid w:val="6181EF69"/>
    <w:multiLevelType w:val="hybridMultilevel"/>
    <w:lvl w:ilvl="0">
      <w:lvlJc w:val="left"/>
      <w:lvlText w:val="."/>
      <w:numFmt w:val="bullet"/>
      <w:start w:val="1"/>
    </w:lvl>
  </w:abstractNum>
  <w:abstractNum w:abstractNumId="74">
    <w:nsid w:val="3E6400E6"/>
    <w:multiLevelType w:val="hybridMultilevel"/>
    <w:lvl w:ilvl="0">
      <w:lvlJc w:val="left"/>
      <w:lvlText w:val="(%1)"/>
      <w:numFmt w:val="lowerLetter"/>
      <w:start w:val="1"/>
    </w:lvl>
    <w:lvl w:ilvl="1">
      <w:lvlJc w:val="left"/>
      <w:lvlText w:val="(%2)"/>
      <w:numFmt w:val="lowerRoman"/>
      <w:start w:val="1"/>
    </w:lvl>
  </w:abstractNum>
  <w:abstractNum w:abstractNumId="75">
    <w:nsid w:val="14217E23"/>
    <w:multiLevelType w:val="hybridMultilevel"/>
    <w:lvl w:ilvl="0">
      <w:lvlJc w:val="left"/>
      <w:lvlText w:val="(%1)"/>
      <w:numFmt w:val="lowerLetter"/>
      <w:start w:val="7"/>
    </w:lvl>
  </w:abstractNum>
  <w:abstractNum w:abstractNumId="76">
    <w:nsid w:val="710757D0"/>
    <w:multiLevelType w:val="hybridMultilevel"/>
    <w:lvl w:ilvl="0">
      <w:lvlJc w:val="left"/>
      <w:lvlText w:val="(%1)"/>
      <w:numFmt w:val="lowerLetter"/>
      <w:start w:val="1"/>
    </w:lvl>
    <w:lvl w:ilvl="1">
      <w:lvlJc w:val="left"/>
      <w:lvlText w:val="(%2)"/>
      <w:numFmt w:val="lowerLetter"/>
      <w:start w:val="9"/>
    </w:lvl>
  </w:abstractNum>
  <w:abstractNum w:abstractNumId="77">
    <w:nsid w:val="5015CD1A"/>
    <w:multiLevelType w:val="hybridMultilevel"/>
    <w:lvl w:ilvl="0">
      <w:lvlJc w:val="left"/>
      <w:lvlText w:val="(%1)"/>
      <w:numFmt w:val="lowerLetter"/>
      <w:start w:val="1"/>
    </w:lvl>
    <w:lvl w:ilvl="1">
      <w:lvlJc w:val="left"/>
      <w:lvlText w:val="(%2)"/>
      <w:numFmt w:val="lowerRoman"/>
      <w:start w:val="1"/>
    </w:lvl>
  </w:abstractNum>
  <w:abstractNum w:abstractNumId="78">
    <w:nsid w:val="424479DA"/>
    <w:multiLevelType w:val="hybridMultilevel"/>
    <w:lvl w:ilvl="0">
      <w:lvlJc w:val="left"/>
      <w:lvlText w:val="(%1)"/>
      <w:numFmt w:val="lowerLetter"/>
      <w:start w:val="2"/>
    </w:lvl>
  </w:abstractNum>
  <w:abstractNum w:abstractNumId="79">
    <w:nsid w:val="1A9A9E69"/>
    <w:multiLevelType w:val="hybridMultilevel"/>
    <w:lvl w:ilvl="0">
      <w:lvlJc w:val="left"/>
      <w:lvlText w:val="(%1)"/>
      <w:numFmt w:val="lowerRoman"/>
      <w:start w:val="3"/>
    </w:lvl>
  </w:abstractNum>
  <w:abstractNum w:abstractNumId="80">
    <w:nsid w:val="475E256A"/>
    <w:multiLevelType w:val="hybridMultilevel"/>
    <w:lvl w:ilvl="0">
      <w:lvlJc w:val="left"/>
      <w:lvlText w:val="(%1)"/>
      <w:numFmt w:val="lowerLetter"/>
      <w:start w:val="2"/>
    </w:lvl>
  </w:abstractNum>
  <w:abstractNum w:abstractNumId="81">
    <w:nsid w:val="368DB37E"/>
    <w:multiLevelType w:val="hybridMultilevel"/>
    <w:lvl w:ilvl="0">
      <w:lvlJc w:val="left"/>
      <w:lvlText w:val="(%1)"/>
      <w:numFmt w:val="lowerLetter"/>
      <w:start w:val="3"/>
    </w:lvl>
  </w:abstractNum>
  <w:abstractNum w:abstractNumId="82">
    <w:nsid w:val="6A3B714C"/>
    <w:multiLevelType w:val="hybridMultilevel"/>
    <w:lvl w:ilvl="0">
      <w:lvlJc w:val="left"/>
      <w:lvlText w:val="."/>
      <w:numFmt w:val="bullet"/>
      <w:start w:val="1"/>
    </w:lvl>
  </w:abstractNum>
  <w:abstractNum w:abstractNumId="83">
    <w:nsid w:val="327B517E"/>
    <w:multiLevelType w:val="hybridMultilevel"/>
    <w:lvl w:ilvl="0">
      <w:lvlJc w:val="left"/>
      <w:lvlText w:val="(%1)"/>
      <w:numFmt w:val="lowerLetter"/>
      <w:start w:val="1"/>
    </w:lvl>
    <w:lvl w:ilvl="1">
      <w:lvlJc w:val="left"/>
      <w:lvlText w:val="(%2)"/>
      <w:numFmt w:val="lowerRoman"/>
      <w:start w:val="1"/>
    </w:lvl>
  </w:abstractNum>
  <w:abstractNum w:abstractNumId="84">
    <w:nsid w:val="1F461B51"/>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85">
    <w:nsid w:val="29BACF2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6">
    <w:nsid w:val="5D5BABB3"/>
    <w:multiLevelType w:val="hybridMultilevel"/>
    <w:lvl w:ilvl="0">
      <w:lvlJc w:val="left"/>
      <w:lvlText w:val="%1"/>
      <w:numFmt w:val="lowerLetter"/>
      <w:start w:val="1"/>
    </w:lvl>
    <w:lvl w:ilvl="1">
      <w:lvlJc w:val="left"/>
      <w:lvlText w:val="(%2)"/>
      <w:numFmt w:val="lowerRoman"/>
      <w:start w:val="3"/>
    </w:lvl>
  </w:abstractNum>
  <w:abstractNum w:abstractNumId="87">
    <w:nsid w:val="51BF6B48"/>
    <w:multiLevelType w:val="hybridMultilevel"/>
    <w:lvl w:ilvl="0">
      <w:lvlJc w:val="left"/>
      <w:lvlText w:val="(%1)"/>
      <w:numFmt w:val="lowerLetter"/>
      <w:start w:val="4"/>
    </w:lvl>
    <w:lvl w:ilvl="1">
      <w:lvlJc w:val="left"/>
      <w:lvlText w:val="%2"/>
      <w:numFmt w:val="lowerRoman"/>
      <w:start w:val="1"/>
    </w:lvl>
  </w:abstractNum>
  <w:abstractNum w:abstractNumId="88">
    <w:nsid w:val="7E0F6384"/>
    <w:multiLevelType w:val="hybridMultilevel"/>
    <w:lvl w:ilvl="0">
      <w:lvlJc w:val="left"/>
      <w:lvlText w:val="(%1)"/>
      <w:numFmt w:val="lowerLetter"/>
      <w:start w:val="1"/>
    </w:lvl>
  </w:abstractNum>
  <w:abstractNum w:abstractNumId="89">
    <w:nsid w:val="2B4B8B53"/>
    <w:multiLevelType w:val="hybridMultilevel"/>
    <w:lvl w:ilvl="0">
      <w:lvlJc w:val="left"/>
      <w:lvlText w:val="(%1)"/>
      <w:numFmt w:val="lowerLetter"/>
      <w:start w:val="1"/>
    </w:lvl>
  </w:abstractNum>
  <w:abstractNum w:abstractNumId="90">
    <w:nsid w:val="72E3413A"/>
    <w:multiLevelType w:val="hybridMultilevel"/>
    <w:lvl w:ilvl="0">
      <w:lvlJc w:val="left"/>
      <w:lvlText w:val="(%1)"/>
      <w:numFmt w:val="lowerLetter"/>
      <w:start w:val="3"/>
    </w:lvl>
  </w:abstractNum>
  <w:abstractNum w:abstractNumId="91">
    <w:nsid w:val="116AE494"/>
    <w:multiLevelType w:val="hybridMultilevel"/>
    <w:lvl w:ilvl="0">
      <w:lvlJc w:val="left"/>
      <w:lvlText w:val="(%1)"/>
      <w:numFmt w:val="lowerLetter"/>
      <w:start w:val="1"/>
    </w:lvl>
  </w:abstractNum>
  <w:abstractNum w:abstractNumId="92">
    <w:nsid w:val="3494B2FB"/>
    <w:multiLevelType w:val="hybridMultilevel"/>
    <w:lvl w:ilvl="0">
      <w:lvlJc w:val="left"/>
      <w:lvlText w:val="(%1)"/>
      <w:numFmt w:val="lowerLetter"/>
      <w:start w:val="5"/>
    </w:lvl>
  </w:abstractNum>
  <w:abstractNum w:abstractNumId="93">
    <w:nsid w:val="B13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
    <w:nsid w:val="64429599"/>
    <w:multiLevelType w:val="hybridMultilevel"/>
    <w:lvl w:ilvl="0">
      <w:lvlJc w:val="left"/>
      <w:lvlText w:val="(%1)"/>
      <w:numFmt w:val="lowerLetter"/>
      <w:start w:val="1"/>
    </w:lvl>
    <w:lvl w:ilvl="1">
      <w:lvlJc w:val="left"/>
      <w:lvlText w:val="(%2)"/>
      <w:numFmt w:val="lowerRoman"/>
      <w:start w:val="1"/>
    </w:lvl>
  </w:abstractNum>
  <w:abstractNum w:abstractNumId="95">
    <w:nsid w:val="631F1690"/>
    <w:multiLevelType w:val="hybridMultilevel"/>
    <w:lvl w:ilvl="0">
      <w:lvlJc w:val="left"/>
      <w:lvlText w:val="%1"/>
      <w:numFmt w:val="lowerLetter"/>
      <w:start w:val="1"/>
    </w:lvl>
    <w:lvl w:ilvl="1">
      <w:lvlJc w:val="left"/>
      <w:lvlText w:val="(%2)"/>
      <w:numFmt w:val="lowerRoman"/>
      <w:start w:val="3"/>
    </w:lvl>
  </w:abstractNum>
  <w:abstractNum w:abstractNumId="96">
    <w:nsid w:val="25973E32"/>
    <w:multiLevelType w:val="hybridMultilevel"/>
    <w:lvl w:ilvl="0">
      <w:lvlJc w:val="left"/>
      <w:lvlText w:val="(%1)"/>
      <w:numFmt w:val="lowerLetter"/>
      <w:start w:val="2"/>
    </w:lvl>
    <w:lvl w:ilvl="1">
      <w:lvlJc w:val="left"/>
      <w:lvlText w:val="%2"/>
      <w:numFmt w:val="lowerRoman"/>
      <w:start w:val="1"/>
    </w:lvl>
  </w:abstractNum>
  <w:abstractNum w:abstractNumId="97">
    <w:nsid w:val="EAD6F57"/>
    <w:multiLevelType w:val="hybridMultilevel"/>
    <w:lvl w:ilvl="0">
      <w:lvlJc w:val="left"/>
      <w:lvlText w:val="(%1)"/>
      <w:numFmt w:val="lowerLetter"/>
      <w:start w:val="1"/>
    </w:lvl>
    <w:lvl w:ilvl="1">
      <w:lvlJc w:val="left"/>
      <w:lvlText w:val="(%2)"/>
      <w:numFmt w:val="lowerRoman"/>
      <w:start w:val="1"/>
    </w:lvl>
  </w:abstractNum>
  <w:abstractNum w:abstractNumId="98">
    <w:nsid w:val="6EC9D844"/>
    <w:multiLevelType w:val="hybridMultilevel"/>
    <w:lvl w:ilvl="0">
      <w:lvlJc w:val="left"/>
      <w:lvlText w:val="(%1)"/>
      <w:numFmt w:val="lowerRoman"/>
      <w:start w:val="3"/>
    </w:lvl>
  </w:abstractNum>
  <w:abstractNum w:abstractNumId="99">
    <w:nsid w:val="5C49EAEE"/>
    <w:multiLevelType w:val="hybridMultilevel"/>
    <w:lvl w:ilvl="0">
      <w:lvlJc w:val="left"/>
      <w:lvlText w:val="%1"/>
      <w:numFmt w:val="lowerLetter"/>
      <w:start w:val="1"/>
    </w:lvl>
    <w:lvl w:ilvl="1">
      <w:lvlJc w:val="left"/>
      <w:lvlText w:val="(%2)"/>
      <w:numFmt w:val="lowerRoman"/>
      <w:start w:val="8"/>
    </w:lvl>
  </w:abstractNum>
  <w:abstractNum w:abstractNumId="100">
    <w:nsid w:val="64AF49B"/>
    <w:multiLevelType w:val="hybridMultilevel"/>
    <w:lvl w:ilvl="0">
      <w:lvlJc w:val="left"/>
      <w:lvlText w:val="(%1)"/>
      <w:numFmt w:val="lowerLetter"/>
      <w:start w:val="2"/>
    </w:lvl>
    <w:lvl w:ilvl="1">
      <w:lvlJc w:val="left"/>
      <w:lvlText w:val="(%2)"/>
      <w:numFmt w:val="lowerRoman"/>
      <w:start w:val="1"/>
    </w:lvl>
  </w:abstractNum>
  <w:abstractNum w:abstractNumId="101">
    <w:nsid w:val="397C46BC"/>
    <w:multiLevelType w:val="hybridMultilevel"/>
    <w:lvl w:ilvl="0">
      <w:lvlJc w:val="left"/>
      <w:lvlText w:val="(%1)"/>
      <w:numFmt w:val="lowerRoman"/>
      <w:start w:val="3"/>
    </w:lvl>
  </w:abstractNum>
  <w:abstractNum w:abstractNumId="102">
    <w:nsid w:val="7E448DE9"/>
    <w:multiLevelType w:val="hybridMultilevel"/>
    <w:lvl w:ilvl="0">
      <w:lvlJc w:val="left"/>
      <w:lvlText w:val="(%1)"/>
      <w:numFmt w:val="lowerRoman"/>
      <w:start w:val="4"/>
    </w:lvl>
  </w:abstractNum>
  <w:abstractNum w:abstractNumId="103">
    <w:nsid w:val="5A9CC3E5"/>
    <w:multiLevelType w:val="hybridMultilevel"/>
    <w:lvl w:ilvl="0">
      <w:lvlJc w:val="left"/>
      <w:lvlText w:val="(%1)"/>
      <w:numFmt w:val="lowerLetter"/>
      <w:start w:val="1"/>
    </w:lvl>
  </w:abstractNum>
  <w:abstractNum w:abstractNumId="104">
    <w:nsid w:val="1AFE3625"/>
    <w:multiLevelType w:val="hybridMultilevel"/>
    <w:lvl w:ilvl="0">
      <w:lvlJc w:val="left"/>
      <w:lvlText w:val="(%1)"/>
      <w:numFmt w:val="lowerLetter"/>
      <w:start w:val="3"/>
    </w:lvl>
  </w:abstractNum>
  <w:abstractNum w:abstractNumId="105">
    <w:nsid w:val="3CA88ECF"/>
    <w:multiLevelType w:val="hybridMultilevel"/>
    <w:lvl w:ilvl="0">
      <w:lvlJc w:val="left"/>
      <w:lvlText w:val="(%1)"/>
      <w:numFmt w:val="lowerLetter"/>
      <w:start w:val="1"/>
    </w:lvl>
  </w:abstractNum>
  <w:abstractNum w:abstractNumId="106">
    <w:nsid w:val="6EBE420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23"/>
    </w:lvl>
  </w:abstractNum>
  <w:abstractNum w:abstractNumId="107">
    <w:nsid w:val="C058DF5"/>
    <w:multiLevelType w:val="hybridMultilevel"/>
    <w:lvl w:ilvl="0">
      <w:lvlJc w:val="left"/>
      <w:lvlText w:val="%1"/>
      <w:numFmt w:val="upperLetter"/>
      <w:start w:val="1"/>
    </w:lvl>
    <w:lvl w:ilvl="1">
      <w:lvlJc w:val="left"/>
      <w:lvlText w:val="(%2)"/>
      <w:numFmt w:val="lowerLetter"/>
      <w:start w:val="24"/>
    </w:lvl>
  </w:abstractNum>
  <w:abstractNum w:abstractNumId="108">
    <w:nsid w:val="CBE5BE9"/>
    <w:multiLevelType w:val="hybridMultilevel"/>
    <w:lvl w:ilvl="0">
      <w:lvlJc w:val="left"/>
      <w:lvlText w:val="(%1)"/>
      <w:numFmt w:val="upperLetter"/>
      <w:start w:val="3"/>
    </w:lvl>
    <w:lvl w:ilvl="1">
      <w:lvlJc w:val="left"/>
      <w:lvlText w:val="%2"/>
      <w:numFmt w:val="lowerLetter"/>
      <w:start w:val="1"/>
    </w:lvl>
  </w:abstractNum>
  <w:abstractNum w:abstractNumId="109">
    <w:nsid w:val="3102BBE2"/>
    <w:multiLevelType w:val="hybridMultilevel"/>
    <w:lvl w:ilvl="0">
      <w:lvlJc w:val="left"/>
      <w:lvlText w:val="(%1)"/>
      <w:numFmt w:val="lowerLetter"/>
      <w:start w:val="7"/>
    </w:lvl>
  </w:abstractNum>
  <w:abstractNum w:abstractNumId="110">
    <w:nsid w:val="26A02C5E"/>
    <w:multiLevelType w:val="hybridMultilevel"/>
    <w:lvl w:ilvl="0">
      <w:lvlJc w:val="left"/>
      <w:lvlText w:val="(%1)"/>
      <w:numFmt w:val="decimal"/>
    </w:lvl>
    <w:lvl w:ilvl="1">
      <w:lvlJc w:val="left"/>
      <w:lvlText w:val="."/>
      <w:numFmt w:val="bullet"/>
      <w:start w:val="1"/>
    </w:lvl>
  </w:abstractNum>
  <w:abstractNum w:abstractNumId="111">
    <w:nsid w:val="541C8153"/>
    <w:multiLevelType w:val="hybridMultilevel"/>
    <w:lvl w:ilvl="0">
      <w:lvlJc w:val="left"/>
      <w:lvlText w:val="."/>
      <w:numFmt w:val="bullet"/>
      <w:start w:val="1"/>
    </w:lvl>
  </w:abstractNum>
  <w:abstractNum w:abstractNumId="112">
    <w:nsid w:val="67906F60"/>
    <w:multiLevelType w:val="hybridMultilevel"/>
    <w:lvl w:ilvl="0">
      <w:lvlJc w:val="left"/>
      <w:lvlText w:val="(%1)"/>
      <w:numFmt w:val="lowerLetter"/>
      <w:start w:val="1"/>
    </w:lvl>
  </w:abstractNum>
  <w:abstractNum w:abstractNumId="113">
    <w:nsid w:val="10DB9DAA"/>
    <w:multiLevelType w:val="hybridMultilevel"/>
    <w:lvl w:ilvl="0">
      <w:lvlJc w:val="left"/>
      <w:lvlText w:val="(%1)"/>
      <w:numFmt w:val="lowerLetter"/>
      <w:start w:val="5"/>
    </w:lvl>
  </w:abstractNum>
  <w:abstractNum w:abstractNumId="114">
    <w:nsid w:val="697D2D2"/>
    <w:multiLevelType w:val="hybridMultilevel"/>
    <w:lvl w:ilvl="0">
      <w:lvlJc w:val="left"/>
      <w:lvlText w:val="(%1)"/>
      <w:numFmt w:val="lowerLetter"/>
      <w:start w:val="1"/>
    </w:lvl>
  </w:abstractNum>
  <w:abstractNum w:abstractNumId="115">
    <w:nsid w:val="6D68AB2"/>
    <w:multiLevelType w:val="hybridMultilevel"/>
    <w:lvl w:ilvl="0">
      <w:lvlJc w:val="left"/>
      <w:lvlText w:val="(%1)"/>
      <w:numFmt w:val="lowerLetter"/>
      <w:start w:val="1"/>
    </w:lvl>
  </w:abstractNum>
  <w:abstractNum w:abstractNumId="116">
    <w:nsid w:val="3A966CD0"/>
    <w:multiLevelType w:val="hybridMultilevel"/>
    <w:lvl w:ilvl="0">
      <w:lvlJc w:val="left"/>
      <w:lvlText w:val="(%1)"/>
      <w:numFmt w:val="lowerLetter"/>
      <w:start w:val="2"/>
    </w:lvl>
  </w:abstractNum>
  <w:abstractNum w:abstractNumId="117">
    <w:nsid w:val="63F37E8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8">
    <w:nsid w:val="5895F5FA"/>
    <w:multiLevelType w:val="hybridMultilevel"/>
    <w:lvl w:ilvl="0">
      <w:lvlJc w:val="left"/>
      <w:lvlText w:val="."/>
      <w:numFmt w:val="bullet"/>
      <w:start w:val="1"/>
    </w:lvl>
    <w:lvl w:ilvl="1">
      <w:lvlJc w:val="left"/>
      <w:lvlText w:val="(%2)"/>
      <w:numFmt w:val="lowerLetter"/>
      <w:start w:val="1"/>
    </w:lvl>
  </w:abstractNum>
  <w:abstractNum w:abstractNumId="119">
    <w:nsid w:val="38A5D054"/>
    <w:multiLevelType w:val="hybridMultilevel"/>
    <w:lvl w:ilvl="0">
      <w:lvlJc w:val="left"/>
      <w:lvlText w:val="."/>
      <w:numFmt w:val="bullet"/>
      <w:start w:val="1"/>
    </w:lvl>
  </w:abstractNum>
  <w:abstractNum w:abstractNumId="120">
    <w:nsid w:val="F3F09D8"/>
    <w:multiLevelType w:val="hybridMultilevel"/>
    <w:lvl w:ilvl="0">
      <w:lvlJc w:val="left"/>
      <w:lvlText w:val="."/>
      <w:numFmt w:val="bullet"/>
      <w:start w:val="1"/>
    </w:lvl>
  </w:abstractNum>
  <w:abstractNum w:abstractNumId="121">
    <w:nsid w:val="4B793735"/>
    <w:multiLevelType w:val="hybridMultilevel"/>
    <w:lvl w:ilvl="0">
      <w:lvlJc w:val="left"/>
      <w:lvlText w:val="."/>
      <w:numFmt w:val="bullet"/>
      <w:start w:val="1"/>
    </w:lvl>
  </w:abstractNum>
  <w:abstractNum w:abstractNumId="122">
    <w:nsid w:val="4A10B4E8"/>
    <w:multiLevelType w:val="hybridMultilevel"/>
    <w:lvl w:ilvl="0">
      <w:lvlJc w:val="left"/>
      <w:lvlText w:val="."/>
      <w:numFmt w:val="bullet"/>
      <w:start w:val="1"/>
    </w:lvl>
  </w:abstractNum>
  <w:abstractNum w:abstractNumId="123">
    <w:nsid w:val="43D3BCD4"/>
    <w:multiLevelType w:val="hybridMultilevel"/>
    <w:lvl w:ilvl="0">
      <w:lvlJc w:val="left"/>
      <w:lvlText w:val="."/>
      <w:numFmt w:val="bullet"/>
      <w:start w:val="1"/>
    </w:lvl>
  </w:abstractNum>
  <w:abstractNum w:abstractNumId="124">
    <w:nsid w:val="4C2A7166"/>
    <w:multiLevelType w:val="hybridMultilevel"/>
    <w:lvl w:ilvl="0">
      <w:lvlJc w:val="left"/>
      <w:lvlText w:val="."/>
      <w:numFmt w:val="bullet"/>
      <w:start w:val="1"/>
    </w:lvl>
  </w:abstractNum>
  <w:abstractNum w:abstractNumId="125">
    <w:nsid w:val="2E534A82"/>
    <w:multiLevelType w:val="hybridMultilevel"/>
    <w:lvl w:ilvl="0">
      <w:lvlJc w:val="left"/>
      <w:lvlText w:val="."/>
      <w:numFmt w:val="bullet"/>
      <w:start w:val="1"/>
    </w:lvl>
  </w:abstractNum>
  <w:abstractNum w:abstractNumId="126">
    <w:nsid w:val="26F2D364"/>
    <w:multiLevelType w:val="hybridMultilevel"/>
    <w:lvl w:ilvl="0">
      <w:lvlJc w:val="left"/>
      <w:lvlText w:val="."/>
      <w:numFmt w:val="bullet"/>
      <w:start w:val="1"/>
    </w:lvl>
  </w:abstractNum>
  <w:abstractNum w:abstractNumId="127">
    <w:nsid w:val="71C1AF98"/>
    <w:multiLevelType w:val="hybridMultilevel"/>
    <w:lvl w:ilvl="0">
      <w:lvlJc w:val="left"/>
      <w:lvlText w:val="."/>
      <w:numFmt w:val="bullet"/>
      <w:start w:val="1"/>
    </w:lvl>
  </w:abstractNum>
  <w:abstractNum w:abstractNumId="128">
    <w:nsid w:val="3D00B9D9"/>
    <w:multiLevelType w:val="hybridMultilevel"/>
    <w:lvl w:ilvl="0">
      <w:lvlJc w:val="left"/>
      <w:lvlText w:val="."/>
      <w:numFmt w:val="bullet"/>
      <w:start w:val="1"/>
    </w:lvl>
  </w:abstractNum>
  <w:abstractNum w:abstractNumId="129">
    <w:nsid w:val="15BCABA8"/>
    <w:multiLevelType w:val="hybridMultilevel"/>
    <w:lvl w:ilvl="0">
      <w:lvlJc w:val="left"/>
      <w:lvlText w:val="."/>
      <w:numFmt w:val="bullet"/>
      <w:start w:val="1"/>
    </w:lvl>
  </w:abstractNum>
  <w:abstractNum w:abstractNumId="130">
    <w:nsid w:val="4E0B9A87"/>
    <w:multiLevelType w:val="hybridMultilevel"/>
    <w:lvl w:ilvl="0">
      <w:lvlJc w:val="left"/>
      <w:lvlText w:val="(%1)"/>
      <w:numFmt w:val="lowerRoman"/>
      <w:start w:val="2"/>
    </w:lvl>
  </w:abstractNum>
  <w:abstractNum w:abstractNumId="131">
    <w:nsid w:val="434BAE75"/>
    <w:multiLevelType w:val="hybridMultilevel"/>
    <w:lvl w:ilvl="0">
      <w:lvlJc w:val="left"/>
      <w:lvlText w:val="(%1)"/>
      <w:numFmt w:val="lowerLetter"/>
      <w:start w:val="1"/>
    </w:lvl>
  </w:abstractNum>
  <w:abstractNum w:abstractNumId="132">
    <w:nsid w:val="4F38F265"/>
    <w:multiLevelType w:val="hybridMultilevel"/>
    <w:lvl w:ilvl="0">
      <w:lvlJc w:val="left"/>
      <w:lvlText w:val="(%1)"/>
      <w:numFmt w:val="lowerLetter"/>
      <w:start w:val="1"/>
    </w:lvl>
  </w:abstractNum>
  <w:abstractNum w:abstractNumId="133">
    <w:nsid w:val="4C502870"/>
    <w:multiLevelType w:val="hybridMultilevel"/>
    <w:lvl w:ilvl="0">
      <w:lvlJc w:val="left"/>
      <w:lvlText w:val="(%1)"/>
      <w:numFmt w:val="lowerLetter"/>
      <w:start w:val="2"/>
    </w:lvl>
  </w:abstractNum>
  <w:abstractNum w:abstractNumId="134">
    <w:nsid w:val="1DE8725A"/>
    <w:multiLevelType w:val="hybridMultilevel"/>
    <w:lvl w:ilvl="0">
      <w:lvlJc w:val="left"/>
      <w:lvlText w:val="."/>
      <w:numFmt w:val="bullet"/>
      <w:start w:val="1"/>
    </w:lvl>
  </w:abstractNum>
  <w:abstractNum w:abstractNumId="135">
    <w:nsid w:val="6A37288A"/>
    <w:multiLevelType w:val="hybridMultilevel"/>
    <w:lvl w:ilvl="0">
      <w:lvlJc w:val="left"/>
      <w:lvlText w:val="."/>
      <w:numFmt w:val="bullet"/>
      <w:start w:val="1"/>
    </w:lvl>
  </w:abstractNum>
  <w:abstractNum w:abstractNumId="136">
    <w:nsid w:val="8F8B73F"/>
    <w:multiLevelType w:val="hybridMultilevel"/>
    <w:lvl w:ilvl="0">
      <w:lvlJc w:val="left"/>
      <w:lvlText w:val="."/>
      <w:numFmt w:val="bullet"/>
      <w:start w:val="1"/>
    </w:lvl>
  </w:abstractNum>
  <w:abstractNum w:abstractNumId="137">
    <w:nsid w:val="CA6B462"/>
    <w:multiLevelType w:val="hybridMultilevel"/>
    <w:lvl w:ilvl="0">
      <w:lvlJc w:val="left"/>
      <w:lvlText w:val="."/>
      <w:numFmt w:val="bullet"/>
      <w:start w:val="1"/>
    </w:lvl>
    <w:lvl w:ilvl="1">
      <w:lvlJc w:val="left"/>
      <w:lvlText w:val="(%2)"/>
      <w:numFmt w:val="lowerLetter"/>
      <w:start w:val="1"/>
    </w:lvl>
  </w:abstractNum>
  <w:abstractNum w:abstractNumId="138">
    <w:nsid w:val="763CB680"/>
    <w:multiLevelType w:val="hybridMultilevel"/>
    <w:lvl w:ilvl="0">
      <w:lvlJc w:val="left"/>
      <w:lvlText w:val="(%1)"/>
      <w:numFmt w:val="lowerLetter"/>
      <w:start w:val="4"/>
    </w:lvl>
  </w:abstractNum>
  <w:abstractNum w:abstractNumId="139">
    <w:nsid w:val="15B71329"/>
    <w:multiLevelType w:val="hybridMultilevel"/>
    <w:lvl w:ilvl="0">
      <w:lvlJc w:val="left"/>
      <w:lvlText w:val="."/>
      <w:numFmt w:val="bullet"/>
      <w:start w:val="1"/>
    </w:lvl>
  </w:abstractNum>
  <w:abstractNum w:abstractNumId="140">
    <w:nsid w:val="3DA97044"/>
    <w:multiLevelType w:val="hybridMultilevel"/>
    <w:lvl w:ilvl="0">
      <w:lvlJc w:val="left"/>
      <w:lvlText w:val="(%1)"/>
      <w:numFmt w:val="lowerLetter"/>
      <w:start w:val="1"/>
    </w:lvl>
  </w:abstractNum>
  <w:abstractNum w:abstractNumId="141">
    <w:nsid w:val="1CDCE2DE"/>
    <w:multiLevelType w:val="hybridMultilevel"/>
    <w:lvl w:ilvl="0">
      <w:lvlJc w:val="left"/>
      <w:lvlText w:val="(%1)"/>
      <w:numFmt w:val="lowerLetter"/>
      <w:start w:val="1"/>
    </w:lvl>
  </w:abstractNum>
  <w:abstractNum w:abstractNumId="142">
    <w:nsid w:val="69D3947C"/>
    <w:multiLevelType w:val="hybridMultilevel"/>
    <w:lvl w:ilvl="0">
      <w:lvlJc w:val="left"/>
      <w:lvlText w:val="."/>
      <w:numFmt w:val="bullet"/>
      <w:start w:val="1"/>
    </w:lvl>
  </w:abstractNum>
  <w:abstractNum w:abstractNumId="143">
    <w:nsid w:val="2539DFA5"/>
    <w:multiLevelType w:val="hybridMultilevel"/>
    <w:lvl w:ilvl="0">
      <w:lvlJc w:val="left"/>
      <w:lvlText w:val="."/>
      <w:numFmt w:val="bullet"/>
      <w:start w:val="1"/>
    </w:lvl>
  </w:abstractNum>
  <w:abstractNum w:abstractNumId="144">
    <w:nsid w:val="2DB88089"/>
    <w:multiLevelType w:val="hybridMultilevel"/>
    <w:lvl w:ilvl="0">
      <w:lvlJc w:val="left"/>
      <w:lvlText w:val="."/>
      <w:numFmt w:val="bullet"/>
      <w:start w:val="1"/>
    </w:lvl>
  </w:abstractNum>
  <w:abstractNum w:abstractNumId="145">
    <w:nsid w:val="706B674E"/>
    <w:multiLevelType w:val="hybridMultilevel"/>
    <w:lvl w:ilvl="0">
      <w:lvlJc w:val="left"/>
      <w:lvlText w:val="."/>
      <w:numFmt w:val="bullet"/>
      <w:start w:val="1"/>
    </w:lvl>
  </w:abstractNum>
  <w:abstractNum w:abstractNumId="146">
    <w:nsid w:val="2C106A57"/>
    <w:multiLevelType w:val="hybridMultilevel"/>
    <w:lvl w:ilvl="0">
      <w:lvlJc w:val="left"/>
      <w:lvlText w:val="."/>
      <w:numFmt w:val="bullet"/>
      <w:start w:val="1"/>
    </w:lvl>
  </w:abstractNum>
  <w:abstractNum w:abstractNumId="147">
    <w:nsid w:val="684EED59"/>
    <w:multiLevelType w:val="hybridMultilevel"/>
    <w:lvl w:ilvl="0">
      <w:lvlJc w:val="left"/>
      <w:lvlText w:val="(%1)"/>
      <w:numFmt w:val="lowerRoman"/>
      <w:start w:val="3"/>
    </w:lvl>
    <w:lvl w:ilvl="1">
      <w:lvlJc w:val="left"/>
      <w:lvlText w:val="."/>
      <w:numFmt w:val="bullet"/>
      <w:start w:val="1"/>
    </w:lvl>
  </w:abstractNum>
  <w:abstractNum w:abstractNumId="148">
    <w:nsid w:val="545EE5D3"/>
    <w:multiLevelType w:val="hybridMultilevel"/>
    <w:lvl w:ilvl="0">
      <w:lvlJc w:val="left"/>
      <w:lvlText w:val="."/>
      <w:numFmt w:val="bullet"/>
      <w:start w:val="1"/>
    </w:lvl>
  </w:abstractNum>
  <w:abstractNum w:abstractNumId="149">
    <w:nsid w:val="4A66051"/>
    <w:multiLevelType w:val="hybridMultilevel"/>
    <w:lvl w:ilvl="0">
      <w:lvlJc w:val="left"/>
      <w:lvlText w:val="."/>
      <w:numFmt w:val="bullet"/>
      <w:start w:val="1"/>
    </w:lvl>
  </w:abstractNum>
  <w:abstractNum w:abstractNumId="150">
    <w:nsid w:val="20F4BDAD"/>
    <w:multiLevelType w:val="hybridMultilevel"/>
    <w:lvl w:ilvl="0">
      <w:lvlJc w:val="left"/>
      <w:lvlText w:val="(%1)"/>
      <w:numFmt w:val="lowerLetter"/>
      <w:start w:val="1"/>
    </w:lvl>
  </w:abstractNum>
  <w:abstractNum w:abstractNumId="151">
    <w:nsid w:val="639DEFAC"/>
    <w:multiLevelType w:val="hybridMultilevel"/>
    <w:lvl w:ilvl="0">
      <w:lvlJc w:val="left"/>
      <w:lvlText w:val="."/>
      <w:numFmt w:val="bullet"/>
      <w:start w:val="1"/>
    </w:lvl>
  </w:abstractNum>
  <w:abstractNum w:abstractNumId="152">
    <w:nsid w:val="501F9786"/>
    <w:multiLevelType w:val="hybridMultilevel"/>
    <w:lvl w:ilvl="0">
      <w:lvlJc w:val="left"/>
      <w:lvlText w:val="(%1)"/>
      <w:numFmt w:val="lowerLetter"/>
      <w:start w:val="1"/>
    </w:lvl>
  </w:abstractNum>
  <w:abstractNum w:abstractNumId="153">
    <w:nsid w:val="6B057295"/>
    <w:multiLevelType w:val="hybridMultilevel"/>
    <w:lvl w:ilvl="0">
      <w:lvlJc w:val="left"/>
      <w:lvlText w:val="(%1)"/>
      <w:numFmt w:val="lowerLetter"/>
      <w:start w:val="6"/>
    </w:lvl>
  </w:abstractNum>
  <w:abstractNum w:abstractNumId="154">
    <w:nsid w:val="2771AC80"/>
    <w:multiLevelType w:val="hybridMultilevel"/>
    <w:lvl w:ilvl="0">
      <w:lvlJc w:val="left"/>
      <w:lvlText w:val="."/>
      <w:numFmt w:val="bullet"/>
      <w:start w:val="1"/>
    </w:lvl>
    <w:lvl w:ilvl="1">
      <w:lvlJc w:val="left"/>
      <w:lvlText w:val="(%2)"/>
      <w:numFmt w:val="lowerLetter"/>
      <w:start w:val="1"/>
    </w:lvl>
  </w:abstractNum>
  <w:abstractNum w:abstractNumId="155">
    <w:nsid w:val="1C4A08EC"/>
    <w:multiLevelType w:val="hybridMultilevel"/>
    <w:lvl w:ilvl="0">
      <w:lvlJc w:val="left"/>
      <w:lvlText w:val="(%1)"/>
      <w:numFmt w:val="lowerLetter"/>
      <w:start w:val="4"/>
    </w:lvl>
  </w:abstractNum>
  <w:abstractNum w:abstractNumId="156">
    <w:nsid w:val="1958BD17"/>
    <w:multiLevelType w:val="hybridMultilevel"/>
    <w:lvl w:ilvl="0">
      <w:lvlJc w:val="left"/>
      <w:lvlText w:val="(%1)"/>
      <w:numFmt w:val="lowerLetter"/>
      <w:start w:val="7"/>
    </w:lvl>
    <w:lvl w:ilvl="1">
      <w:lvlJc w:val="left"/>
      <w:lvlText w:val="(%2)"/>
      <w:numFmt w:val="lowerRoman"/>
      <w:start w:val="1"/>
    </w:lvl>
  </w:abstractNum>
  <w:abstractNum w:abstractNumId="157">
    <w:nsid w:val="4E647FE4"/>
    <w:multiLevelType w:val="hybridMultilevel"/>
    <w:lvl w:ilvl="0">
      <w:lvlJc w:val="left"/>
      <w:lvlText w:val="%1"/>
      <w:numFmt w:val="lowerLetter"/>
      <w:start w:val="1"/>
    </w:lvl>
    <w:lvl w:ilvl="1">
      <w:lvlJc w:val="left"/>
      <w:lvlText w:val="(%2)"/>
      <w:numFmt w:val="lowerRoman"/>
      <w:start w:val="7"/>
    </w:lvl>
  </w:abstractNum>
  <w:abstractNum w:abstractNumId="158">
    <w:nsid w:val="E0BB885"/>
    <w:multiLevelType w:val="hybridMultilevel"/>
    <w:lvl w:ilvl="0">
      <w:lvlJc w:val="left"/>
      <w:lvlText w:val="(%1)"/>
      <w:numFmt w:val="lowerLetter"/>
      <w:start w:val="9"/>
    </w:lvl>
    <w:lvl w:ilvl="1">
      <w:lvlJc w:val="left"/>
      <w:lvlText w:val="%2"/>
      <w:numFmt w:val="lowerRoman"/>
      <w:start w:val="1"/>
    </w:lvl>
  </w:abstractNum>
  <w:abstractNum w:abstractNumId="159">
    <w:nsid w:val="565976F1"/>
    <w:multiLevelType w:val="hybridMultilevel"/>
    <w:lvl w:ilvl="0">
      <w:lvlJc w:val="left"/>
      <w:lvlText w:val="."/>
      <w:numFmt w:val="bullet"/>
      <w:start w:val="1"/>
    </w:lvl>
  </w:abstractNum>
  <w:abstractNum w:abstractNumId="160">
    <w:nsid w:val="64212B8C"/>
    <w:multiLevelType w:val="hybridMultilevel"/>
    <w:lvl w:ilvl="0">
      <w:lvlJc w:val="left"/>
      <w:lvlText w:val="(%1)"/>
      <w:numFmt w:val="decimal"/>
      <w:start w:val="29"/>
    </w:lvl>
    <w:lvl w:ilvl="1">
      <w:lvlJc w:val="left"/>
      <w:lvlText w:val="."/>
      <w:numFmt w:val="bullet"/>
      <w:start w:val="1"/>
    </w:lvl>
  </w:abstractNum>
  <w:abstractNum w:abstractNumId="161">
    <w:nsid w:val="5C17530C"/>
    <w:multiLevelType w:val="hybridMultilevel"/>
    <w:lvl w:ilvl="0">
      <w:lvlJc w:val="left"/>
      <w:lvlText w:val="."/>
      <w:numFmt w:val="bullet"/>
      <w:start w:val="1"/>
    </w:lvl>
  </w:abstractNum>
  <w:abstractNum w:abstractNumId="162">
    <w:nsid w:val="19A52566"/>
    <w:multiLevelType w:val="hybridMultilevel"/>
    <w:lvl w:ilvl="0">
      <w:lvlJc w:val="left"/>
      <w:lvlText w:val="(%1)"/>
      <w:numFmt w:val="lowerLetter"/>
      <w:start w:val="1"/>
    </w:lvl>
  </w:abstractNum>
  <w:abstractNum w:abstractNumId="163">
    <w:nsid w:val="335A1DF1"/>
    <w:multiLevelType w:val="hybridMultilevel"/>
    <w:lvl w:ilvl="0">
      <w:lvlJc w:val="left"/>
      <w:lvlText w:val="(%1)"/>
      <w:numFmt w:val="lowerLetter"/>
      <w:start w:val="1"/>
    </w:lvl>
  </w:abstractNum>
  <w:abstractNum w:abstractNumId="164">
    <w:nsid w:val="28677B7C"/>
    <w:multiLevelType w:val="hybridMultilevel"/>
    <w:lvl w:ilvl="0">
      <w:lvlJc w:val="left"/>
      <w:lvlText w:val="."/>
      <w:numFmt w:val="bullet"/>
      <w:start w:val="1"/>
    </w:lvl>
  </w:abstractNum>
  <w:abstractNum w:abstractNumId="165">
    <w:nsid w:val="378D97C0"/>
    <w:multiLevelType w:val="hybridMultilevel"/>
    <w:lvl w:ilvl="0">
      <w:lvlJc w:val="left"/>
      <w:lvlText w:val="."/>
      <w:numFmt w:val="bullet"/>
      <w:start w:val="1"/>
    </w:lvl>
  </w:abstractNum>
  <w:abstractNum w:abstractNumId="166">
    <w:nsid w:val="1D91467C"/>
    <w:multiLevelType w:val="hybridMultilevel"/>
    <w:lvl w:ilvl="0">
      <w:lvlJc w:val="left"/>
      <w:lvlText w:val="(%1)"/>
      <w:numFmt w:val="lowerRoman"/>
      <w:start w:val="2"/>
    </w:lvl>
  </w:abstractNum>
  <w:abstractNum w:abstractNumId="167">
    <w:nsid w:val="316032BB"/>
    <w:multiLevelType w:val="hybridMultilevel"/>
    <w:lvl w:ilvl="0">
      <w:lvlJc w:val="left"/>
      <w:lvlText w:val="(%1)"/>
      <w:numFmt w:val="lowerLetter"/>
      <w:start w:val="1"/>
    </w:lvl>
  </w:abstractNum>
  <w:abstractNum w:abstractNumId="168">
    <w:nsid w:val="44344C22"/>
    <w:multiLevelType w:val="hybridMultilevel"/>
    <w:lvl w:ilvl="0">
      <w:lvlJc w:val="left"/>
      <w:lvlText w:val="(%1)"/>
      <w:numFmt w:val="lowerLetter"/>
      <w:start w:val="1"/>
    </w:lvl>
  </w:abstractNum>
  <w:abstractNum w:abstractNumId="169">
    <w:nsid w:val="13CDFCFC"/>
    <w:multiLevelType w:val="hybridMultilevel"/>
    <w:lvl w:ilvl="0">
      <w:lvlJc w:val="left"/>
      <w:lvlText w:val="(%1)"/>
      <w:numFmt w:val="lowerLetter"/>
      <w:start w:val="35"/>
    </w:lvl>
    <w:lvl w:ilvl="1">
      <w:lvlJc w:val="left"/>
      <w:lvlText w:val="(%2)"/>
      <w:numFmt w:val="lowerLetter"/>
      <w:start w:val="2"/>
    </w:lvl>
  </w:abstractNum>
  <w:abstractNum w:abstractNumId="170">
    <w:nsid w:val="471745E4"/>
    <w:multiLevelType w:val="hybridMultilevel"/>
    <w:lvl w:ilvl="0">
      <w:lvlJc w:val="left"/>
      <w:lvlText w:val="(%1)"/>
      <w:numFmt w:val="lowerLetter"/>
      <w:start w:val="1"/>
    </w:lvl>
    <w:lvl w:ilvl="1">
      <w:lvlJc w:val="left"/>
      <w:lvlText w:val="(%2)"/>
      <w:numFmt w:val="lowerRoman"/>
      <w:start w:val="1"/>
    </w:lvl>
  </w:abstractNum>
  <w:abstractNum w:abstractNumId="171">
    <w:nsid w:val="1DDBC66"/>
    <w:multiLevelType w:val="hybridMultilevel"/>
    <w:lvl w:ilvl="0">
      <w:lvlJc w:val="left"/>
      <w:lvlText w:val="(%1)"/>
      <w:numFmt w:val="lowerRoman"/>
      <w:start w:val="4"/>
    </w:lvl>
  </w:abstractNum>
  <w:abstractNum w:abstractNumId="172">
    <w:nsid w:val="30AADFDA"/>
    <w:multiLevelType w:val="hybridMultilevel"/>
    <w:lvl w:ilvl="0">
      <w:lvlJc w:val="left"/>
      <w:lvlText w:val="(%1)"/>
      <w:numFmt w:val="lowerLetter"/>
      <w:start w:val="1"/>
    </w:lvl>
  </w:abstractNum>
  <w:abstractNum w:abstractNumId="173">
    <w:nsid w:val="30EADA61"/>
    <w:multiLevelType w:val="hybridMultilevel"/>
    <w:lvl w:ilvl="0">
      <w:lvlJc w:val="left"/>
      <w:lvlText w:val="(%1)"/>
      <w:numFmt w:val="lowerLetter"/>
      <w:start w:val="1"/>
    </w:lvl>
  </w:abstractNum>
  <w:abstractNum w:abstractNumId="174">
    <w:nsid w:val="27179C0B"/>
    <w:multiLevelType w:val="hybridMultilevel"/>
    <w:lvl w:ilvl="0">
      <w:lvlJc w:val="left"/>
      <w:lvlText w:val="(%1)"/>
      <w:numFmt w:val="lowerLetter"/>
      <w:start w:val="1"/>
    </w:lvl>
    <w:lvl w:ilvl="1">
      <w:lvlJc w:val="left"/>
      <w:lvlText w:val="(%2)"/>
      <w:numFmt w:val="lowerRoman"/>
      <w:start w:val="1"/>
    </w:lvl>
  </w:abstractNum>
  <w:abstractNum w:abstractNumId="175">
    <w:nsid w:val="5E636063"/>
    <w:multiLevelType w:val="hybridMultilevel"/>
    <w:lvl w:ilvl="0">
      <w:lvlJc w:val="left"/>
      <w:lvlText w:val="(%1)"/>
      <w:numFmt w:val="lowerLetter"/>
      <w:start w:val="1"/>
    </w:lvl>
  </w:abstractNum>
  <w:abstractNum w:abstractNumId="176">
    <w:nsid w:val="215641AF"/>
    <w:multiLevelType w:val="hybridMultilevel"/>
    <w:lvl w:ilvl="0">
      <w:lvlJc w:val="left"/>
      <w:lvlText w:val="."/>
      <w:numFmt w:val="bullet"/>
      <w:start w:val="1"/>
    </w:lvl>
    <w:lvl w:ilvl="1">
      <w:lvlJc w:val="left"/>
      <w:lvlText w:val="(%2)"/>
      <w:numFmt w:val="lowerLetter"/>
      <w:start w:val="1"/>
    </w:lvl>
  </w:abstractNum>
  <w:abstractNum w:abstractNumId="177">
    <w:nsid w:val="53280662"/>
    <w:multiLevelType w:val="hybridMultilevel"/>
    <w:lvl w:ilvl="0">
      <w:lvlJc w:val="left"/>
      <w:lvlText w:val="(%1)"/>
      <w:numFmt w:val="lowerLetter"/>
      <w:start w:val="4"/>
    </w:lvl>
  </w:abstractNum>
  <w:abstractNum w:abstractNumId="178">
    <w:nsid w:val="46B24DBC"/>
    <w:multiLevelType w:val="hybridMultilevel"/>
    <w:lvl w:ilvl="0">
      <w:lvlJc w:val="left"/>
      <w:lvlText w:val="(%1)"/>
      <w:numFmt w:val="lowerLetter"/>
      <w:start w:val="12"/>
    </w:lvl>
  </w:abstractNum>
  <w:abstractNum w:abstractNumId="179">
    <w:nsid w:val="75B52783"/>
    <w:multiLevelType w:val="hybridMultilevel"/>
    <w:lvl w:ilvl="0">
      <w:lvlJc w:val="left"/>
      <w:lvlText w:val="(%1)"/>
      <w:numFmt w:val="lowerLetter"/>
      <w:start w:val="22"/>
    </w:lvl>
  </w:abstractNum>
  <w:abstractNum w:abstractNumId="180">
    <w:nsid w:val="57CE66B4"/>
    <w:multiLevelType w:val="hybridMultilevel"/>
    <w:lvl w:ilvl="0">
      <w:lvlJc w:val="left"/>
      <w:lvlText w:val="."/>
      <w:numFmt w:val="bullet"/>
      <w:start w:val="1"/>
    </w:lvl>
    <w:lvl w:ilvl="1">
      <w:lvlJc w:val="left"/>
      <w:lvlText w:val="(%2)"/>
      <w:numFmt w:val="lowerLetter"/>
      <w:start w:val="1"/>
    </w:lvl>
  </w:abstractNum>
  <w:abstractNum w:abstractNumId="181">
    <w:nsid w:val="67A70B69"/>
    <w:multiLevelType w:val="hybridMultilevel"/>
    <w:lvl w:ilvl="0">
      <w:lvlJc w:val="left"/>
      <w:lvlText w:val="(%1)"/>
      <w:numFmt w:val="lowerLetter"/>
      <w:start w:val="5"/>
    </w:lvl>
  </w:abstractNum>
  <w:abstractNum w:abstractNumId="182">
    <w:nsid w:val="5953172F"/>
    <w:multiLevelType w:val="hybridMultilevel"/>
    <w:lvl w:ilvl="0">
      <w:lvlJc w:val="left"/>
      <w:lvlText w:val="(%1)"/>
      <w:numFmt w:val="lowerLetter"/>
      <w:start w:val="13"/>
    </w:lvl>
  </w:abstractNum>
  <w:abstractNum w:abstractNumId="183">
    <w:nsid w:val="27EDFE3A"/>
    <w:multiLevelType w:val="hybridMultilevel"/>
    <w:lvl w:ilvl="0">
      <w:lvlJc w:val="left"/>
      <w:lvlText w:val="(%1)"/>
      <w:numFmt w:val="lowerLetter"/>
      <w:start w:val="21"/>
    </w:lvl>
  </w:abstractNum>
  <w:abstractNum w:abstractNumId="184">
    <w:nsid w:val="52AC7DFF"/>
    <w:multiLevelType w:val="hybridMultilevel"/>
    <w:lvl w:ilvl="0">
      <w:lvlJc w:val="left"/>
      <w:lvlText w:val="(%1)"/>
      <w:numFmt w:val="lowerLetter"/>
      <w:start w:val="1"/>
    </w:lvl>
    <w:lvl w:ilvl="1">
      <w:lvlJc w:val="left"/>
      <w:lvlText w:val="(%2)"/>
      <w:numFmt w:val="lowerRoman"/>
      <w:start w:val="1"/>
    </w:lvl>
  </w:abstractNum>
  <w:abstractNum w:abstractNumId="185">
    <w:nsid w:val="C4C3AF"/>
    <w:multiLevelType w:val="hybridMultilevel"/>
    <w:lvl w:ilvl="0">
      <w:lvlJc w:val="left"/>
      <w:lvlText w:val="%1"/>
      <w:numFmt w:val="lowerLetter"/>
      <w:start w:val="1"/>
    </w:lvl>
    <w:lvl w:ilvl="1">
      <w:lvlJc w:val="left"/>
      <w:lvlText w:val="(%2)"/>
      <w:numFmt w:val="lowerRoman"/>
      <w:start w:val="4"/>
    </w:lvl>
  </w:abstractNum>
  <w:abstractNum w:abstractNumId="186">
    <w:nsid w:val="44380727"/>
    <w:multiLevelType w:val="hybridMultilevel"/>
    <w:lvl w:ilvl="0">
      <w:lvlJc w:val="left"/>
      <w:lvlText w:val="(%1)"/>
      <w:numFmt w:val="lowerLetter"/>
      <w:start w:val="3"/>
    </w:lvl>
    <w:lvl w:ilvl="1">
      <w:lvlJc w:val="left"/>
      <w:lvlText w:val="%2"/>
      <w:numFmt w:val="lowerRoman"/>
      <w:start w:val="1"/>
    </w:lvl>
  </w:abstractNum>
  <w:abstractNum w:abstractNumId="187">
    <w:nsid w:val="6C053B16"/>
    <w:multiLevelType w:val="hybridMultilevel"/>
    <w:lvl w:ilvl="0">
      <w:lvlJc w:val="left"/>
      <w:lvlText w:val="(%1)"/>
      <w:numFmt w:val="lowerLetter"/>
      <w:start w:val="1"/>
    </w:lvl>
  </w:abstractNum>
  <w:abstractNum w:abstractNumId="188">
    <w:nsid w:val="4F294393"/>
    <w:multiLevelType w:val="hybridMultilevel"/>
    <w:lvl w:ilvl="0">
      <w:lvlJc w:val="left"/>
      <w:lvlText w:val="%1"/>
      <w:numFmt w:val="lowerLetter"/>
      <w:start w:val="1"/>
    </w:lvl>
    <w:lvl w:ilvl="1">
      <w:lvlJc w:val="left"/>
      <w:lvlText w:val="(%2)"/>
      <w:numFmt w:val="lowerLetter"/>
      <w:start w:val="4"/>
    </w:lvl>
  </w:abstractNum>
  <w:abstractNum w:abstractNumId="189">
    <w:nsid w:val="5243BFAC"/>
    <w:multiLevelType w:val="hybridMultilevel"/>
    <w:lvl w:ilvl="0">
      <w:lvlJc w:val="left"/>
      <w:lvlText w:val="(%1)"/>
      <w:numFmt w:val="lowerLetter"/>
      <w:start w:val="35"/>
    </w:lvl>
    <w:lvl w:ilvl="1">
      <w:lvlJc w:val="left"/>
      <w:lvlText w:val="%2"/>
      <w:numFmt w:val="lowerLetter"/>
      <w:start w:val="1"/>
    </w:lvl>
  </w:abstractNum>
  <w:abstractNum w:abstractNumId="190">
    <w:nsid w:val="425EB207"/>
    <w:multiLevelType w:val="hybridMultilevel"/>
    <w:lvl w:ilvl="0">
      <w:lvlJc w:val="left"/>
      <w:lvlText w:val="(%1)"/>
      <w:numFmt w:val="lowerLetter"/>
      <w:start w:val="18"/>
    </w:lvl>
    <w:lvl w:ilvl="1">
      <w:lvlJc w:val="left"/>
      <w:lvlText w:val="(%2)"/>
      <w:numFmt w:val="lowerRoman"/>
      <w:start w:val="1"/>
    </w:lvl>
  </w:abstractNum>
  <w:abstractNum w:abstractNumId="191">
    <w:nsid w:val="334A6F1F"/>
    <w:multiLevelType w:val="hybridMultilevel"/>
    <w:lvl w:ilvl="0">
      <w:lvlJc w:val="left"/>
      <w:lvlText w:val="(%1)"/>
      <w:numFmt w:val="lowerLetter"/>
      <w:start w:val="1"/>
    </w:lvl>
  </w:abstractNum>
  <w:abstractNum w:abstractNumId="192">
    <w:nsid w:val="2E5B12B8"/>
    <w:multiLevelType w:val="hybridMultilevel"/>
    <w:lvl w:ilvl="0">
      <w:lvlJc w:val="left"/>
      <w:lvlText w:val="(%1)"/>
      <w:numFmt w:val="lowerLetter"/>
      <w:start w:val="7"/>
    </w:lvl>
    <w:lvl w:ilvl="1">
      <w:lvlJc w:val="left"/>
      <w:lvlText w:val="(%2)"/>
      <w:numFmt w:val="lowerRoman"/>
      <w:start w:val="1"/>
    </w:lvl>
  </w:abstractNum>
  <w:abstractNum w:abstractNumId="193">
    <w:nsid w:val="5C03D76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4">
    <w:nsid w:val="66A48D11"/>
    <w:multiLevelType w:val="hybridMultilevel"/>
    <w:lvl w:ilvl="0">
      <w:lvlJc w:val="left"/>
      <w:lvlText w:val="."/>
      <w:numFmt w:val="bullet"/>
      <w:start w:val="1"/>
    </w:lvl>
  </w:abstractNum>
  <w:abstractNum w:abstractNumId="195">
    <w:nsid w:val="56C28E34"/>
    <w:multiLevelType w:val="hybridMultilevel"/>
    <w:lvl w:ilvl="0">
      <w:lvlJc w:val="left"/>
      <w:lvlText w:val="."/>
      <w:numFmt w:val="bullet"/>
      <w:start w:val="1"/>
    </w:lvl>
  </w:abstractNum>
  <w:abstractNum w:abstractNumId="196">
    <w:nsid w:val="13916F2D"/>
    <w:multiLevelType w:val="hybridMultilevel"/>
    <w:lvl w:ilvl="0">
      <w:lvlJc w:val="left"/>
      <w:lvlText w:val="."/>
      <w:numFmt w:val="bullet"/>
      <w:start w:val="1"/>
    </w:lvl>
  </w:abstractNum>
  <w:abstractNum w:abstractNumId="197">
    <w:nsid w:val="435D38D"/>
    <w:multiLevelType w:val="hybridMultilevel"/>
    <w:lvl w:ilvl="0">
      <w:lvlJc w:val="left"/>
      <w:lvlText w:val="."/>
      <w:numFmt w:val="bullet"/>
      <w:start w:val="1"/>
    </w:lvl>
    <w:lvl w:ilvl="1">
      <w:lvlJc w:val="left"/>
      <w:lvlText w:val="(%2)"/>
      <w:numFmt w:val="lowerLetter"/>
      <w:start w:val="1"/>
    </w:lvl>
  </w:abstractNum>
  <w:abstractNum w:abstractNumId="198">
    <w:nsid w:val="822C0EF"/>
    <w:multiLevelType w:val="hybridMultilevel"/>
    <w:lvl w:ilvl="0">
      <w:lvlJc w:val="left"/>
      <w:lvlText w:val="(%1)"/>
      <w:numFmt w:val="lowerRoman"/>
      <w:start w:val="10"/>
    </w:lvl>
  </w:abstractNum>
  <w:abstractNum w:abstractNumId="199">
    <w:nsid w:val="57C5BB4F"/>
    <w:multiLevelType w:val="hybridMultilevel"/>
    <w:lvl w:ilvl="0">
      <w:lvlJc w:val="left"/>
      <w:lvlText w:val="."/>
      <w:numFmt w:val="bullet"/>
      <w:start w:val="1"/>
    </w:lvl>
    <w:lvl w:ilvl="1">
      <w:lvlJc w:val="left"/>
      <w:lvlText w:val="(%2)"/>
      <w:numFmt w:val="lowerLetter"/>
      <w:start w:val="1"/>
    </w:lvl>
  </w:abstractNum>
  <w:abstractNum w:abstractNumId="200">
    <w:nsid w:val="1803D089"/>
    <w:multiLevelType w:val="hybridMultilevel"/>
    <w:lvl w:ilvl="0">
      <w:lvlJc w:val="left"/>
      <w:lvlText w:val="(%1)"/>
      <w:numFmt w:val="lowerLetter"/>
      <w:start w:val="1"/>
    </w:lvl>
  </w:abstractNum>
  <w:abstractNum w:abstractNumId="201">
    <w:nsid w:val="4F3A06D4"/>
    <w:multiLevelType w:val="hybridMultilevel"/>
    <w:lvl w:ilvl="0">
      <w:lvlJc w:val="left"/>
      <w:lvlText w:val="(%1)"/>
      <w:numFmt w:val="lowerLetter"/>
      <w:start w:val="3"/>
    </w:lvl>
  </w:abstractNum>
  <w:abstractNum w:abstractNumId="202">
    <w:nsid w:val="59A377B6"/>
    <w:multiLevelType w:val="hybridMultilevel"/>
    <w:lvl w:ilvl="0">
      <w:lvlJc w:val="left"/>
      <w:lvlText w:val="."/>
      <w:numFmt w:val="bullet"/>
      <w:start w:val="1"/>
    </w:lvl>
  </w:abstractNum>
  <w:abstractNum w:abstractNumId="203">
    <w:nsid w:val="48AEB063"/>
    <w:multiLevelType w:val="hybridMultilevel"/>
    <w:lvl w:ilvl="0">
      <w:lvlJc w:val="left"/>
      <w:lvlText w:val="."/>
      <w:numFmt w:val="bullet"/>
      <w:start w:val="1"/>
    </w:lvl>
  </w:abstractNum>
  <w:abstractNum w:abstractNumId="204">
    <w:nsid w:val="24E135"/>
    <w:multiLevelType w:val="hybridMultilevel"/>
    <w:lvl w:ilvl="0">
      <w:lvlJc w:val="left"/>
      <w:lvlText w:val="(%1)"/>
      <w:numFmt w:val="lowerLetter"/>
      <w:start w:val="1"/>
    </w:lvl>
    <w:lvl w:ilvl="1">
      <w:lvlJc w:val="left"/>
      <w:lvlText w:val="(%2)"/>
      <w:numFmt w:val="lowerRoman"/>
      <w:start w:val="1"/>
    </w:lvl>
  </w:abstractNum>
  <w:abstractNum w:abstractNumId="205">
    <w:nsid w:val="BB13C1"/>
    <w:multiLevelType w:val="hybridMultilevel"/>
    <w:lvl w:ilvl="0">
      <w:lvlJc w:val="left"/>
      <w:lvlText w:val="(%1)"/>
      <w:numFmt w:val="lowerLetter"/>
      <w:start w:val="8"/>
    </w:lvl>
    <w:lvl w:ilvl="1">
      <w:lvlJc w:val="left"/>
      <w:lvlText w:val="(%2)"/>
      <w:numFmt w:val="lowerRoman"/>
      <w:start w:val="1"/>
    </w:lvl>
  </w:abstractNum>
  <w:abstractNum w:abstractNumId="206">
    <w:nsid w:val="271210C7"/>
    <w:multiLevelType w:val="hybridMultilevel"/>
    <w:lvl w:ilvl="0">
      <w:lvlJc w:val="left"/>
      <w:lvlText w:val="%1"/>
      <w:numFmt w:val="lowerLetter"/>
      <w:start w:val="1"/>
    </w:lvl>
    <w:lvl w:ilvl="1">
      <w:lvlJc w:val="left"/>
      <w:lvlText w:val="(%2)"/>
      <w:numFmt w:val="lowerRoman"/>
      <w:start w:val="3"/>
    </w:lvl>
  </w:abstractNum>
  <w:abstractNum w:abstractNumId="207">
    <w:nsid w:val="217B22E4"/>
    <w:multiLevelType w:val="hybridMultilevel"/>
    <w:lvl w:ilvl="0">
      <w:lvlJc w:val="left"/>
      <w:lvlText w:val="(%1)"/>
      <w:numFmt w:val="lowerLetter"/>
      <w:start w:val="12"/>
    </w:lvl>
    <w:lvl w:ilvl="1">
      <w:lvlJc w:val="left"/>
      <w:lvlText w:val="%2"/>
      <w:numFmt w:val="lowerRoman"/>
      <w:start w:val="1"/>
    </w:lvl>
  </w:abstractNum>
  <w:abstractNum w:abstractNumId="208">
    <w:nsid w:val="53E31A24"/>
    <w:multiLevelType w:val="hybridMultilevel"/>
    <w:lvl w:ilvl="0">
      <w:lvlJc w:val="left"/>
      <w:lvlText w:val="%1"/>
      <w:numFmt w:val="lowerLetter"/>
      <w:start w:val="1"/>
    </w:lvl>
    <w:lvl w:ilvl="1">
      <w:lvlJc w:val="left"/>
      <w:lvlText w:val="(%2)"/>
      <w:numFmt w:val="lowerLetter"/>
      <w:start w:val="1"/>
    </w:lvl>
  </w:abstractNum>
  <w:abstractNum w:abstractNumId="209">
    <w:nsid w:val="6DC45E83"/>
    <w:multiLevelType w:val="hybridMultilevel"/>
    <w:lvl w:ilvl="0">
      <w:lvlJc w:val="left"/>
      <w:lvlText w:val="(%1)"/>
      <w:numFmt w:val="lowerLetter"/>
      <w:start w:val="24"/>
    </w:lvl>
    <w:lvl w:ilvl="1">
      <w:lvlJc w:val="left"/>
      <w:lvlText w:val="(%2)"/>
      <w:numFmt w:val="lowerLetter"/>
      <w:start w:val="3"/>
    </w:lvl>
  </w:abstractNum>
  <w:abstractNum w:abstractNumId="210">
    <w:nsid w:val="17304A67"/>
    <w:multiLevelType w:val="hybridMultilevel"/>
    <w:lvl w:ilvl="0">
      <w:lvlJc w:val="left"/>
      <w:lvlText w:val="(%1)"/>
      <w:numFmt w:val="lowerLetter"/>
      <w:start w:val="4"/>
    </w:lvl>
  </w:abstractNum>
  <w:abstractNum w:abstractNumId="211">
    <w:nsid w:val="2BB180D8"/>
    <w:multiLevelType w:val="hybridMultilevel"/>
    <w:lvl w:ilvl="0">
      <w:lvlJc w:val="left"/>
      <w:lvlText w:val="(%1)"/>
      <w:numFmt w:val="lowerLetter"/>
      <w:start w:val="5"/>
    </w:lvl>
  </w:abstractNum>
  <w:abstractNum w:abstractNumId="212">
    <w:nsid w:val="556B69ED"/>
    <w:multiLevelType w:val="hybridMultilevel"/>
    <w:lvl w:ilvl="0">
      <w:lvlJc w:val="left"/>
      <w:lvlText w:val="(%1)"/>
      <w:numFmt w:val="lowerLetter"/>
      <w:start w:val="1"/>
    </w:lvl>
  </w:abstractNum>
  <w:abstractNum w:abstractNumId="213">
    <w:nsid w:val="70836196"/>
    <w:multiLevelType w:val="hybridMultilevel"/>
    <w:lvl w:ilvl="0">
      <w:lvlJc w:val="left"/>
      <w:lvlText w:val="(%1)"/>
      <w:numFmt w:val="lowerLetter"/>
      <w:start w:val="3"/>
    </w:lvl>
  </w:abstractNum>
  <w:abstractNum w:abstractNumId="214">
    <w:nsid w:val="539F7F12"/>
    <w:multiLevelType w:val="hybridMultilevel"/>
    <w:lvl w:ilvl="0">
      <w:lvlJc w:val="left"/>
      <w:lvlText w:val="."/>
      <w:numFmt w:val="bullet"/>
      <w:start w:val="1"/>
    </w:lvl>
  </w:abstractNum>
  <w:abstractNum w:abstractNumId="215">
    <w:nsid w:val="2817E7EC"/>
    <w:multiLevelType w:val="hybridMultilevel"/>
    <w:lvl w:ilvl="0">
      <w:lvlJc w:val="left"/>
      <w:lvlText w:val="."/>
      <w:numFmt w:val="bullet"/>
      <w:start w:val="1"/>
    </w:lvl>
  </w:abstractNum>
  <w:abstractNum w:abstractNumId="216">
    <w:nsid w:val="71482545"/>
    <w:multiLevelType w:val="hybridMultilevel"/>
    <w:lvl w:ilvl="0">
      <w:lvlJc w:val="left"/>
      <w:lvlText w:val="."/>
      <w:numFmt w:val="bullet"/>
      <w:start w:val="1"/>
    </w:lvl>
  </w:abstractNum>
  <w:abstractNum w:abstractNumId="217">
    <w:nsid w:val="17D78639"/>
    <w:multiLevelType w:val="hybridMultilevel"/>
    <w:lvl w:ilvl="0">
      <w:lvlJc w:val="left"/>
      <w:lvlText w:val="."/>
      <w:numFmt w:val="bullet"/>
      <w:start w:val="1"/>
    </w:lvl>
  </w:abstractNum>
  <w:abstractNum w:abstractNumId="218">
    <w:nsid w:val="141D2302"/>
    <w:multiLevelType w:val="hybridMultilevel"/>
    <w:lvl w:ilvl="0">
      <w:lvlJc w:val="left"/>
      <w:lvlText w:val="."/>
      <w:numFmt w:val="bullet"/>
      <w:start w:val="1"/>
    </w:lvl>
  </w:abstractNum>
  <w:abstractNum w:abstractNumId="219">
    <w:nsid w:val="407168D8"/>
    <w:multiLevelType w:val="hybridMultilevel"/>
    <w:lvl w:ilvl="0">
      <w:lvlJc w:val="left"/>
      <w:lvlText w:val="."/>
      <w:numFmt w:val="bullet"/>
      <w:start w:val="1"/>
    </w:lvl>
  </w:abstractNum>
  <w:abstractNum w:abstractNumId="220">
    <w:nsid w:val="6A1B45E5"/>
    <w:multiLevelType w:val="hybridMultilevel"/>
    <w:lvl w:ilvl="0">
      <w:lvlJc w:val="left"/>
      <w:lvlText w:val="(%1)"/>
      <w:numFmt w:val="lowerLetter"/>
      <w:start w:val="1"/>
    </w:lvl>
  </w:abstractNum>
  <w:abstractNum w:abstractNumId="221">
    <w:nsid w:val="567BD50A"/>
    <w:multiLevelType w:val="hybridMultilevel"/>
    <w:lvl w:ilvl="0">
      <w:lvlJc w:val="left"/>
      <w:lvlText w:val="."/>
      <w:numFmt w:val="bullet"/>
      <w:start w:val="1"/>
    </w:lvl>
  </w:abstractNum>
  <w:abstractNum w:abstractNumId="222">
    <w:nsid w:val="73BBD7F8"/>
    <w:multiLevelType w:val="hybridMultilevel"/>
    <w:lvl w:ilvl="0">
      <w:lvlJc w:val="left"/>
      <w:lvlText w:val="."/>
      <w:numFmt w:val="bullet"/>
      <w:start w:val="1"/>
    </w:lvl>
  </w:abstractNum>
  <w:abstractNum w:abstractNumId="223">
    <w:nsid w:val="1876589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4">
    <w:nsid w:val="327FAC7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25">
    <w:nsid w:val="5A60650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26">
    <w:nsid w:val="6F38E6D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7">
    <w:nsid w:val="46111BA5"/>
    <w:multiLevelType w:val="hybridMultilevel"/>
    <w:lvl w:ilvl="0">
      <w:lvlJc w:val="left"/>
      <w:lvlText w:val="(%1)"/>
      <w:numFmt w:val="lowerLetter"/>
      <w:start w:val="1"/>
    </w:lvl>
  </w:abstractNum>
  <w:abstractNum w:abstractNumId="228">
    <w:nsid w:val="5E963896"/>
    <w:multiLevelType w:val="hybridMultilevel"/>
    <w:lvl w:ilvl="0">
      <w:lvlJc w:val="left"/>
      <w:lvlText w:val="(%1)"/>
      <w:numFmt w:val="lowerRoman"/>
      <w:start w:val="1"/>
    </w:lvl>
  </w:abstractNum>
  <w:abstractNum w:abstractNumId="229">
    <w:nsid w:val="775BA7C1"/>
    <w:multiLevelType w:val="hybridMultilevel"/>
    <w:lvl w:ilvl="0">
      <w:lvlJc w:val="left"/>
      <w:lvlText w:val="(%1)"/>
      <w:numFmt w:val="lowerRoman"/>
      <w:start w:val="2"/>
    </w:lvl>
  </w:abstractNum>
  <w:abstractNum w:abstractNumId="230">
    <w:nsid w:val="1DD6D6F4"/>
    <w:multiLevelType w:val="hybridMultilevel"/>
    <w:lvl w:ilvl="0">
      <w:lvlJc w:val="left"/>
      <w:lvlText w:val="&amp;"/>
      <w:numFmt w:val="bullet"/>
      <w:start w:val="1"/>
    </w:lvl>
  </w:abstractNum>
  <w:abstractNum w:abstractNumId="231">
    <w:nsid w:val="769A091F"/>
    <w:multiLevelType w:val="hybridMultilevel"/>
    <w:lvl w:ilvl="0">
      <w:lvlJc w:val="left"/>
      <w:lvlText w:val="%1"/>
      <w:numFmt w:val="decimal"/>
      <w:start w:val="767"/>
    </w:lvl>
  </w:abstractNum>
  <w:abstractNum w:abstractNumId="232">
    <w:nsid w:val="4695AE95"/>
    <w:multiLevelType w:val="hybridMultilevel"/>
    <w:lvl w:ilvl="0">
      <w:lvlJc w:val="left"/>
      <w:lvlText w:val="(%1)"/>
      <w:numFmt w:val="lowerRoman"/>
      <w:start w:val="3"/>
    </w:lvl>
  </w:abstractNum>
  <w:abstractNum w:abstractNumId="233">
    <w:nsid w:val="777A4EAA"/>
    <w:multiLevelType w:val="hybridMultilevel"/>
    <w:lvl w:ilvl="0">
      <w:lvlJc w:val="left"/>
      <w:lvlText w:val="(%1)"/>
      <w:numFmt w:val="lowerLetter"/>
      <w:start w:val="2"/>
    </w:lvl>
  </w:abstractNum>
  <w:abstractNum w:abstractNumId="234">
    <w:nsid w:val="3F48B982"/>
    <w:multiLevelType w:val="hybridMultilevel"/>
    <w:lvl w:ilvl="0">
      <w:lvlJc w:val="left"/>
      <w:lvlText w:val="."/>
      <w:numFmt w:val="bullet"/>
      <w:start w:val="1"/>
    </w:lvl>
  </w:abstractNum>
  <w:abstractNum w:abstractNumId="235">
    <w:nsid w:val="46BA8FCA"/>
    <w:multiLevelType w:val="hybridMultilevel"/>
    <w:lvl w:ilvl="0">
      <w:lvlJc w:val="left"/>
      <w:lvlText w:val="."/>
      <w:numFmt w:val="bullet"/>
      <w:start w:val="1"/>
    </w:lvl>
  </w:abstractNum>
  <w:abstractNum w:abstractNumId="236">
    <w:nsid w:val="7835626C"/>
    <w:multiLevelType w:val="hybridMultilevel"/>
    <w:lvl w:ilvl="0">
      <w:lvlJc w:val="left"/>
      <w:lvlText w:val="."/>
      <w:numFmt w:val="bullet"/>
      <w:start w:val="1"/>
    </w:lvl>
  </w:abstractNum>
  <w:abstractNum w:abstractNumId="237">
    <w:nsid w:val="665ACA49"/>
    <w:multiLevelType w:val="hybridMultilevel"/>
    <w:lvl w:ilvl="0">
      <w:lvlJc w:val="left"/>
      <w:lvlText w:val="(%1)"/>
      <w:numFmt w:val="lowerLetter"/>
      <w:start w:val="1"/>
    </w:lvl>
  </w:abstractNum>
  <w:abstractNum w:abstractNumId="238">
    <w:nsid w:val="6835B2A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9">
    <w:nsid w:val="4C187C90"/>
    <w:multiLevelType w:val="hybridMultilevel"/>
    <w:lvl w:ilvl="0">
      <w:lvlJc w:val="left"/>
      <w:lvlText w:val="%1"/>
      <w:numFmt w:val="lowerRoman"/>
      <w:start w:val="1"/>
    </w:lvl>
    <w:lvl w:ilvl="1">
      <w:lvlJc w:val="left"/>
      <w:lvlText w:val="(%2)"/>
      <w:numFmt w:val="upperLetter"/>
      <w:start w:val="2"/>
    </w:lvl>
  </w:abstractNum>
  <w:abstractNum w:abstractNumId="240">
    <w:nsid w:val="541F28CD"/>
    <w:multiLevelType w:val="hybridMultilevel"/>
    <w:lvl w:ilvl="0">
      <w:lvlJc w:val="left"/>
      <w:lvlText w:val="(%1)"/>
      <w:numFmt w:val="lowerRoman"/>
      <w:start w:val="3"/>
    </w:lvl>
    <w:lvl w:ilvl="1">
      <w:lvlJc w:val="left"/>
      <w:lvlText w:val="%2"/>
      <w:numFmt w:val="upperLetter"/>
      <w:start w:val="1"/>
    </w:lvl>
  </w:abstractNum>
  <w:abstractNum w:abstractNumId="241">
    <w:nsid w:val="7F65FD16"/>
    <w:multiLevelType w:val="hybridMultilevel"/>
    <w:lvl w:ilvl="0">
      <w:lvlJc w:val="left"/>
      <w:lvlText w:val="(%1)"/>
      <w:numFmt w:val="lowerRoman"/>
      <w:start w:val="4"/>
    </w:lvl>
  </w:abstractNum>
  <w:abstractNum w:abstractNumId="242">
    <w:nsid w:val="77C9FD68"/>
    <w:multiLevelType w:val="hybridMultilevel"/>
    <w:lvl w:ilvl="0">
      <w:lvlJc w:val="left"/>
      <w:lvlText w:val="%1"/>
      <w:numFmt w:val="lowerLetter"/>
      <w:start w:val="1"/>
    </w:lvl>
    <w:lvl w:ilvl="1">
      <w:lvlJc w:val="left"/>
      <w:lvlText w:val="(%2)"/>
      <w:numFmt w:val="lowerRoman"/>
      <w:start w:val="7"/>
    </w:lvl>
  </w:abstractNum>
  <w:abstractNum w:abstractNumId="243">
    <w:nsid w:val="298A92BA"/>
    <w:multiLevelType w:val="hybridMultilevel"/>
    <w:lvl w:ilvl="0">
      <w:lvlJc w:val="left"/>
      <w:lvlText w:val="(%1)"/>
      <w:numFmt w:val="lowerLetter"/>
      <w:start w:val="3"/>
    </w:lvl>
    <w:lvl w:ilvl="1">
      <w:lvlJc w:val="left"/>
      <w:lvlText w:val="(%2)"/>
      <w:numFmt w:val="lowerRoman"/>
      <w:start w:val="1"/>
    </w:lvl>
  </w:abstractNum>
  <w:abstractNum w:abstractNumId="244">
    <w:nsid w:val="6FE95EAC"/>
    <w:multiLevelType w:val="hybridMultilevel"/>
    <w:lvl w:ilvl="0">
      <w:lvlJc w:val="left"/>
      <w:lvlText w:val="%1"/>
      <w:numFmt w:val="lowerLetter"/>
      <w:start w:val="1"/>
    </w:lvl>
    <w:lvl w:ilvl="1">
      <w:lvlJc w:val="left"/>
      <w:lvlText w:val="(%2)"/>
      <w:numFmt w:val="lowerLetter"/>
      <w:start w:val="61"/>
    </w:lvl>
  </w:abstractNum>
  <w:abstractNum w:abstractNumId="245">
    <w:nsid w:val="4B697C7A"/>
    <w:multiLevelType w:val="hybridMultilevel"/>
    <w:lvl w:ilvl="0">
      <w:lvlJc w:val="left"/>
      <w:lvlText w:val="(%1)"/>
      <w:numFmt w:val="lowerLetter"/>
      <w:start w:val="4"/>
    </w:lvl>
    <w:lvl w:ilvl="1">
      <w:lvlJc w:val="left"/>
      <w:lvlText w:val="%2"/>
      <w:numFmt w:val="lowerLetter"/>
      <w:start w:val="1"/>
    </w:lvl>
  </w:abstractNum>
  <w:abstractNum w:abstractNumId="246">
    <w:nsid w:val="51A27AA6"/>
    <w:multiLevelType w:val="hybridMultilevel"/>
    <w:lvl w:ilvl="0">
      <w:lvlJc w:val="left"/>
      <w:lvlText w:val="(%1)"/>
      <w:numFmt w:val="lowerLetter"/>
      <w:start w:val="1"/>
    </w:lvl>
  </w:abstractNum>
  <w:abstractNum w:abstractNumId="247">
    <w:nsid w:val="613183F2"/>
    <w:multiLevelType w:val="hybridMultilevel"/>
    <w:lvl w:ilvl="0">
      <w:lvlJc w:val="left"/>
      <w:lvlText w:val="(%1)"/>
      <w:numFmt w:val="lowerLetter"/>
      <w:start w:val="3"/>
    </w:lvl>
  </w:abstractNum>
  <w:abstractNum w:abstractNumId="248">
    <w:nsid w:val="634102B4"/>
    <w:multiLevelType w:val="hybridMultilevel"/>
    <w:lvl w:ilvl="0">
      <w:lvlJc w:val="left"/>
      <w:lvlText w:val="(%1)"/>
      <w:numFmt w:val="lowerLetter"/>
      <w:start w:val="1"/>
    </w:lvl>
  </w:abstractNum>
  <w:abstractNum w:abstractNumId="249">
    <w:nsid w:val="65BF9DA8"/>
    <w:multiLevelType w:val="hybridMultilevel"/>
    <w:lvl w:ilvl="0">
      <w:lvlJc w:val="left"/>
      <w:lvlText w:val="."/>
      <w:numFmt w:val="bullet"/>
      <w:start w:val="1"/>
    </w:lvl>
  </w:abstractNum>
  <w:abstractNum w:abstractNumId="250">
    <w:nsid w:val="21A2ECCA"/>
    <w:multiLevelType w:val="hybridMultilevel"/>
    <w:lvl w:ilvl="0">
      <w:lvlJc w:val="left"/>
      <w:lvlText w:val="."/>
      <w:numFmt w:val="bullet"/>
      <w:start w:val="1"/>
    </w:lvl>
  </w:abstractNum>
  <w:abstractNum w:abstractNumId="251">
    <w:nsid w:val="4D5C4899"/>
    <w:multiLevelType w:val="hybridMultilevel"/>
    <w:lvl w:ilvl="0">
      <w:lvlJc w:val="left"/>
      <w:lvlText w:val="(%1)"/>
      <w:numFmt w:val="lowerLetter"/>
      <w:start w:val="1"/>
    </w:lvl>
  </w:abstractNum>
  <w:abstractNum w:abstractNumId="252">
    <w:nsid w:val="3C3B72B2"/>
    <w:multiLevelType w:val="hybridMultilevel"/>
    <w:lvl w:ilvl="0">
      <w:lvlJc w:val="left"/>
      <w:lvlText w:val="(%1)"/>
      <w:numFmt w:val="lowerLetter"/>
      <w:start w:val="1"/>
    </w:lvl>
    <w:lvl w:ilvl="1">
      <w:lvlJc w:val="left"/>
      <w:lvlText w:val="(%2)"/>
      <w:numFmt w:val="lowerRoman"/>
      <w:start w:val="1"/>
    </w:lvl>
  </w:abstractNum>
  <w:abstractNum w:abstractNumId="253">
    <w:nsid w:val="155EC4C2"/>
    <w:multiLevelType w:val="hybridMultilevel"/>
    <w:lvl w:ilvl="0">
      <w:lvlJc w:val="left"/>
      <w:lvlText w:val="(%1)"/>
      <w:numFmt w:val="lowerLetter"/>
      <w:start w:val="8"/>
    </w:lvl>
  </w:abstractNum>
  <w:abstractNum w:abstractNumId="254">
    <w:nsid w:val="65D2A137"/>
    <w:multiLevelType w:val="hybridMultilevel"/>
    <w:lvl w:ilvl="0">
      <w:lvlJc w:val="left"/>
      <w:lvlText w:val="(%1)"/>
      <w:numFmt w:val="lowerLetter"/>
      <w:start w:val="1"/>
    </w:lvl>
    <w:lvl w:ilvl="1">
      <w:lvlJc w:val="left"/>
      <w:lvlText w:val="(%2)"/>
      <w:numFmt w:val="lowerRoman"/>
      <w:start w:val="1"/>
    </w:lvl>
  </w:abstractNum>
  <w:abstractNum w:abstractNumId="255">
    <w:nsid w:val="6EBB1F2A"/>
    <w:multiLevelType w:val="hybridMultilevel"/>
    <w:lvl w:ilvl="0">
      <w:lvlJc w:val="left"/>
      <w:lvlText w:val="(%1)"/>
      <w:numFmt w:val="lowerLetter"/>
      <w:start w:val="2"/>
    </w:lvl>
  </w:abstractNum>
  <w:abstractNum w:abstractNumId="256">
    <w:nsid w:val="6FBF29CB"/>
    <w:multiLevelType w:val="hybridMultilevel"/>
    <w:lvl w:ilvl="0">
      <w:lvlJc w:val="left"/>
      <w:lvlText w:val="%1"/>
      <w:numFmt w:val="upperLetter"/>
      <w:start w:val="1"/>
    </w:lvl>
    <w:lvl w:ilvl="1">
      <w:lvlJc w:val="left"/>
      <w:lvlText w:val="."/>
      <w:numFmt w:val="bullet"/>
      <w:start w:val="1"/>
    </w:lvl>
  </w:abstractNum>
  <w:abstractNum w:abstractNumId="257">
    <w:nsid w:val="550B8808"/>
    <w:multiLevelType w:val="hybridMultilevel"/>
    <w:lvl w:ilvl="0">
      <w:lvlJc w:val="left"/>
      <w:lvlText w:val="."/>
      <w:numFmt w:val="bullet"/>
      <w:start w:val="1"/>
    </w:lvl>
  </w:abstractNum>
  <w:abstractNum w:abstractNumId="258">
    <w:nsid w:val="34CC3ACF"/>
    <w:multiLevelType w:val="hybridMultilevel"/>
    <w:lvl w:ilvl="0">
      <w:lvlJc w:val="left"/>
      <w:lvlText w:val="."/>
      <w:numFmt w:val="bullet"/>
      <w:start w:val="1"/>
    </w:lvl>
  </w:abstractNum>
  <w:abstractNum w:abstractNumId="259">
    <w:nsid w:val="4E556261"/>
    <w:multiLevelType w:val="hybridMultilevel"/>
    <w:lvl w:ilvl="0">
      <w:lvlJc w:val="left"/>
      <w:lvlText w:val="."/>
      <w:numFmt w:val="bullet"/>
      <w:start w:val="1"/>
    </w:lvl>
  </w:abstractNum>
  <w:abstractNum w:abstractNumId="260">
    <w:nsid w:val="4C672FC9"/>
    <w:multiLevelType w:val="hybridMultilevel"/>
    <w:lvl w:ilvl="0">
      <w:lvlJc w:val="left"/>
      <w:lvlText w:val="(%1)"/>
      <w:numFmt w:val="lowerLetter"/>
      <w:start w:val="1"/>
    </w:lvl>
  </w:abstractNum>
  <w:abstractNum w:abstractNumId="261">
    <w:nsid w:val="52A311C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62">
    <w:nsid w:val="44EF6B80"/>
    <w:multiLevelType w:val="hybridMultilevel"/>
    <w:lvl w:ilvl="0">
      <w:lvlJc w:val="left"/>
      <w:lvlText w:val="(%1)"/>
      <w:numFmt w:val="lowerRoman"/>
      <w:start w:val="3"/>
    </w:lvl>
  </w:abstractNum>
  <w:abstractNum w:abstractNumId="263">
    <w:nsid w:val="12FCDE5E"/>
    <w:multiLevelType w:val="hybridMultilevel"/>
    <w:lvl w:ilvl="0">
      <w:lvlJc w:val="left"/>
      <w:lvlText w:val="."/>
      <w:numFmt w:val="bullet"/>
      <w:start w:val="1"/>
    </w:lvl>
    <w:lvl w:ilvl="1">
      <w:lvlJc w:val="left"/>
      <w:lvlText w:val="(%2)"/>
      <w:numFmt w:val="lowerLetter"/>
      <w:start w:val="1"/>
    </w:lvl>
  </w:abstractNum>
  <w:abstractNum w:abstractNumId="264">
    <w:nsid w:val="4A1D606E"/>
    <w:multiLevelType w:val="hybridMultilevel"/>
    <w:lvl w:ilvl="0">
      <w:lvlJc w:val="left"/>
      <w:lvlText w:val="(%1)"/>
      <w:numFmt w:val="lowerLetter"/>
      <w:start w:val="3"/>
    </w:lvl>
  </w:abstractNum>
  <w:abstractNum w:abstractNumId="265">
    <w:nsid w:val="4382503"/>
    <w:multiLevelType w:val="hybridMultilevel"/>
    <w:lvl w:ilvl="0">
      <w:lvlJc w:val="left"/>
      <w:lvlText w:val="."/>
      <w:numFmt w:val="bullet"/>
      <w:start w:val="1"/>
    </w:lvl>
  </w:abstractNum>
  <w:abstractNum w:abstractNumId="266">
    <w:nsid w:val="59B76E28"/>
    <w:multiLevelType w:val="hybridMultilevel"/>
    <w:lvl w:ilvl="0">
      <w:lvlJc w:val="left"/>
      <w:lvlText w:val="."/>
      <w:numFmt w:val="bullet"/>
      <w:start w:val="1"/>
    </w:lvl>
  </w:abstractNum>
  <w:abstractNum w:abstractNumId="267">
    <w:nsid w:val="4252C2DA"/>
    <w:multiLevelType w:val="hybridMultilevel"/>
    <w:lvl w:ilvl="0">
      <w:lvlJc w:val="left"/>
      <w:lvlText w:val="(%1)"/>
      <w:numFmt w:val="upperLetter"/>
      <w:start w:val="34"/>
    </w:lvl>
    <w:lvl w:ilvl="1">
      <w:lvlJc w:val="left"/>
      <w:lvlText w:val="."/>
      <w:numFmt w:val="bullet"/>
      <w:start w:val="1"/>
    </w:lvl>
  </w:abstractNum>
  <w:abstractNum w:abstractNumId="268">
    <w:nsid w:val="6A92EF4C"/>
    <w:multiLevelType w:val="hybridMultilevel"/>
    <w:lvl w:ilvl="0">
      <w:lvlJc w:val="left"/>
      <w:lvlText w:val="(%1)"/>
      <w:numFmt w:val="upperLetter"/>
      <w:start w:val="61"/>
    </w:lvl>
    <w:lvl w:ilvl="1">
      <w:lvlJc w:val="left"/>
      <w:lvlText w:val="."/>
      <w:numFmt w:val="bullet"/>
      <w:start w:val="1"/>
    </w:lvl>
  </w:abstractNum>
  <w:abstractNum w:abstractNumId="269">
    <w:nsid w:val="41ED20D7"/>
    <w:multiLevelType w:val="hybridMultilevel"/>
    <w:lvl w:ilvl="0">
      <w:lvlJc w:val="left"/>
      <w:lvlText w:val="%1"/>
      <w:numFmt w:val="decimal"/>
      <w:start w:val="1"/>
    </w:lvl>
    <w:lvl w:ilvl="1">
      <w:lvlJc w:val="left"/>
      <w:lvlText w:val="%2."/>
      <w:numFmt w:val="decimal"/>
      <w:start w:val="1"/>
    </w:lvl>
  </w:abstractNum>
  <w:abstractNum w:abstractNumId="270">
    <w:nsid w:val="E6B3F6A"/>
    <w:multiLevelType w:val="hybridMultilevel"/>
    <w:lvl w:ilvl="0">
      <w:lvlJc w:val="left"/>
      <w:lvlText w:val="%1."/>
      <w:numFmt w:val="decimal"/>
      <w:start w:val="2"/>
    </w:lvl>
    <w:lvl w:ilvl="1">
      <w:lvlJc w:val="left"/>
      <w:lvlText w:val="%2"/>
      <w:numFmt w:val="decimal"/>
      <w:start w:val="1"/>
    </w:lvl>
  </w:abstractNum>
  <w:abstractNum w:abstractNumId="271">
    <w:nsid w:val="3EB21819"/>
    <w:multiLevelType w:val="hybridMultilevel"/>
    <w:lvl w:ilvl="0">
      <w:lvlJc w:val="left"/>
      <w:lvlText w:val="(%1)"/>
      <w:numFmt w:val="lowerLetter"/>
      <w:start w:val="1"/>
    </w:lvl>
  </w:abstractNum>
  <w:abstractNum w:abstractNumId="272">
    <w:nsid w:val="41531DED"/>
    <w:multiLevelType w:val="hybridMultilevel"/>
    <w:lvl w:ilvl="0">
      <w:lvlJc w:val="left"/>
      <w:lvlText w:val="%1."/>
      <w:numFmt w:val="decimal"/>
      <w:start w:val="5"/>
    </w:lvl>
  </w:abstractNum>
  <w:abstractNum w:abstractNumId="273">
    <w:nsid w:val="6353CD2"/>
    <w:multiLevelType w:val="hybridMultilevel"/>
    <w:lvl w:ilvl="0">
      <w:lvlJc w:val="left"/>
      <w:lvlText w:val="(%1)"/>
      <w:numFmt w:val="lowerLetter"/>
      <w:start w:val="1"/>
    </w:lvl>
  </w:abstractNum>
  <w:abstractNum w:abstractNumId="274">
    <w:nsid w:val="683CAAD3"/>
    <w:multiLevelType w:val="hybridMultilevel"/>
    <w:lvl w:ilvl="0">
      <w:lvlJc w:val="left"/>
      <w:lvlText w:val="%1."/>
      <w:numFmt w:val="decimal"/>
      <w:start w:val="1"/>
    </w:lvl>
    <w:lvl w:ilvl="1">
      <w:lvlJc w:val="left"/>
      <w:lvlText w:val="%2."/>
      <w:numFmt w:val="decimal"/>
      <w:start w:val="2"/>
    </w:lvl>
  </w:abstractNum>
  <w:abstractNum w:abstractNumId="275">
    <w:nsid w:val="313C7C99"/>
    <w:multiLevelType w:val="hybridMultilevel"/>
    <w:lvl w:ilvl="0">
      <w:lvlJc w:val="left"/>
      <w:lvlText w:val="(%1)"/>
      <w:numFmt w:val="lowerLetter"/>
      <w:start w:val="1"/>
    </w:lvl>
  </w:abstractNum>
  <w:abstractNum w:abstractNumId="276">
    <w:nsid w:val="519EB94C"/>
    <w:multiLevelType w:val="hybridMultilevel"/>
    <w:lvl w:ilvl="0">
      <w:lvlJc w:val="left"/>
      <w:lvlText w:val="%1."/>
      <w:numFmt w:val="decimal"/>
      <w:start w:val="5"/>
    </w:lvl>
  </w:abstractNum>
  <w:abstractNum w:abstractNumId="277">
    <w:nsid w:val="39DF2579"/>
    <w:multiLevelType w:val="hybridMultilevel"/>
    <w:lvl w:ilvl="0">
      <w:lvlJc w:val="left"/>
      <w:lvlText w:val="(%1)"/>
      <w:numFmt w:val="lowerLetter"/>
      <w:start w:val="1"/>
    </w:lvl>
  </w:abstractNum>
  <w:abstractNum w:abstractNumId="278">
    <w:nsid w:val="126E008B"/>
    <w:multiLevelType w:val="hybridMultilevel"/>
    <w:lvl w:ilvl="0">
      <w:lvlJc w:val="left"/>
      <w:lvlText w:val="(%1)"/>
      <w:numFmt w:val="decimal"/>
      <w:start w:val="1"/>
    </w:lvl>
  </w:abstractNum>
  <w:abstractNum w:abstractNumId="279">
    <w:nsid w:val="34DFBC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53" Type="http://schemas.openxmlformats.org/officeDocument/2006/relationships/hyperlink" Target="https://www.sec.gov/Archives/edgar/data/1376339/000137633923000033/ex31-articlesofincorporati.htm" TargetMode="External"/><Relationship Id="rId54" Type="http://schemas.openxmlformats.org/officeDocument/2006/relationships/hyperlink" Target="https://www.sec.gov/Archives/edgar/data/1376339/000137633923000033/ex101-mimedxxar2016equit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2023-08-01T15:14:51Z</dcterms:created>
  <dcterms:modified xsi:type="dcterms:W3CDTF">2023-08-01T15:14:51Z</dcterms:modified>
</cp:coreProperties>
</file>