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0001811814</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900"/>
        <w:gridCol w:w="4305"/>
      </w:tblGrid>
      <w:tr>
        <w:trPr/>
        <w:tc>
          <w:tcPr>
            <w:tcW w:w="5900" w:type="dxa"/>
            <w:tcBorders/>
            <w:shd w:fill="auto" w:val="clear"/>
            <w:vAlign w:val="center"/>
          </w:tcPr>
          <w:p>
            <w:pPr>
              <w:pStyle w:val="TableContents"/>
              <w:spacing w:before="0" w:after="283"/>
              <w:rPr/>
            </w:pPr>
            <w:r>
              <w:rPr/>
              <w:t>Name of Issuer</w:t>
            </w:r>
          </w:p>
        </w:tc>
        <w:tc>
          <w:tcPr>
            <w:tcW w:w="4305" w:type="dxa"/>
            <w:tcBorders/>
            <w:shd w:fill="auto" w:val="clear"/>
            <w:vAlign w:val="center"/>
          </w:tcPr>
          <w:p>
            <w:pPr>
              <w:pStyle w:val="TableContents"/>
              <w:spacing w:before="0" w:after="0"/>
              <w:rPr/>
            </w:pPr>
            <w:r>
              <w:rPr/>
              <w:t>MIMEDX GROUP, INC.</w:t>
            </w:r>
          </w:p>
        </w:tc>
      </w:tr>
      <w:tr>
        <w:trPr/>
        <w:tc>
          <w:tcPr>
            <w:tcW w:w="5900" w:type="dxa"/>
            <w:tcBorders/>
            <w:shd w:fill="auto" w:val="clear"/>
            <w:vAlign w:val="center"/>
          </w:tcPr>
          <w:p>
            <w:pPr>
              <w:pStyle w:val="TableContents"/>
              <w:spacing w:before="0" w:after="283"/>
              <w:rPr/>
            </w:pPr>
            <w:r>
              <w:rPr/>
              <w:t>SEC File Number</w:t>
            </w:r>
          </w:p>
        </w:tc>
        <w:tc>
          <w:tcPr>
            <w:tcW w:w="4305" w:type="dxa"/>
            <w:tcBorders/>
            <w:shd w:fill="auto" w:val="clear"/>
            <w:vAlign w:val="center"/>
          </w:tcPr>
          <w:p>
            <w:pPr>
              <w:pStyle w:val="TableContents"/>
              <w:spacing w:before="0" w:after="0"/>
              <w:rPr/>
            </w:pPr>
            <w:r>
              <w:rPr/>
              <w:t>001-35887</w:t>
            </w:r>
          </w:p>
        </w:tc>
      </w:tr>
      <w:tr>
        <w:trPr/>
        <w:tc>
          <w:tcPr>
            <w:tcW w:w="5900" w:type="dxa"/>
            <w:tcBorders/>
            <w:shd w:fill="auto" w:val="clear"/>
            <w:vAlign w:val="center"/>
          </w:tcPr>
          <w:p>
            <w:pPr>
              <w:pStyle w:val="TableContents"/>
              <w:spacing w:before="0" w:after="283"/>
              <w:rPr/>
            </w:pPr>
            <w:r>
              <w:rPr/>
              <w:t>Address of Issuer</w:t>
            </w:r>
          </w:p>
        </w:tc>
        <w:tc>
          <w:tcPr>
            <w:tcW w:w="4305" w:type="dxa"/>
            <w:tcBorders/>
            <w:shd w:fill="auto" w:val="clear"/>
            <w:vAlign w:val="center"/>
          </w:tcPr>
          <w:p>
            <w:pPr>
              <w:pStyle w:val="TableContents"/>
              <w:spacing w:before="0" w:after="0"/>
              <w:rPr/>
            </w:pPr>
            <w:r>
              <w:rPr/>
              <w:t>1775 W OAK COMMONS COURT, NE</w:t>
              <w:br/>
              <w:t>MARIETTA</w:t>
              <w:br/>
              <w:t xml:space="preserve">GEORGIA </w:t>
              <w:br/>
              <w:t>30062</w:t>
            </w:r>
          </w:p>
        </w:tc>
      </w:tr>
      <w:tr>
        <w:trPr/>
        <w:tc>
          <w:tcPr>
            <w:tcW w:w="5900" w:type="dxa"/>
            <w:tcBorders/>
            <w:shd w:fill="auto" w:val="clear"/>
            <w:vAlign w:val="center"/>
          </w:tcPr>
          <w:p>
            <w:pPr>
              <w:pStyle w:val="TableContents"/>
              <w:spacing w:before="0" w:after="283"/>
              <w:rPr/>
            </w:pPr>
            <w:r>
              <w:rPr/>
              <w:t>Phone</w:t>
            </w:r>
          </w:p>
        </w:tc>
        <w:tc>
          <w:tcPr>
            <w:tcW w:w="4305" w:type="dxa"/>
            <w:tcBorders/>
            <w:shd w:fill="auto" w:val="clear"/>
            <w:vAlign w:val="center"/>
          </w:tcPr>
          <w:p>
            <w:pPr>
              <w:pStyle w:val="TableContents"/>
              <w:spacing w:before="0" w:after="0"/>
              <w:rPr/>
            </w:pPr>
            <w:r>
              <w:rPr/>
              <w:t>(770) 651-9100</w:t>
            </w:r>
          </w:p>
        </w:tc>
      </w:tr>
      <w:tr>
        <w:trPr/>
        <w:tc>
          <w:tcPr>
            <w:tcW w:w="5900" w:type="dxa"/>
            <w:tcBorders/>
            <w:shd w:fill="auto" w:val="clear"/>
            <w:vAlign w:val="center"/>
          </w:tcPr>
          <w:p>
            <w:pPr>
              <w:pStyle w:val="TableContents"/>
              <w:spacing w:before="0" w:after="283"/>
              <w:rPr/>
            </w:pPr>
            <w:r>
              <w:rPr/>
              <w:t>Name of Person for Whose Account the Securities are To Be Sold</w:t>
            </w:r>
          </w:p>
        </w:tc>
        <w:tc>
          <w:tcPr>
            <w:tcW w:w="4305" w:type="dxa"/>
            <w:tcBorders/>
            <w:shd w:fill="auto" w:val="clear"/>
            <w:vAlign w:val="center"/>
          </w:tcPr>
          <w:p>
            <w:pPr>
              <w:pStyle w:val="TableContents"/>
              <w:spacing w:before="0" w:after="0"/>
              <w:rPr/>
            </w:pPr>
            <w:r>
              <w:rPr/>
              <w:t>Phelan William Lawrence</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shd w:fill="auto" w:val="clear"/>
            <w:vAlign w:val="center"/>
          </w:tcPr>
          <w:p>
            <w:pPr>
              <w:pStyle w:val="TableContents"/>
              <w:spacing w:before="0" w:after="283"/>
              <w:rPr/>
            </w:pPr>
            <w:r>
              <w:rPr/>
              <w:t>Relationship to Issuer</w:t>
            </w:r>
          </w:p>
        </w:tc>
        <w:tc>
          <w:tcPr>
            <w:tcW w:w="4305"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shd w:fill="auto" w:val="clear"/>
            <w:vAlign w:val="center"/>
          </w:tcPr>
          <w:p>
            <w:pPr>
              <w:pStyle w:val="TableHeading"/>
              <w:suppressLineNumbers/>
              <w:spacing w:before="0" w:after="283"/>
              <w:jc w:val="center"/>
              <w:rPr/>
            </w:pPr>
            <w:r>
              <w:rPr/>
              <w:t>Title of the Class of Securities To Be Sold</w:t>
            </w:r>
          </w:p>
        </w:tc>
        <w:tc>
          <w:tcPr>
            <w:tcW w:w="1555" w:type="dxa"/>
            <w:tcBorders/>
            <w:shd w:fill="auto" w:val="clear"/>
            <w:vAlign w:val="center"/>
          </w:tcPr>
          <w:p>
            <w:pPr>
              <w:pStyle w:val="TableHeading"/>
              <w:suppressLineNumbers/>
              <w:spacing w:before="0" w:after="283"/>
              <w:jc w:val="center"/>
              <w:rPr/>
            </w:pPr>
            <w:r>
              <w:rPr/>
              <w:t>Name and Address of the Broker</w:t>
            </w:r>
          </w:p>
        </w:tc>
        <w:tc>
          <w:tcPr>
            <w:tcW w:w="1168" w:type="dxa"/>
            <w:tcBorders/>
            <w:shd w:fill="auto" w:val="clear"/>
            <w:vAlign w:val="center"/>
          </w:tcPr>
          <w:p>
            <w:pPr>
              <w:pStyle w:val="TableHeading"/>
              <w:suppressLineNumbers/>
              <w:spacing w:before="0" w:after="283"/>
              <w:jc w:val="center"/>
              <w:rPr/>
            </w:pPr>
            <w:r>
              <w:rPr/>
              <w:t>Number of Shares or Other Units To Be Sold</w:t>
            </w:r>
          </w:p>
        </w:tc>
        <w:tc>
          <w:tcPr>
            <w:tcW w:w="1377" w:type="dxa"/>
            <w:tcBorders/>
            <w:shd w:fill="auto" w:val="clear"/>
            <w:vAlign w:val="center"/>
          </w:tcPr>
          <w:p>
            <w:pPr>
              <w:pStyle w:val="TableHeading"/>
              <w:suppressLineNumbers/>
              <w:spacing w:before="0" w:after="283"/>
              <w:jc w:val="center"/>
              <w:rPr/>
            </w:pPr>
            <w:r>
              <w:rPr/>
              <w:t>Aggregate Market Value</w:t>
            </w:r>
          </w:p>
        </w:tc>
        <w:tc>
          <w:tcPr>
            <w:tcW w:w="1552" w:type="dxa"/>
            <w:tcBorders/>
            <w:shd w:fill="auto" w:val="clear"/>
            <w:vAlign w:val="center"/>
          </w:tcPr>
          <w:p>
            <w:pPr>
              <w:pStyle w:val="TableHeading"/>
              <w:suppressLineNumbers/>
              <w:spacing w:before="0" w:after="283"/>
              <w:jc w:val="center"/>
              <w:rPr/>
            </w:pPr>
            <w:r>
              <w:rPr/>
              <w:t>Number of Shares or Other Units Outstanding</w:t>
            </w:r>
          </w:p>
        </w:tc>
        <w:tc>
          <w:tcPr>
            <w:tcW w:w="1567" w:type="dxa"/>
            <w:tcBorders/>
            <w:shd w:fill="auto" w:val="clear"/>
            <w:vAlign w:val="center"/>
          </w:tcPr>
          <w:p>
            <w:pPr>
              <w:pStyle w:val="TableHeading"/>
              <w:suppressLineNumbers/>
              <w:spacing w:before="0" w:after="283"/>
              <w:jc w:val="center"/>
              <w:rPr/>
            </w:pPr>
            <w:r>
              <w:rPr/>
              <w:t>Approximate Date of Sale</w:t>
            </w:r>
          </w:p>
        </w:tc>
        <w:tc>
          <w:tcPr>
            <w:tcW w:w="1408" w:type="dxa"/>
            <w:tcBorders/>
            <w:shd w:fill="auto" w:val="clear"/>
            <w:vAlign w:val="center"/>
          </w:tcPr>
          <w:p>
            <w:pPr>
              <w:pStyle w:val="TableHeading"/>
              <w:suppressLineNumbers/>
              <w:spacing w:before="0" w:after="283"/>
              <w:jc w:val="center"/>
              <w:rPr/>
            </w:pPr>
            <w:r>
              <w:rPr/>
              <w:t>Name the Securities Exchange</w:t>
            </w:r>
          </w:p>
        </w:tc>
      </w:tr>
      <w:tr>
        <w:trPr/>
        <w:tc>
          <w:tcPr>
            <w:tcW w:w="1578" w:type="dxa"/>
            <w:tcBorders/>
            <w:shd w:fill="auto" w:val="clear"/>
            <w:vAlign w:val="center"/>
          </w:tcPr>
          <w:p>
            <w:pPr>
              <w:pStyle w:val="TableContents"/>
              <w:spacing w:before="0" w:after="283"/>
              <w:rPr/>
            </w:pPr>
            <w:r>
              <w:rPr/>
              <w:t>Common</w:t>
            </w:r>
          </w:p>
        </w:tc>
        <w:tc>
          <w:tcPr>
            <w:tcW w:w="1555" w:type="dxa"/>
            <w:tcBorders/>
            <w:shd w:fill="auto" w:val="clear"/>
            <w:vAlign w:val="center"/>
          </w:tcPr>
          <w:p>
            <w:pPr>
              <w:pStyle w:val="TableContents"/>
              <w:spacing w:before="0" w:after="0"/>
              <w:rPr/>
            </w:pPr>
            <w:r>
              <w:rPr/>
              <w:t>Fidelity Brokerage Services LLC</w:t>
              <w:br/>
              <w:t>900 Salem Street</w:t>
              <w:br/>
              <w:t>Smithfield   RI   02917</w:t>
            </w:r>
          </w:p>
        </w:tc>
        <w:tc>
          <w:tcPr>
            <w:tcW w:w="1168" w:type="dxa"/>
            <w:tcBorders/>
            <w:shd w:fill="auto" w:val="clear"/>
            <w:vAlign w:val="center"/>
          </w:tcPr>
          <w:p>
            <w:pPr>
              <w:pStyle w:val="TableContents"/>
              <w:spacing w:before="0" w:after="283"/>
              <w:rPr/>
            </w:pPr>
            <w:r>
              <w:rPr/>
              <w:t>1628</w:t>
            </w:r>
          </w:p>
        </w:tc>
        <w:tc>
          <w:tcPr>
            <w:tcW w:w="1377" w:type="dxa"/>
            <w:tcBorders/>
            <w:shd w:fill="auto" w:val="clear"/>
            <w:vAlign w:val="center"/>
          </w:tcPr>
          <w:p>
            <w:pPr>
              <w:pStyle w:val="TableContents"/>
              <w:spacing w:before="0" w:after="283"/>
              <w:rPr/>
            </w:pPr>
            <w:r>
              <w:rPr/>
              <w:t>6095.39</w:t>
            </w:r>
          </w:p>
        </w:tc>
        <w:tc>
          <w:tcPr>
            <w:tcW w:w="1552" w:type="dxa"/>
            <w:tcBorders/>
            <w:shd w:fill="auto" w:val="clear"/>
            <w:vAlign w:val="center"/>
          </w:tcPr>
          <w:p>
            <w:pPr>
              <w:pStyle w:val="TableContents"/>
              <w:spacing w:before="0" w:after="283"/>
              <w:rPr/>
            </w:pPr>
            <w:r>
              <w:rPr/>
              <w:t>114083096</w:t>
            </w:r>
          </w:p>
        </w:tc>
        <w:tc>
          <w:tcPr>
            <w:tcW w:w="1567" w:type="dxa"/>
            <w:tcBorders/>
            <w:shd w:fill="auto" w:val="clear"/>
            <w:vAlign w:val="center"/>
          </w:tcPr>
          <w:p>
            <w:pPr>
              <w:pStyle w:val="TableContents"/>
              <w:spacing w:before="0" w:after="283"/>
              <w:rPr/>
            </w:pPr>
            <w:r>
              <w:rPr/>
              <w:t>04/25/2023</w:t>
            </w:r>
          </w:p>
        </w:tc>
        <w:tc>
          <w:tcPr>
            <w:tcW w:w="1408"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shd w:fill="auto" w:val="clear"/>
            <w:vAlign w:val="center"/>
          </w:tcPr>
          <w:p>
            <w:pPr>
              <w:pStyle w:val="TableHeading"/>
              <w:suppressLineNumbers/>
              <w:spacing w:before="0" w:after="283"/>
              <w:jc w:val="center"/>
              <w:rPr/>
            </w:pPr>
            <w:r>
              <w:rPr/>
              <w:t>Title of the Class</w:t>
            </w:r>
          </w:p>
        </w:tc>
        <w:tc>
          <w:tcPr>
            <w:tcW w:w="1105" w:type="dxa"/>
            <w:tcBorders/>
            <w:shd w:fill="auto" w:val="clear"/>
            <w:vAlign w:val="center"/>
          </w:tcPr>
          <w:p>
            <w:pPr>
              <w:pStyle w:val="TableHeading"/>
              <w:suppressLineNumbers/>
              <w:spacing w:before="0" w:after="283"/>
              <w:jc w:val="center"/>
              <w:rPr/>
            </w:pPr>
            <w:r>
              <w:rPr/>
              <w:t>Date you Acquired</w:t>
            </w:r>
          </w:p>
        </w:tc>
        <w:tc>
          <w:tcPr>
            <w:tcW w:w="1430" w:type="dxa"/>
            <w:tcBorders/>
            <w:shd w:fill="auto" w:val="clear"/>
            <w:vAlign w:val="center"/>
          </w:tcPr>
          <w:p>
            <w:pPr>
              <w:pStyle w:val="TableHeading"/>
              <w:suppressLineNumbers/>
              <w:spacing w:before="0" w:after="283"/>
              <w:jc w:val="center"/>
              <w:rPr/>
            </w:pPr>
            <w:r>
              <w:rPr/>
              <w:t>Nature of Acquisition Transaction</w:t>
            </w:r>
          </w:p>
        </w:tc>
        <w:tc>
          <w:tcPr>
            <w:tcW w:w="1151" w:type="dxa"/>
            <w:tcBorders/>
            <w:shd w:fill="auto" w:val="clear"/>
            <w:vAlign w:val="center"/>
          </w:tcPr>
          <w:p>
            <w:pPr>
              <w:pStyle w:val="TableHeading"/>
              <w:suppressLineNumbers/>
              <w:spacing w:before="0" w:after="283"/>
              <w:jc w:val="center"/>
              <w:rPr/>
            </w:pPr>
            <w:r>
              <w:rPr/>
              <w:t>Name of Person from Whom Acquired</w:t>
            </w:r>
          </w:p>
        </w:tc>
        <w:tc>
          <w:tcPr>
            <w:tcW w:w="516" w:type="dxa"/>
            <w:tcBorders/>
            <w:shd w:fill="auto" w:val="clear"/>
            <w:vAlign w:val="center"/>
          </w:tcPr>
          <w:p>
            <w:pPr>
              <w:pStyle w:val="TableHeading"/>
              <w:suppressLineNumbers/>
              <w:spacing w:before="0" w:after="283"/>
              <w:jc w:val="center"/>
              <w:rPr/>
            </w:pPr>
            <w:r>
              <w:rPr/>
              <w:t>Is this a Gift?</w:t>
            </w:r>
          </w:p>
        </w:tc>
        <w:tc>
          <w:tcPr>
            <w:tcW w:w="1105" w:type="dxa"/>
            <w:tcBorders/>
            <w:shd w:fill="auto" w:val="clear"/>
            <w:vAlign w:val="center"/>
          </w:tcPr>
          <w:p>
            <w:pPr>
              <w:pStyle w:val="TableHeading"/>
              <w:suppressLineNumbers/>
              <w:spacing w:before="0" w:after="283"/>
              <w:jc w:val="center"/>
              <w:rPr/>
            </w:pPr>
            <w:r>
              <w:rPr/>
              <w:t>Date Donor Acquired</w:t>
            </w:r>
          </w:p>
        </w:tc>
        <w:tc>
          <w:tcPr>
            <w:tcW w:w="1150" w:type="dxa"/>
            <w:tcBorders/>
            <w:shd w:fill="auto" w:val="clear"/>
            <w:vAlign w:val="center"/>
          </w:tcPr>
          <w:p>
            <w:pPr>
              <w:pStyle w:val="TableHeading"/>
              <w:suppressLineNumbers/>
              <w:spacing w:before="0" w:after="283"/>
              <w:jc w:val="center"/>
              <w:rPr/>
            </w:pPr>
            <w:r>
              <w:rPr/>
              <w:t>Amount of Securities Acquired</w:t>
            </w:r>
          </w:p>
        </w:tc>
        <w:tc>
          <w:tcPr>
            <w:tcW w:w="1046" w:type="dxa"/>
            <w:tcBorders/>
            <w:shd w:fill="auto" w:val="clear"/>
            <w:vAlign w:val="center"/>
          </w:tcPr>
          <w:p>
            <w:pPr>
              <w:pStyle w:val="TableHeading"/>
              <w:suppressLineNumbers/>
              <w:spacing w:before="0" w:after="283"/>
              <w:jc w:val="center"/>
              <w:rPr/>
            </w:pPr>
            <w:r>
              <w:rPr/>
              <w:t>Date of Payment</w:t>
            </w:r>
          </w:p>
        </w:tc>
        <w:tc>
          <w:tcPr>
            <w:tcW w:w="1610"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092" w:type="dxa"/>
            <w:tcBorders/>
            <w:shd w:fill="auto" w:val="clear"/>
            <w:vAlign w:val="center"/>
          </w:tcPr>
          <w:p>
            <w:pPr>
              <w:pStyle w:val="TableContents"/>
              <w:spacing w:before="0" w:after="283"/>
              <w:rPr/>
            </w:pPr>
            <w:r>
              <w:rPr/>
              <w:t>Common</w:t>
            </w:r>
          </w:p>
        </w:tc>
        <w:tc>
          <w:tcPr>
            <w:tcW w:w="1105" w:type="dxa"/>
            <w:tcBorders/>
            <w:shd w:fill="auto" w:val="clear"/>
            <w:vAlign w:val="center"/>
          </w:tcPr>
          <w:p>
            <w:pPr>
              <w:pStyle w:val="TableContents"/>
              <w:spacing w:before="0" w:after="283"/>
              <w:rPr/>
            </w:pPr>
            <w:r>
              <w:rPr/>
              <w:t>04/21/2023</w:t>
            </w:r>
          </w:p>
        </w:tc>
        <w:tc>
          <w:tcPr>
            <w:tcW w:w="1430" w:type="dxa"/>
            <w:tcBorders/>
            <w:shd w:fill="auto" w:val="clear"/>
            <w:vAlign w:val="center"/>
          </w:tcPr>
          <w:p>
            <w:pPr>
              <w:pStyle w:val="TableContents"/>
              <w:spacing w:before="0" w:after="283"/>
              <w:rPr/>
            </w:pPr>
            <w:r>
              <w:rPr/>
              <w:t>Restricted Stock Vesting</w:t>
            </w:r>
          </w:p>
        </w:tc>
        <w:tc>
          <w:tcPr>
            <w:tcW w:w="1151" w:type="dxa"/>
            <w:tcBorders/>
            <w:shd w:fill="auto" w:val="clear"/>
            <w:vAlign w:val="center"/>
          </w:tcPr>
          <w:p>
            <w:pPr>
              <w:pStyle w:val="TableContents"/>
              <w:spacing w:before="0" w:after="283"/>
              <w:rPr/>
            </w:pPr>
            <w:r>
              <w:rPr/>
              <w:t>Issuer</w:t>
            </w:r>
          </w:p>
        </w:tc>
        <w:tc>
          <w:tcPr>
            <w:tcW w:w="516"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pPr>
            <w:r>
              <w:rPr/>
              <w:t>1628</w:t>
            </w:r>
          </w:p>
        </w:tc>
        <w:tc>
          <w:tcPr>
            <w:tcW w:w="1046" w:type="dxa"/>
            <w:tcBorders/>
            <w:shd w:fill="auto" w:val="clear"/>
            <w:vAlign w:val="center"/>
          </w:tcPr>
          <w:p>
            <w:pPr>
              <w:pStyle w:val="TableContents"/>
              <w:spacing w:before="0" w:after="283"/>
              <w:rPr/>
            </w:pPr>
            <w:r>
              <w:rPr/>
              <w:t>04/21/2023</w:t>
            </w:r>
          </w:p>
        </w:tc>
        <w:tc>
          <w:tcPr>
            <w:tcW w:w="1610" w:type="dxa"/>
            <w:tcBorders/>
            <w:shd w:fill="auto" w:val="clear"/>
            <w:vAlign w:val="center"/>
          </w:tcPr>
          <w:p>
            <w:pPr>
              <w:pStyle w:val="TableContents"/>
              <w:spacing w:before="0" w:after="283"/>
              <w:rPr/>
            </w:pPr>
            <w:r>
              <w:rPr/>
              <w:t>Compensation</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97"/>
        <w:gridCol w:w="2987"/>
        <w:gridCol w:w="952"/>
        <w:gridCol w:w="1571"/>
        <w:gridCol w:w="1698"/>
      </w:tblGrid>
      <w:tr>
        <w:trPr/>
        <w:tc>
          <w:tcPr>
            <w:tcW w:w="2997" w:type="dxa"/>
            <w:tcBorders/>
            <w:shd w:fill="auto" w:val="clear"/>
            <w:vAlign w:val="center"/>
          </w:tcPr>
          <w:p>
            <w:pPr>
              <w:pStyle w:val="TableHeading"/>
              <w:suppressLineNumbers/>
              <w:spacing w:before="0" w:after="283"/>
              <w:jc w:val="center"/>
              <w:rPr/>
            </w:pPr>
            <w:r>
              <w:rPr/>
              <w:t>Name and Address of Seller</w:t>
            </w:r>
          </w:p>
        </w:tc>
        <w:tc>
          <w:tcPr>
            <w:tcW w:w="2987" w:type="dxa"/>
            <w:tcBorders/>
            <w:shd w:fill="auto" w:val="clear"/>
            <w:vAlign w:val="center"/>
          </w:tcPr>
          <w:p>
            <w:pPr>
              <w:pStyle w:val="TableHeading"/>
              <w:suppressLineNumbers/>
              <w:spacing w:before="0" w:after="283"/>
              <w:jc w:val="center"/>
              <w:rPr/>
            </w:pPr>
            <w:r>
              <w:rPr/>
              <w:t>Title of Securities Sold</w:t>
            </w:r>
          </w:p>
        </w:tc>
        <w:tc>
          <w:tcPr>
            <w:tcW w:w="952" w:type="dxa"/>
            <w:tcBorders/>
            <w:shd w:fill="auto" w:val="clear"/>
            <w:vAlign w:val="center"/>
          </w:tcPr>
          <w:p>
            <w:pPr>
              <w:pStyle w:val="TableHeading"/>
              <w:suppressLineNumbers/>
              <w:spacing w:before="0" w:after="283"/>
              <w:jc w:val="center"/>
              <w:rPr/>
            </w:pPr>
            <w:r>
              <w:rPr/>
              <w:t>Date of Sale</w:t>
            </w:r>
          </w:p>
        </w:tc>
        <w:tc>
          <w:tcPr>
            <w:tcW w:w="1571" w:type="dxa"/>
            <w:tcBorders/>
            <w:shd w:fill="auto" w:val="clear"/>
            <w:vAlign w:val="center"/>
          </w:tcPr>
          <w:p>
            <w:pPr>
              <w:pStyle w:val="TableHeading"/>
              <w:suppressLineNumbers/>
              <w:spacing w:before="0" w:after="283"/>
              <w:jc w:val="center"/>
              <w:rPr/>
            </w:pPr>
            <w:r>
              <w:rPr/>
              <w:t>Amount of Securities Sold</w:t>
            </w:r>
          </w:p>
        </w:tc>
        <w:tc>
          <w:tcPr>
            <w:tcW w:w="1698" w:type="dxa"/>
            <w:tcBorders/>
            <w:shd w:fill="auto" w:val="clear"/>
            <w:vAlign w:val="center"/>
          </w:tcPr>
          <w:p>
            <w:pPr>
              <w:pStyle w:val="TableHeading"/>
              <w:suppressLineNumbers/>
              <w:spacing w:before="0" w:after="283"/>
              <w:jc w:val="center"/>
              <w:rPr/>
            </w:pPr>
            <w:r>
              <w:rPr/>
              <w:t>Gross Proceeds</w:t>
            </w:r>
          </w:p>
        </w:tc>
      </w:tr>
      <w:tr>
        <w:trPr/>
        <w:tc>
          <w:tcPr>
            <w:tcW w:w="2997" w:type="dxa"/>
            <w:tcBorders/>
            <w:shd w:fill="auto" w:val="clear"/>
            <w:vAlign w:val="center"/>
          </w:tcPr>
          <w:p>
            <w:pPr>
              <w:pStyle w:val="TableContents"/>
              <w:spacing w:before="0" w:after="283"/>
              <w:rPr/>
            </w:pPr>
            <w:r>
              <w:rPr/>
              <w:t>William Phelan</w:t>
              <w:br/>
              <w:t>1775 West Oak Commons Court, NE</w:t>
              <w:br/>
              <w:t>Marietta   GA   30062</w:t>
            </w:r>
          </w:p>
        </w:tc>
        <w:tc>
          <w:tcPr>
            <w:tcW w:w="2987" w:type="dxa"/>
            <w:tcBorders/>
            <w:shd w:fill="auto" w:val="clear"/>
            <w:vAlign w:val="center"/>
          </w:tcPr>
          <w:p>
            <w:pPr>
              <w:pStyle w:val="TableContents"/>
              <w:spacing w:before="0" w:after="283"/>
              <w:rPr/>
            </w:pPr>
            <w:r>
              <w:rPr/>
              <w:t>Common</w:t>
            </w:r>
          </w:p>
        </w:tc>
        <w:tc>
          <w:tcPr>
            <w:tcW w:w="952" w:type="dxa"/>
            <w:tcBorders/>
            <w:shd w:fill="auto" w:val="clear"/>
            <w:vAlign w:val="center"/>
          </w:tcPr>
          <w:p>
            <w:pPr>
              <w:pStyle w:val="TableContents"/>
              <w:spacing w:before="0" w:after="283"/>
              <w:rPr/>
            </w:pPr>
            <w:r>
              <w:rPr/>
              <w:t>03/07/2023</w:t>
            </w:r>
          </w:p>
        </w:tc>
        <w:tc>
          <w:tcPr>
            <w:tcW w:w="1571" w:type="dxa"/>
            <w:tcBorders/>
            <w:shd w:fill="auto" w:val="clear"/>
            <w:vAlign w:val="center"/>
          </w:tcPr>
          <w:p>
            <w:pPr>
              <w:pStyle w:val="TableContents"/>
              <w:spacing w:before="0" w:after="283"/>
              <w:rPr/>
            </w:pPr>
            <w:r>
              <w:rPr/>
              <w:t>3396</w:t>
            </w:r>
          </w:p>
        </w:tc>
        <w:tc>
          <w:tcPr>
            <w:tcW w:w="1698" w:type="dxa"/>
            <w:tcBorders/>
            <w:shd w:fill="auto" w:val="clear"/>
            <w:vAlign w:val="center"/>
          </w:tcPr>
          <w:p>
            <w:pPr>
              <w:pStyle w:val="TableContents"/>
              <w:spacing w:before="0" w:after="283"/>
              <w:rPr/>
            </w:pPr>
            <w:r>
              <w:rPr/>
              <w:t>14414.66</w:t>
            </w:r>
          </w:p>
        </w:tc>
      </w:tr>
      <w:tr>
        <w:trPr/>
        <w:tc>
          <w:tcPr>
            <w:tcW w:w="2997" w:type="dxa"/>
            <w:tcBorders/>
            <w:shd w:fill="auto" w:val="clear"/>
            <w:vAlign w:val="center"/>
          </w:tcPr>
          <w:p>
            <w:pPr>
              <w:pStyle w:val="TableContents"/>
              <w:spacing w:before="0" w:after="283"/>
              <w:rPr/>
            </w:pPr>
            <w:r>
              <w:rPr/>
              <w:t>William Phelan</w:t>
              <w:br/>
              <w:t>1775 West Oak Commons Court, NE,</w:t>
              <w:br/>
              <w:t>Marietta   GA   30062</w:t>
            </w:r>
          </w:p>
        </w:tc>
        <w:tc>
          <w:tcPr>
            <w:tcW w:w="2987" w:type="dxa"/>
            <w:tcBorders/>
            <w:shd w:fill="auto" w:val="clear"/>
            <w:vAlign w:val="center"/>
          </w:tcPr>
          <w:p>
            <w:pPr>
              <w:pStyle w:val="TableContents"/>
              <w:spacing w:before="0" w:after="283"/>
              <w:rPr/>
            </w:pPr>
            <w:r>
              <w:rPr/>
              <w:t>Common</w:t>
            </w:r>
          </w:p>
        </w:tc>
        <w:tc>
          <w:tcPr>
            <w:tcW w:w="952" w:type="dxa"/>
            <w:tcBorders/>
            <w:shd w:fill="auto" w:val="clear"/>
            <w:vAlign w:val="center"/>
          </w:tcPr>
          <w:p>
            <w:pPr>
              <w:pStyle w:val="TableContents"/>
              <w:spacing w:before="0" w:after="283"/>
              <w:rPr/>
            </w:pPr>
            <w:r>
              <w:rPr/>
              <w:t>04/11/2023</w:t>
            </w:r>
          </w:p>
        </w:tc>
        <w:tc>
          <w:tcPr>
            <w:tcW w:w="1571" w:type="dxa"/>
            <w:tcBorders/>
            <w:shd w:fill="auto" w:val="clear"/>
            <w:vAlign w:val="center"/>
          </w:tcPr>
          <w:p>
            <w:pPr>
              <w:pStyle w:val="TableContents"/>
              <w:spacing w:before="0" w:after="283"/>
              <w:rPr/>
            </w:pPr>
            <w:r>
              <w:rPr/>
              <w:t>1632</w:t>
            </w:r>
          </w:p>
        </w:tc>
        <w:tc>
          <w:tcPr>
            <w:tcW w:w="1698" w:type="dxa"/>
            <w:tcBorders/>
            <w:shd w:fill="auto" w:val="clear"/>
            <w:vAlign w:val="center"/>
          </w:tcPr>
          <w:p>
            <w:pPr>
              <w:pStyle w:val="TableContents"/>
              <w:spacing w:before="0" w:after="283"/>
              <w:rPr/>
            </w:pPr>
            <w:r>
              <w:rPr/>
              <w:t>5403.55</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1762"/>
        <w:gridCol w:w="8443"/>
      </w:tblGrid>
      <w:tr>
        <w:trPr/>
        <w:tc>
          <w:tcPr>
            <w:tcW w:w="1762" w:type="dxa"/>
            <w:tcBorders/>
            <w:shd w:fill="auto" w:val="clear"/>
            <w:vAlign w:val="center"/>
          </w:tcPr>
          <w:p>
            <w:pPr>
              <w:pStyle w:val="TableContents"/>
              <w:spacing w:before="0" w:after="283"/>
              <w:rPr/>
            </w:pPr>
            <w:r>
              <w:rPr/>
              <w:t>Remarks</w:t>
            </w:r>
          </w:p>
        </w:tc>
        <w:tc>
          <w:tcPr>
            <w:tcW w:w="8443" w:type="dxa"/>
            <w:tcBorders/>
            <w:shd w:fill="auto" w:val="clear"/>
            <w:vAlign w:val="center"/>
          </w:tcPr>
          <w:p>
            <w:pPr>
              <w:pStyle w:val="TableContents"/>
              <w:spacing w:before="0" w:after="283"/>
              <w:rPr>
                <w:sz w:val="4"/>
                <w:szCs w:val="4"/>
              </w:rPr>
            </w:pPr>
            <w:r>
              <w:rPr>
                <w:sz w:val="4"/>
                <w:szCs w:val="4"/>
              </w:rPr>
            </w:r>
          </w:p>
        </w:tc>
      </w:tr>
      <w:tr>
        <w:trPr/>
        <w:tc>
          <w:tcPr>
            <w:tcW w:w="1762" w:type="dxa"/>
            <w:tcBorders/>
            <w:shd w:fill="auto" w:val="clear"/>
            <w:vAlign w:val="center"/>
          </w:tcPr>
          <w:p>
            <w:pPr>
              <w:pStyle w:val="TableContents"/>
              <w:spacing w:before="0" w:after="283"/>
              <w:rPr/>
            </w:pPr>
            <w:r>
              <w:rPr/>
              <w:t>Date of Notice</w:t>
            </w:r>
          </w:p>
        </w:tc>
        <w:tc>
          <w:tcPr>
            <w:tcW w:w="8443" w:type="dxa"/>
            <w:tcBorders/>
            <w:shd w:fill="auto" w:val="clear"/>
            <w:vAlign w:val="center"/>
          </w:tcPr>
          <w:p>
            <w:pPr>
              <w:pStyle w:val="TableContents"/>
              <w:spacing w:before="0" w:after="0"/>
              <w:rPr/>
            </w:pPr>
            <w:r>
              <w:rPr/>
              <w:t>04/25/2023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shd w:fill="auto" w:val="clear"/>
            <w:vAlign w:val="center"/>
          </w:tcPr>
          <w:p>
            <w:pPr>
              <w:pStyle w:val="TableContents"/>
              <w:spacing w:before="0" w:after="283"/>
              <w:rPr/>
            </w:pPr>
            <w:r>
              <w:rPr/>
              <w:t>Signature</w:t>
            </w:r>
          </w:p>
        </w:tc>
        <w:tc>
          <w:tcPr>
            <w:tcW w:w="8443" w:type="dxa"/>
            <w:tcBorders/>
            <w:shd w:fill="auto" w:val="clear"/>
            <w:vAlign w:val="center"/>
          </w:tcPr>
          <w:p>
            <w:pPr>
              <w:pStyle w:val="TableContents"/>
              <w:spacing w:before="0" w:after="0"/>
              <w:rPr/>
            </w:pPr>
            <w:r>
              <w:rPr/>
              <w:t>/s/ Daniel Tucci, as a duly authorized representative of Fidelity Brokerage Services LLC, as attorney-in-fact for William Phelan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633</Words>
  <CharactersWithSpaces>3798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