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Graves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Compliance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transaction represents the netting of shares to satisfy applicable witholding taxes upon the vesting of previously-granted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David A. Wisniewski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96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Graves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893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2021-02-22T13:50:01Z</dcterms:created>
  <dcterms:modified xsi:type="dcterms:W3CDTF">2021-02-22T13:50:01Z</dcterms:modified>
</cp:coreProperties>
</file>