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0"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29, 2024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MIMEDX GROUP, INC.</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128" w:lineRule="exact"/>
        <w:rPr>
          <w:sz w:val="24"/>
          <w:szCs w:val="24"/>
          <w:color w:val="auto"/>
        </w:rPr>
      </w:pPr>
    </w:p>
    <w:tbl>
      <w:tblPr>
        <w:tblLayout w:type="fixed"/>
        <w:tblInd w:w="1140" w:type="dxa"/>
        <w:tblCellMar>
          <w:top w:w="0" w:type="dxa"/>
          <w:left w:w="0" w:type="dxa"/>
          <w:bottom w:w="0" w:type="dxa"/>
          <w:right w:w="0" w:type="dxa"/>
        </w:tblCellMar>
      </w:tblPr>
      <w:tr>
        <w:trPr>
          <w:trHeight w:val="229"/>
        </w:trPr>
        <w:tc>
          <w:tcPr>
            <w:tcW w:w="3000" w:type="dxa"/>
            <w:vAlign w:val="bottom"/>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w w:val="98"/>
              </w:rPr>
              <w:t>Florida</w:t>
            </w:r>
          </w:p>
        </w:tc>
        <w:tc>
          <w:tcPr>
            <w:tcW w:w="31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001-35887</w:t>
            </w:r>
          </w:p>
        </w:tc>
        <w:tc>
          <w:tcPr>
            <w:tcW w:w="2540" w:type="dxa"/>
            <w:vAlign w:val="bottom"/>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8"/>
              </w:rPr>
              <w:t>26-2792552</w:t>
            </w:r>
          </w:p>
        </w:tc>
      </w:tr>
      <w:tr>
        <w:trPr>
          <w:trHeight w:val="230"/>
        </w:trPr>
        <w:tc>
          <w:tcPr>
            <w:tcW w:w="3000" w:type="dxa"/>
            <w:vAlign w:val="bottom"/>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w:t>
            </w:r>
          </w:p>
        </w:tc>
        <w:tc>
          <w:tcPr>
            <w:tcW w:w="31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(Commission</w:t>
            </w:r>
          </w:p>
        </w:tc>
        <w:tc>
          <w:tcPr>
            <w:tcW w:w="2540" w:type="dxa"/>
            <w:vAlign w:val="bottom"/>
          </w:tcPr>
          <w:p>
            <w:pPr>
              <w:jc w:val="center"/>
              <w:ind w:left="105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000" w:type="dxa"/>
            <w:vAlign w:val="bottom"/>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31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File Number)</w:t>
            </w:r>
          </w:p>
        </w:tc>
        <w:tc>
          <w:tcPr>
            <w:tcW w:w="2540" w:type="dxa"/>
            <w:vAlign w:val="bottom"/>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bl>
    <w:p>
      <w:pPr>
        <w:spacing w:after="0" w:line="3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1775 West Oak Commons Ct., NE, Marietta GA 30062</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(Zip Code)</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(770) 651-9100</w:t>
      </w:r>
    </w:p>
    <w:p>
      <w:pPr>
        <w:spacing w:after="0" w:line="31"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34"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81" w:lineRule="exact"/>
        <w:rPr>
          <w:sz w:val="24"/>
          <w:szCs w:val="24"/>
          <w:color w:val="auto"/>
        </w:rPr>
      </w:pPr>
    </w:p>
    <w:p>
      <w:pPr>
        <w:ind w:left="300" w:hanging="274"/>
        <w:spacing w:after="0"/>
        <w:tabs>
          <w:tab w:leader="none" w:pos="3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2" w:lineRule="exact"/>
        <w:rPr>
          <w:rFonts w:ascii="MS PGothic" w:cs="MS PGothic" w:eastAsia="MS PGothic" w:hAnsi="MS PGothic"/>
          <w:sz w:val="18"/>
          <w:szCs w:val="18"/>
          <w:color w:val="auto"/>
          <w:highlight w:val="black"/>
        </w:rPr>
      </w:pPr>
    </w:p>
    <w:p>
      <w:pPr>
        <w:ind w:left="300" w:hanging="274"/>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300" w:hanging="274"/>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300" w:hanging="274"/>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2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4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560" w:type="dxa"/>
            <w:vAlign w:val="bottom"/>
          </w:tcPr>
          <w:p>
            <w:pPr>
              <w:spacing w:after="0"/>
              <w:rPr>
                <w:sz w:val="24"/>
                <w:szCs w:val="24"/>
                <w:color w:val="auto"/>
              </w:rPr>
            </w:pPr>
          </w:p>
        </w:tc>
        <w:tc>
          <w:tcPr>
            <w:tcW w:w="3720" w:type="dxa"/>
            <w:vAlign w:val="bottom"/>
            <w:vMerge w:val="restart"/>
          </w:tcPr>
          <w:p>
            <w:pPr>
              <w:jc w:val="center"/>
              <w:ind w:right="79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420" w:type="dxa"/>
            <w:vAlign w:val="bottom"/>
            <w:vMerge w:val="restart"/>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00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Name of each exchange</w:t>
            </w:r>
          </w:p>
        </w:tc>
        <w:tc>
          <w:tcPr>
            <w:tcW w:w="0" w:type="dxa"/>
            <w:vAlign w:val="bottom"/>
          </w:tcPr>
          <w:p>
            <w:pPr>
              <w:spacing w:after="0"/>
              <w:rPr>
                <w:sz w:val="1"/>
                <w:szCs w:val="1"/>
                <w:color w:val="auto"/>
              </w:rPr>
            </w:pPr>
          </w:p>
        </w:tc>
      </w:tr>
      <w:tr>
        <w:trPr>
          <w:trHeight w:val="238"/>
        </w:trPr>
        <w:tc>
          <w:tcPr>
            <w:tcW w:w="560" w:type="dxa"/>
            <w:vAlign w:val="bottom"/>
          </w:tcPr>
          <w:p>
            <w:pPr>
              <w:spacing w:after="0"/>
              <w:rPr>
                <w:sz w:val="20"/>
                <w:szCs w:val="20"/>
                <w:color w:val="auto"/>
              </w:rPr>
            </w:pPr>
          </w:p>
        </w:tc>
        <w:tc>
          <w:tcPr>
            <w:tcW w:w="3720" w:type="dxa"/>
            <w:vAlign w:val="bottom"/>
            <w:tcBorders>
              <w:bottom w:val="single" w:sz="8" w:color="auto"/>
            </w:tcBorders>
            <w:vMerge w:val="continue"/>
          </w:tcPr>
          <w:p>
            <w:pPr>
              <w:spacing w:after="0"/>
              <w:rPr>
                <w:sz w:val="20"/>
                <w:szCs w:val="20"/>
                <w:color w:val="auto"/>
              </w:rPr>
            </w:pPr>
          </w:p>
        </w:tc>
        <w:tc>
          <w:tcPr>
            <w:tcW w:w="2420" w:type="dxa"/>
            <w:vAlign w:val="bottom"/>
            <w:tcBorders>
              <w:bottom w:val="single" w:sz="8" w:color="auto"/>
            </w:tcBorders>
            <w:vMerge w:val="continue"/>
          </w:tcPr>
          <w:p>
            <w:pPr>
              <w:spacing w:after="0"/>
              <w:rPr>
                <w:sz w:val="20"/>
                <w:szCs w:val="20"/>
                <w:color w:val="auto"/>
              </w:rPr>
            </w:pPr>
          </w:p>
        </w:tc>
        <w:tc>
          <w:tcPr>
            <w:tcW w:w="400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c>
          <w:tcPr>
            <w:tcW w:w="0" w:type="dxa"/>
            <w:vAlign w:val="bottom"/>
          </w:tcPr>
          <w:p>
            <w:pPr>
              <w:spacing w:after="0"/>
              <w:rPr>
                <w:sz w:val="1"/>
                <w:szCs w:val="1"/>
                <w:color w:val="auto"/>
              </w:rPr>
            </w:pPr>
          </w:p>
        </w:tc>
      </w:tr>
      <w:tr>
        <w:trPr>
          <w:trHeight w:val="174"/>
        </w:trPr>
        <w:tc>
          <w:tcPr>
            <w:tcW w:w="560" w:type="dxa"/>
            <w:vAlign w:val="bottom"/>
          </w:tcPr>
          <w:p>
            <w:pPr>
              <w:spacing w:after="0"/>
              <w:rPr>
                <w:sz w:val="15"/>
                <w:szCs w:val="15"/>
                <w:color w:val="auto"/>
              </w:rPr>
            </w:pPr>
          </w:p>
        </w:tc>
        <w:tc>
          <w:tcPr>
            <w:tcW w:w="3720" w:type="dxa"/>
            <w:vAlign w:val="bottom"/>
          </w:tcPr>
          <w:p>
            <w:pPr>
              <w:jc w:val="center"/>
              <w:ind w:right="810"/>
              <w:spacing w:after="0" w:line="174" w:lineRule="exact"/>
              <w:rPr>
                <w:sz w:val="20"/>
                <w:szCs w:val="20"/>
                <w:color w:val="auto"/>
              </w:rPr>
            </w:pPr>
            <w:r>
              <w:rPr>
                <w:rFonts w:ascii="Times New Roman" w:cs="Times New Roman" w:eastAsia="Times New Roman" w:hAnsi="Times New Roman"/>
                <w:sz w:val="18"/>
                <w:szCs w:val="18"/>
                <w:b w:val="1"/>
                <w:bCs w:val="1"/>
                <w:color w:val="auto"/>
                <w:w w:val="99"/>
              </w:rPr>
              <w:t>Common Stock, $0.001 par value</w:t>
            </w:r>
          </w:p>
        </w:tc>
        <w:tc>
          <w:tcPr>
            <w:tcW w:w="2420" w:type="dxa"/>
            <w:vAlign w:val="bottom"/>
            <w:vMerge w:val="restart"/>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w w:val="98"/>
              </w:rPr>
              <w:t>MDXG</w:t>
            </w:r>
          </w:p>
        </w:tc>
        <w:tc>
          <w:tcPr>
            <w:tcW w:w="4000" w:type="dxa"/>
            <w:vAlign w:val="bottom"/>
            <w:vMerge w:val="restart"/>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r>
        <w:trPr>
          <w:trHeight w:val="144"/>
        </w:trPr>
        <w:tc>
          <w:tcPr>
            <w:tcW w:w="560" w:type="dxa"/>
            <w:vAlign w:val="bottom"/>
          </w:tcPr>
          <w:p>
            <w:pPr>
              <w:spacing w:after="0"/>
              <w:rPr>
                <w:sz w:val="12"/>
                <w:szCs w:val="12"/>
                <w:color w:val="auto"/>
              </w:rPr>
            </w:pPr>
          </w:p>
        </w:tc>
        <w:tc>
          <w:tcPr>
            <w:tcW w:w="3720" w:type="dxa"/>
            <w:vAlign w:val="bottom"/>
            <w:vMerge w:val="restart"/>
          </w:tcPr>
          <w:p>
            <w:pPr>
              <w:jc w:val="center"/>
              <w:ind w:right="79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2420" w:type="dxa"/>
            <w:vAlign w:val="bottom"/>
            <w:vMerge w:val="continue"/>
          </w:tcPr>
          <w:p>
            <w:pPr>
              <w:spacing w:after="0"/>
              <w:rPr>
                <w:sz w:val="12"/>
                <w:szCs w:val="12"/>
                <w:color w:val="auto"/>
              </w:rPr>
            </w:pPr>
          </w:p>
        </w:tc>
        <w:tc>
          <w:tcPr>
            <w:tcW w:w="4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560" w:type="dxa"/>
            <w:vAlign w:val="bottom"/>
          </w:tcPr>
          <w:p>
            <w:pPr>
              <w:spacing w:after="0"/>
              <w:rPr>
                <w:sz w:val="8"/>
                <w:szCs w:val="8"/>
                <w:color w:val="auto"/>
              </w:rPr>
            </w:pPr>
          </w:p>
        </w:tc>
        <w:tc>
          <w:tcPr>
            <w:tcW w:w="3720" w:type="dxa"/>
            <w:vAlign w:val="bottom"/>
            <w:vMerge w:val="continue"/>
          </w:tcPr>
          <w:p>
            <w:pPr>
              <w:spacing w:after="0"/>
              <w:rPr>
                <w:sz w:val="8"/>
                <w:szCs w:val="8"/>
                <w:color w:val="auto"/>
              </w:rPr>
            </w:pPr>
          </w:p>
        </w:tc>
        <w:tc>
          <w:tcPr>
            <w:tcW w:w="24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319" w:lineRule="exact"/>
        <w:rPr>
          <w:sz w:val="24"/>
          <w:szCs w:val="24"/>
          <w:color w:val="auto"/>
        </w:rPr>
      </w:pPr>
    </w:p>
    <w:p>
      <w:pPr>
        <w:ind w:right="46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9"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1915795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1" w:name="page2"/>
    <w:bookmarkEnd w:id="1"/>
    <w:p>
      <w:pPr>
        <w:spacing w:after="0" w:line="17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68"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18"/>
          <w:szCs w:val="18"/>
          <w:color w:val="auto"/>
        </w:rPr>
        <w:t>On February 29, 2024, the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of MiMedx Group,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approved an increase in the size of the Board to eleven members and appointed two new members, Ms. Tiffany P. Olson and Ms. Dorothy E. Puhy, to the Board, effective March 1, 2024.</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issued a press release in connection with the appointments, which is included as Exhibit 99.1 and incorporated herein by reference.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(d)Exhibits.</w:t>
      </w:r>
    </w:p>
    <w:p>
      <w:pPr>
        <w:spacing w:after="0" w:line="289" w:lineRule="exact"/>
        <w:rPr>
          <w:sz w:val="20"/>
          <w:szCs w:val="20"/>
          <w:color w:val="auto"/>
        </w:rPr>
      </w:pPr>
    </w:p>
    <w:p>
      <w:pPr>
        <w:ind w:left="20"/>
        <w:spacing w:after="0"/>
        <w:tabs>
          <w:tab w:leader="none" w:pos="224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7"/>
          <w:szCs w:val="17"/>
          <w:color w:val="auto"/>
        </w:rPr>
        <w:t>Description of Exhibit</w:t>
      </w:r>
    </w:p>
    <w:p>
      <w:pPr>
        <w:spacing w:after="0" w:line="31"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 xml:space="preserve">99.1 </w:t>
      </w:r>
      <w:r>
        <w:rPr>
          <w:rFonts w:ascii="Times New Roman" w:cs="Times New Roman" w:eastAsia="Times New Roman" w:hAnsi="Times New Roman"/>
          <w:sz w:val="18"/>
          <w:szCs w:val="18"/>
          <w:u w:val="single" w:color="auto"/>
          <w:color w:val="0000FF"/>
        </w:rPr>
        <w:t>Press Release dated March 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1202055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 w:name="page3"/>
    <w:bookmarkEnd w:id="2"/>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left="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Exchange Act, the Registrant has duly caused this report to be signed on its behalf by the undersigned hereunto duly authorized.</w:t>
      </w:r>
    </w:p>
    <w:p>
      <w:pPr>
        <w:spacing w:after="0" w:line="30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b w:val="1"/>
          <w:bCs w:val="1"/>
          <w:color w:val="auto"/>
        </w:rPr>
        <w:t>MIMEDX GROUP, INC.</w:t>
      </w:r>
    </w:p>
    <w:p>
      <w:pPr>
        <w:spacing w:after="0" w:line="200" w:lineRule="exact"/>
        <w:rPr>
          <w:sz w:val="20"/>
          <w:szCs w:val="20"/>
          <w:color w:val="auto"/>
        </w:rPr>
      </w:pPr>
    </w:p>
    <w:p>
      <w:pPr>
        <w:spacing w:after="0" w:line="245" w:lineRule="exact"/>
        <w:rPr>
          <w:sz w:val="20"/>
          <w:szCs w:val="20"/>
          <w:color w:val="auto"/>
        </w:rPr>
      </w:pPr>
    </w:p>
    <w:p>
      <w:pPr>
        <w:spacing w:after="0"/>
        <w:tabs>
          <w:tab w:leader="none" w:pos="5720" w:val="left"/>
        </w:tabs>
        <w:rPr>
          <w:sz w:val="20"/>
          <w:szCs w:val="20"/>
          <w:color w:val="auto"/>
        </w:rPr>
      </w:pPr>
      <w:r>
        <w:rPr>
          <w:rFonts w:ascii="Times New Roman" w:cs="Times New Roman" w:eastAsia="Times New Roman" w:hAnsi="Times New Roman"/>
          <w:sz w:val="18"/>
          <w:szCs w:val="18"/>
          <w:color w:val="auto"/>
        </w:rPr>
        <w:t>March 4, 2024</w:t>
      </w:r>
      <w:r>
        <w:rPr>
          <w:sz w:val="20"/>
          <w:szCs w:val="20"/>
          <w:color w:val="auto"/>
        </w:rPr>
        <w:tab/>
      </w:r>
      <w:r>
        <w:rPr>
          <w:rFonts w:ascii="Times New Roman" w:cs="Times New Roman" w:eastAsia="Times New Roman" w:hAnsi="Times New Roman"/>
          <w:sz w:val="17"/>
          <w:szCs w:val="17"/>
          <w:color w:val="auto"/>
        </w:rPr>
        <w:t>By: /s/William F. Hulse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3823970</wp:posOffset>
            </wp:positionH>
            <wp:positionV relativeFrom="paragraph">
              <wp:posOffset>17145</wp:posOffset>
            </wp:positionV>
            <wp:extent cx="29914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William F. Hulse IV</w:t>
      </w:r>
    </w:p>
    <w:p>
      <w:pPr>
        <w:spacing w:after="0" w:line="2"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General Counsel and Chief Administrative Officer</w:t>
      </w:r>
    </w:p>
    <w:p>
      <w:pPr>
        <w:sectPr>
          <w:pgSz w:w="11900" w:h="16838" w:orient="portrait"/>
          <w:cols w:equalWidth="0" w:num="1">
            <w:col w:w="11020"/>
          </w:cols>
          <w:pgMar w:left="340" w:top="1278" w:right="539" w:bottom="1440" w:gutter="0" w:footer="0" w:header="0"/>
        </w:sectPr>
      </w:pPr>
    </w:p>
    <w:bookmarkStart w:id="3" w:name="page4"/>
    <w:bookmarkEnd w:id="3"/>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088390" cy="428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088390" cy="428625"/>
                    </a:xfrm>
                    <a:prstGeom prst="rect">
                      <a:avLst/>
                    </a:prstGeom>
                    <a:noFill/>
                  </pic:spPr>
                </pic:pic>
              </a:graphicData>
            </a:graphic>
          </wp:anchor>
        </w:drawing>
      </w:r>
    </w:p>
    <w:p>
      <w:pPr>
        <w:jc w:val="center"/>
        <w:spacing w:after="0"/>
        <w:rPr>
          <w:sz w:val="20"/>
          <w:szCs w:val="20"/>
          <w:color w:val="auto"/>
        </w:rPr>
      </w:pPr>
      <w:r>
        <w:rPr>
          <w:rFonts w:ascii="Calibri" w:cs="Calibri" w:eastAsia="Calibri" w:hAnsi="Calibri"/>
          <w:sz w:val="29"/>
          <w:szCs w:val="29"/>
          <w:b w:val="1"/>
          <w:bCs w:val="1"/>
          <w:color w:val="auto"/>
        </w:rPr>
        <w:t>MIMEDX Announces Appointment of Two New Independent Directors</w:t>
      </w:r>
    </w:p>
    <w:p>
      <w:pPr>
        <w:spacing w:after="0" w:line="243" w:lineRule="exact"/>
        <w:rPr>
          <w:sz w:val="20"/>
          <w:szCs w:val="20"/>
          <w:color w:val="auto"/>
        </w:rPr>
      </w:pPr>
    </w:p>
    <w:p>
      <w:pPr>
        <w:jc w:val="both"/>
        <w:spacing w:after="0" w:line="256" w:lineRule="auto"/>
        <w:rPr>
          <w:sz w:val="20"/>
          <w:szCs w:val="20"/>
          <w:color w:val="auto"/>
        </w:rPr>
      </w:pPr>
      <w:r>
        <w:rPr>
          <w:rFonts w:ascii="Calibri" w:cs="Calibri" w:eastAsia="Calibri" w:hAnsi="Calibri"/>
          <w:sz w:val="20"/>
          <w:szCs w:val="20"/>
          <w:color w:val="auto"/>
        </w:rPr>
        <w:t>MARIETTA, Ga., March 4, 2024 -- MiMedx Group, Inc. (Nasdaq: MDXG) (“MIMEDX” or the “Company”) today announced the appointments of Tifany Olson and Dorothy Puhy to its Board of Directors, efectve as of March 1, 2024. Ms. Olson and Ms. Puhy each bring extensive and relevant experience across the healthcare industry, with demonstrated records of executve leadership, strategic counsel and shareholder value creaton. In connecton with these appointments, the Board of Directors unanimously agreed to expand its size to eleven directors.</w:t>
      </w:r>
    </w:p>
    <w:p>
      <w:pPr>
        <w:spacing w:after="0" w:line="250" w:lineRule="exact"/>
        <w:rPr>
          <w:sz w:val="20"/>
          <w:szCs w:val="20"/>
          <w:color w:val="auto"/>
        </w:rPr>
      </w:pPr>
    </w:p>
    <w:p>
      <w:pPr>
        <w:jc w:val="both"/>
        <w:spacing w:after="0" w:line="257" w:lineRule="auto"/>
        <w:rPr>
          <w:sz w:val="20"/>
          <w:szCs w:val="20"/>
          <w:color w:val="auto"/>
        </w:rPr>
      </w:pPr>
      <w:r>
        <w:rPr>
          <w:rFonts w:ascii="Calibri" w:cs="Calibri" w:eastAsia="Calibri" w:hAnsi="Calibri"/>
          <w:sz w:val="20"/>
          <w:szCs w:val="20"/>
          <w:color w:val="auto"/>
        </w:rPr>
        <w:t>M. Kathleen Behrens, Chair of the Board at MIMEDX, stated, “On behalf of the entre Board of Directors, we are honored to welcome these accomplished business leaders who will undoubtedly contribute to our strategic vision and provide unique and valuable insights. We look forward to working together to unlock the full potental MIMEDX has to ofer the industry as a leader in innovatve Wound Care and Surgical therapeutcs.”</w:t>
      </w:r>
    </w:p>
    <w:p>
      <w:pPr>
        <w:spacing w:after="0" w:line="250" w:lineRule="exact"/>
        <w:rPr>
          <w:sz w:val="20"/>
          <w:szCs w:val="20"/>
          <w:color w:val="auto"/>
        </w:rPr>
      </w:pPr>
    </w:p>
    <w:p>
      <w:pPr>
        <w:jc w:val="both"/>
        <w:spacing w:after="0" w:line="254" w:lineRule="auto"/>
        <w:rPr>
          <w:sz w:val="20"/>
          <w:szCs w:val="20"/>
          <w:color w:val="auto"/>
        </w:rPr>
      </w:pPr>
      <w:r>
        <w:rPr>
          <w:rFonts w:ascii="Calibri" w:cs="Calibri" w:eastAsia="Calibri" w:hAnsi="Calibri"/>
          <w:sz w:val="20"/>
          <w:szCs w:val="20"/>
          <w:color w:val="auto"/>
        </w:rPr>
        <w:t>Joseph H. Capper, MIMEDX Chief Executve Ofcer, added, “Tifany and Dorothy will be exceptonal additons to the Board. These individuals have highly complementary skill sets, which, coupled with their proven track records of leadership and infuence at prominent organizatons across healthcare and other industries, will elevate our Board as a whole.”</w:t>
      </w:r>
    </w:p>
    <w:p>
      <w:pPr>
        <w:spacing w:after="0" w:line="25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About Tifany Olson</w:t>
      </w:r>
    </w:p>
    <w:p>
      <w:pPr>
        <w:spacing w:after="0" w:line="22" w:lineRule="exact"/>
        <w:rPr>
          <w:sz w:val="20"/>
          <w:szCs w:val="20"/>
          <w:color w:val="auto"/>
        </w:rPr>
      </w:pPr>
    </w:p>
    <w:p>
      <w:pPr>
        <w:jc w:val="both"/>
        <w:spacing w:after="0" w:line="254" w:lineRule="auto"/>
        <w:rPr>
          <w:sz w:val="20"/>
          <w:szCs w:val="20"/>
          <w:color w:val="auto"/>
        </w:rPr>
      </w:pPr>
      <w:r>
        <w:rPr>
          <w:rFonts w:ascii="Calibri" w:cs="Calibri" w:eastAsia="Calibri" w:hAnsi="Calibri"/>
          <w:sz w:val="20"/>
          <w:szCs w:val="20"/>
          <w:color w:val="auto"/>
        </w:rPr>
        <w:t>Ms. Olson currently serves as a board member for two other public companies, Telix Pharmaceutcals and Castle Biosciences, and a privately held growth-stage company, Langham Logistcs. She previously held CEO, president, and senior leadership positons in the U.S. and Europe at multple internatonal Fortune 100 healthcare companies, including Cardinal Health, Roche, and Eli Lilly.</w:t>
      </w:r>
    </w:p>
    <w:p>
      <w:pPr>
        <w:spacing w:after="0" w:line="25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About Dorothy Puhy</w:t>
      </w:r>
    </w:p>
    <w:p>
      <w:pPr>
        <w:spacing w:after="0" w:line="22" w:lineRule="exact"/>
        <w:rPr>
          <w:sz w:val="20"/>
          <w:szCs w:val="20"/>
          <w:color w:val="auto"/>
        </w:rPr>
      </w:pPr>
    </w:p>
    <w:p>
      <w:pPr>
        <w:jc w:val="both"/>
        <w:spacing w:after="0" w:line="254" w:lineRule="auto"/>
        <w:rPr>
          <w:sz w:val="20"/>
          <w:szCs w:val="20"/>
          <w:color w:val="auto"/>
        </w:rPr>
      </w:pPr>
      <w:r>
        <w:rPr>
          <w:rFonts w:ascii="Calibri" w:cs="Calibri" w:eastAsia="Calibri" w:hAnsi="Calibri"/>
          <w:sz w:val="20"/>
          <w:szCs w:val="20"/>
          <w:color w:val="auto"/>
        </w:rPr>
        <w:t>Ms. Puhy has previously held board positons at Abiomed, Azenta, Eaton Vance, Reebok, and other privately held companies. She has also held several executve leadership positons, including CFO and EVP, COO of Dana-Farber Cancer Insttute and EVP, CFO of New England Medical Center (now Tufs Medical Center).</w:t>
      </w:r>
    </w:p>
    <w:p>
      <w:pPr>
        <w:spacing w:after="0" w:line="25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About MIMEDX</w:t>
      </w:r>
    </w:p>
    <w:p>
      <w:pPr>
        <w:spacing w:after="0" w:line="22" w:lineRule="exact"/>
        <w:rPr>
          <w:sz w:val="20"/>
          <w:szCs w:val="20"/>
          <w:color w:val="auto"/>
        </w:rPr>
      </w:pPr>
    </w:p>
    <w:p>
      <w:pPr>
        <w:jc w:val="both"/>
        <w:spacing w:after="0" w:line="257" w:lineRule="auto"/>
        <w:rPr>
          <w:sz w:val="20"/>
          <w:szCs w:val="20"/>
          <w:color w:val="auto"/>
        </w:rPr>
      </w:pPr>
      <w:r>
        <w:rPr>
          <w:rFonts w:ascii="Calibri" w:cs="Calibri" w:eastAsia="Calibri" w:hAnsi="Calibri"/>
          <w:sz w:val="20"/>
          <w:szCs w:val="20"/>
          <w:color w:val="auto"/>
        </w:rPr>
        <w:t xml:space="preserve">MIMEDX is a pioneer and leader focused on helping humans heal. With more than a decade of helping clinicians manage chronic and other hard-to-heal wounds, MIMEDX is dedicated to providing a leading portolio of products for applicatons in the wound care, burn, and surgical sectors of healthcare. The Company’s vision is to be the leading global provider of healing solutons through relentless innovaton to restore quality of life. For additonal informaton, please visit </w:t>
      </w:r>
      <w:r>
        <w:rPr>
          <w:rFonts w:ascii="Calibri" w:cs="Calibri" w:eastAsia="Calibri" w:hAnsi="Calibri"/>
          <w:sz w:val="20"/>
          <w:szCs w:val="20"/>
          <w:u w:val="single" w:color="auto"/>
          <w:color w:val="auto"/>
        </w:rPr>
        <w:t>www.mimedx.com</w:t>
      </w:r>
      <w:r>
        <w:rPr>
          <w:rFonts w:ascii="Calibri" w:cs="Calibri" w:eastAsia="Calibri" w:hAnsi="Calibri"/>
          <w:sz w:val="20"/>
          <w:szCs w:val="20"/>
          <w:color w:val="auto"/>
        </w:rPr>
        <w:t>.</w:t>
      </w:r>
    </w:p>
    <w:p>
      <w:pPr>
        <w:spacing w:after="0" w:line="241"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Contact:</w:t>
      </w:r>
    </w:p>
    <w:p>
      <w:pPr>
        <w:spacing w:after="0" w:line="26" w:lineRule="exact"/>
        <w:rPr>
          <w:sz w:val="20"/>
          <w:szCs w:val="20"/>
          <w:color w:val="auto"/>
        </w:rPr>
      </w:pPr>
    </w:p>
    <w:p>
      <w:pPr>
        <w:spacing w:after="0"/>
        <w:rPr>
          <w:sz w:val="20"/>
          <w:szCs w:val="20"/>
          <w:color w:val="auto"/>
        </w:rPr>
      </w:pPr>
      <w:r>
        <w:rPr>
          <w:rFonts w:ascii="Calibri" w:cs="Calibri" w:eastAsia="Calibri" w:hAnsi="Calibri"/>
          <w:sz w:val="20"/>
          <w:szCs w:val="20"/>
          <w:color w:val="auto"/>
        </w:rPr>
        <w:t>Mat Notarianni</w:t>
      </w:r>
    </w:p>
    <w:p>
      <w:pPr>
        <w:spacing w:after="0" w:line="12" w:lineRule="exact"/>
        <w:rPr>
          <w:sz w:val="20"/>
          <w:szCs w:val="20"/>
          <w:color w:val="auto"/>
        </w:rPr>
      </w:pPr>
    </w:p>
    <w:p>
      <w:pPr>
        <w:spacing w:after="0"/>
        <w:rPr>
          <w:sz w:val="20"/>
          <w:szCs w:val="20"/>
          <w:color w:val="auto"/>
        </w:rPr>
      </w:pPr>
      <w:r>
        <w:rPr>
          <w:rFonts w:ascii="Calibri" w:cs="Calibri" w:eastAsia="Calibri" w:hAnsi="Calibri"/>
          <w:sz w:val="20"/>
          <w:szCs w:val="20"/>
          <w:color w:val="auto"/>
        </w:rPr>
        <w:t>Investor Relatons</w:t>
      </w:r>
    </w:p>
    <w:p>
      <w:pPr>
        <w:spacing w:after="0" w:line="26" w:lineRule="exact"/>
        <w:rPr>
          <w:sz w:val="20"/>
          <w:szCs w:val="20"/>
          <w:color w:val="auto"/>
        </w:rPr>
      </w:pPr>
    </w:p>
    <w:p>
      <w:pPr>
        <w:spacing w:after="0"/>
        <w:rPr>
          <w:sz w:val="20"/>
          <w:szCs w:val="20"/>
          <w:color w:val="auto"/>
        </w:rPr>
      </w:pPr>
      <w:r>
        <w:rPr>
          <w:rFonts w:ascii="Calibri" w:cs="Calibri" w:eastAsia="Calibri" w:hAnsi="Calibri"/>
          <w:sz w:val="20"/>
          <w:szCs w:val="20"/>
          <w:color w:val="auto"/>
        </w:rPr>
        <w:t>470-304-7291</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mnotarianni@mimedx.com</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2024-03-04T07:23:30Z</dcterms:created>
  <dcterms:modified xsi:type="dcterms:W3CDTF">2024-03-04T07:23:30Z</dcterms:modified>
</cp:coreProperties>
</file>