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643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4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Hulse William Frank 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MDXG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CAO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74,987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488,536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62,758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62,758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171,190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restricted stock which vests fully on the third anniversary of the grant, subject to the reporting person's continued employment as specified in the Restricted Stock Unit Agreement.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granted to the reporting person shall vest 25% on each anniversary of the grant date, subject to the reporting person's continued employment as specified in the Nonqualified Stock Option Agreement..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/s/William F. Hulse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044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2026-03-06T16:47:30Z</dcterms:created>
  <dcterms:modified xsi:type="dcterms:W3CDTF">2026-03-06T16:47:30Z</dcterms:modified>
</cp:coreProperties>
</file>