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MIMEDX GROUP,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2"/>
          <w:szCs w:val="12"/>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001-35887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26-2792552</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51"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1775 West Oak Commons Ct., NE, Marietta GA 30062</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ectPr>
          <w:pgSz w:w="11900" w:h="16838" w:orient="portrait"/>
          <w:cols w:equalWidth="0" w:num="1">
            <w:col w:w="9019"/>
          </w:cols>
          <w:pgMar w:left="1440" w:top="305" w:right="1440" w:bottom="1440" w:gutter="0" w:footer="0" w:header="0"/>
          <w:type w:val="continuous"/>
        </w:sectPr>
      </w:pP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(770) 651-9100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167005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2"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MDXG</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Important Cautionary Statement</w:t>
      </w:r>
    </w:p>
    <w:p>
      <w:pPr>
        <w:spacing w:after="0" w:line="80" w:lineRule="exact"/>
        <w:rPr>
          <w:sz w:val="20"/>
          <w:szCs w:val="20"/>
          <w:color w:val="auto"/>
        </w:rPr>
      </w:pPr>
    </w:p>
    <w:p>
      <w:pPr>
        <w:ind w:left="640" w:right="699"/>
        <w:spacing w:after="0" w:line="274" w:lineRule="auto"/>
        <w:rPr>
          <w:sz w:val="20"/>
          <w:szCs w:val="20"/>
          <w:color w:val="auto"/>
        </w:rPr>
      </w:pPr>
      <w:r>
        <w:rPr>
          <w:rFonts w:ascii="Times New Roman" w:cs="Times New Roman" w:eastAsia="Times New Roman" w:hAnsi="Times New Roman"/>
          <w:sz w:val="12"/>
          <w:szCs w:val="12"/>
          <w:color w:val="auto"/>
        </w:rPr>
        <w:t>This report includes forward-looking statements. Statements regarding: (i) future sales or sales growth; (ii) our 2025 and longer term financial goals and expectations for future financial results, including levels of net sales, Adjusted EBITDA, Adjusted EBITDA margin, corporate expenses and cash;</w:t>
      </w:r>
    </w:p>
    <w:p>
      <w:pPr>
        <w:spacing w:after="0" w:line="1" w:lineRule="exact"/>
        <w:rPr>
          <w:sz w:val="20"/>
          <w:szCs w:val="20"/>
          <w:color w:val="auto"/>
        </w:rPr>
      </w:pPr>
    </w:p>
    <w:p>
      <w:pPr>
        <w:jc w:val="both"/>
        <w:ind w:left="640" w:right="659" w:hanging="3"/>
        <w:spacing w:after="0" w:line="275" w:lineRule="auto"/>
        <w:tabs>
          <w:tab w:leader="none" w:pos="861"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placental tissue market; (iv) our expectations regarding Medicare spending and (v) continued growth in different care settings, are forward-looking statements. Additional forward-looking statements may be identified by words such as “believe,” “expect,” “may,” “plan,” “goal,” “outlook,” “potential,” “will,” “preliminary,” and similar expressions, and are based on management’s current beliefs and expectations.</w:t>
      </w:r>
    </w:p>
    <w:p>
      <w:pPr>
        <w:spacing w:after="0" w:line="119"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the reimbursement environment and many other factors; (ii) the Company may change its plans due to unforeseen circumstances; (iii) the results of scientific research are uncertain and may have little or no value; (iv) our ability to sell our products in other countries depends on a number of factors including adequate levels of reimbursement, market acceptance of novel therapies, and our ability to build and manage a direct sales force or third party distribution relationship; (v) the effectiveness of amniotic tissue as a therapy for particular indications or conditions is the subject of further scientific and clinical studies; and (vi) we may alter the timing and amount of planned expenditures for research and development based on the results of clinical trials and other regulatory developments. The Company describes additional risks and uncertainties in the Risk Factors section of its most recent annual report and quarterly reports filed with the Securities and Exchange Commission. Any forward-looking statements speak only as of the date of this report and the Company assumes no obligation to update any forward-looking statement.</w:t>
      </w:r>
    </w:p>
    <w:p>
      <w:pPr>
        <w:spacing w:after="0" w:line="243"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w:t>
      </w:r>
    </w:p>
    <w:p>
      <w:pPr>
        <w:spacing w:after="0" w:line="78" w:lineRule="exact"/>
        <w:rPr>
          <w:sz w:val="20"/>
          <w:szCs w:val="20"/>
          <w:color w:val="auto"/>
        </w:rPr>
      </w:pPr>
    </w:p>
    <w:p>
      <w:pPr>
        <w:ind w:left="640" w:right="999"/>
        <w:spacing w:after="0" w:line="270" w:lineRule="auto"/>
        <w:rPr>
          <w:sz w:val="20"/>
          <w:szCs w:val="20"/>
          <w:color w:val="auto"/>
        </w:rPr>
      </w:pPr>
      <w:r>
        <w:rPr>
          <w:rFonts w:ascii="Times New Roman" w:cs="Times New Roman" w:eastAsia="Times New Roman" w:hAnsi="Times New Roman"/>
          <w:sz w:val="13"/>
          <w:szCs w:val="13"/>
          <w:color w:val="auto"/>
        </w:rPr>
        <w:t>MiMedx Group, Inc.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updated its investor presentation on January 14, 2025. A copy of the presentation materials is furnished as Exhibit 99.1 to this Current Report on Form 8-K (this “</w:t>
      </w:r>
      <w:r>
        <w:rPr>
          <w:rFonts w:ascii="Times New Roman" w:cs="Times New Roman" w:eastAsia="Times New Roman" w:hAnsi="Times New Roman"/>
          <w:sz w:val="13"/>
          <w:szCs w:val="13"/>
          <w:b w:val="1"/>
          <w:bCs w:val="1"/>
          <w:color w:val="auto"/>
        </w:rPr>
        <w:t>Current Report</w:t>
      </w:r>
      <w:r>
        <w:rPr>
          <w:rFonts w:ascii="Times New Roman" w:cs="Times New Roman" w:eastAsia="Times New Roman" w:hAnsi="Times New Roman"/>
          <w:sz w:val="13"/>
          <w:szCs w:val="13"/>
          <w:color w:val="auto"/>
        </w:rPr>
        <w:t>”) and is incorporated herein by reference.</w:t>
      </w:r>
    </w:p>
    <w:p>
      <w:pPr>
        <w:spacing w:after="0" w:line="121" w:lineRule="exact"/>
        <w:rPr>
          <w:sz w:val="20"/>
          <w:szCs w:val="20"/>
          <w:color w:val="auto"/>
        </w:rPr>
      </w:pPr>
    </w:p>
    <w:p>
      <w:pPr>
        <w:ind w:left="640" w:right="679"/>
        <w:spacing w:after="0" w:line="286" w:lineRule="auto"/>
        <w:rPr>
          <w:sz w:val="20"/>
          <w:szCs w:val="20"/>
          <w:color w:val="auto"/>
        </w:rPr>
      </w:pPr>
      <w:r>
        <w:rPr>
          <w:rFonts w:ascii="Times New Roman" w:cs="Times New Roman" w:eastAsia="Times New Roman" w:hAnsi="Times New Roman"/>
          <w:sz w:val="12"/>
          <w:szCs w:val="12"/>
          <w:color w:val="auto"/>
        </w:rPr>
        <w:t>The information in this Current Report, including Exhibit 99.1,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nor shall such information be deemed incorporated by reference in any filing under the Securities Act of 1933, as amended, except as expressly set forth by specific reference in such filing.</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32"/>
        </w:trPr>
        <w:tc>
          <w:tcPr>
            <w:tcW w:w="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41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r>
      <w:tr>
        <w:trPr>
          <w:trHeight w:val="188"/>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0000EE"/>
              </w:rPr>
              <w:t>Investor Presentation dated January 2025</w:t>
            </w:r>
          </w:p>
        </w:tc>
      </w:tr>
      <w:tr>
        <w:trPr>
          <w:trHeight w:val="20"/>
        </w:trPr>
        <w:tc>
          <w:tcPr>
            <w:tcW w:w="7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36"/>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41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6"/>
              </w:rPr>
              <w:t>The cover page from this Current Report on Form 8-K, formatted in Inline XBRL.</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Exchange Act, the Registrant has duly caused this report to be signed on its behalf by the undersigned hereunto duly authorized.</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b w:val="1"/>
          <w:bCs w:val="1"/>
          <w:color w:val="auto"/>
        </w:rPr>
        <w:t>MIMEDX GROUP,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January 14,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Doug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Doug Rice</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2025-01-14T07:12:21Z</dcterms:created>
  <dcterms:modified xsi:type="dcterms:W3CDTF">2025-01-14T07:12:21Z</dcterms:modified>
</cp:coreProperties>
</file>