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8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2025</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MIMEDX GROUP, INC.</w:t>
      </w:r>
    </w:p>
    <w:p>
      <w:pPr>
        <w:spacing w:after="0" w:line="209"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1840" w:type="dxa"/>
            <w:vAlign w:val="bottom"/>
          </w:tcPr>
          <w:p>
            <w:pPr>
              <w:spacing w:after="0"/>
              <w:rPr>
                <w:sz w:val="20"/>
                <w:szCs w:val="20"/>
                <w:color w:val="auto"/>
              </w:rPr>
            </w:pPr>
          </w:p>
        </w:tc>
      </w:tr>
      <w:tr>
        <w:trPr>
          <w:trHeight w:val="423"/>
        </w:trPr>
        <w:tc>
          <w:tcPr>
            <w:tcW w:w="2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4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001-35887</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26-2792552</w:t>
            </w:r>
          </w:p>
        </w:tc>
      </w:tr>
      <w:tr>
        <w:trPr>
          <w:trHeight w:val="229"/>
        </w:trPr>
        <w:tc>
          <w:tcPr>
            <w:tcW w:w="2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651-9100</w:t>
      </w:r>
    </w:p>
    <w:p>
      <w:pPr>
        <w:spacing w:after="0" w:line="18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highlight w:val="black"/>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2420" w:type="dxa"/>
            <w:vAlign w:val="bottom"/>
            <w:tcBorders>
              <w:bottom w:val="single" w:sz="8" w:color="auto"/>
            </w:tcBorders>
            <w:vMerge w:val="continue"/>
          </w:tcPr>
          <w:p>
            <w:pPr>
              <w:spacing w:after="0"/>
              <w:rPr>
                <w:sz w:val="21"/>
                <w:szCs w:val="21"/>
                <w:color w:val="auto"/>
              </w:rPr>
            </w:pPr>
          </w:p>
        </w:tc>
        <w:tc>
          <w:tcPr>
            <w:tcW w:w="4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3720" w:type="dxa"/>
            <w:vAlign w:val="bottom"/>
          </w:tcPr>
          <w:p>
            <w:pPr>
              <w:jc w:val="center"/>
              <w:ind w:right="8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MDXG</w:t>
            </w:r>
          </w:p>
        </w:tc>
        <w:tc>
          <w:tcPr>
            <w:tcW w:w="40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4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18, 2025, the Company held its 2025 Annual Meeting of Shareholders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the 2025 Annual Meeting, 126,620,293 shares of Company common stock (i.e., approximately 85.7% of votes entitled to be cast at the 2025 Annual Meeting) were represented in person or by proxy.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2025 Annual Meeting, the shareholders: (1) re-elected M. Kathleen Behrens, Ph.D., Joseph H. Capper, James L. Bierman, William A. Hawkins, III, Cato T. Laurencin, M.D., K. Todd Newton, Tiffany Olson, Dorothy Puhy, and Martin P. Sutter, (2) approved an advisory resolution regarding executive compensation, (3) certified the appointment of Deloitte &amp; Touche LLP as the Company’s independent registered public accounting firm for the fiscal year ending December 31, 2025, (4) approved an amendment of the Company’s 2016 Equity and Cash Incentive Plan, and (5) approved an advisory resolution for an annual shareholder vote on executive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information regarding the votes cast for each proposal.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Proposal 1: Election of Nine Directors.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7"/>
        </w:trPr>
        <w:tc>
          <w:tcPr>
            <w:tcW w:w="3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7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91,972,156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9,879,214</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61,741</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30"/>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95,965,049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5,907,223</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29"/>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97,144,748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4,711,520</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30"/>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95,312,036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6,511,171</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29"/>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97,246,926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4,513,738</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29"/>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96,774,711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5,002,007</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30"/>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Tiffany Olson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96,835,684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5,014,632</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29"/>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Dorothy Puhy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95,383,954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6,462,064</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229"/>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94,553,803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7,301,165</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r>
        <w:trPr>
          <w:trHeight w:val="48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Proposal 2: Advisory approval of executive compensation.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6"/>
        </w:trPr>
        <w:tc>
          <w:tcPr>
            <w:tcW w:w="3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Voted</w:t>
            </w:r>
          </w:p>
        </w:tc>
        <w:tc>
          <w:tcPr>
            <w:tcW w:w="720" w:type="dxa"/>
            <w:vAlign w:val="bottom"/>
            <w:tcBorders>
              <w:top w:val="single" w:sz="8" w:color="auto"/>
            </w:tcBorders>
            <w:gridSpan w:val="2"/>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94,778,256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6,924,968</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209,887</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bl>
    <w:p>
      <w:pPr>
        <w:spacing w:after="0" w:line="25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i w:val="1"/>
          <w:iCs w:val="1"/>
          <w:color w:val="auto"/>
        </w:rPr>
        <w:t>Proposal 3: Ratification of Deloitte &amp; Touche LLP as the Company’s independent registered public accounting firm for the fiscal year ending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9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Voted</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123,672,273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970,687</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1,977,333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Approval of the amendment of the Company’s 2016 Cash and Equity Incentive Plan.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9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Voted</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91,371,825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10,344,239</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197,047</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24,707,182</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5: Advisory approval of the frequency of the shareholder vote on executive compensation.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Voted</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97,503,345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462,185</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2,446,853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1,500,728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Say-on-Pay Frequency Determination</w:t>
      </w:r>
    </w:p>
    <w:p>
      <w:pPr>
        <w:spacing w:after="0" w:line="2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light of the shareholder advisory vote, the Company has determined that future advisory Say on Pay votes will occur every year until the next advisory vote regarding such frequency.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8"/>
        </w:trPr>
        <w:tc>
          <w:tcPr>
            <w:tcW w:w="1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9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150"/>
        </w:trPr>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spacing w:after="0" w:line="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June 20, 2025</w:t>
      </w:r>
      <w:r>
        <w:rPr>
          <w:sz w:val="20"/>
          <w:szCs w:val="20"/>
          <w:color w:val="auto"/>
        </w:rPr>
        <w:tab/>
      </w:r>
      <w:r>
        <w:rPr>
          <w:rFonts w:ascii="Times New Roman" w:cs="Times New Roman" w:eastAsia="Times New Roman" w:hAnsi="Times New Roman"/>
          <w:sz w:val="17"/>
          <w:szCs w:val="17"/>
          <w:color w:val="auto"/>
        </w:rPr>
        <w:t>By: /s/ William “Butch” Hulse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2991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“Butch” Hulse</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General Counsel &amp; Chief Administrative Officer</w:t>
      </w:r>
    </w:p>
    <w:sectPr>
      <w:pgSz w:w="11900" w:h="16838" w:orient="portrait"/>
      <w:cols w:equalWidth="0" w:num="1">
        <w:col w:w="11020"/>
      </w:cols>
      <w:pgMar w:left="3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2025-06-20T15:12:48Z</dcterms:created>
  <dcterms:modified xsi:type="dcterms:W3CDTF">2025-06-20T15:12:48Z</dcterms:modified>
</cp:coreProperties>
</file>