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ind w:left="580" w:right="2220" w:hanging="554"/>
        <w:spacing w:after="0" w:line="237"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Period Ended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60" w:right="2220" w:hanging="534"/>
        <w:spacing w:after="0" w:line="237" w:lineRule="auto"/>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For the transition period from _____________________to______________________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MIMEDX GROUP,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540" w:type="dxa"/>
        <w:tblCellMar>
          <w:top w:w="0" w:type="dxa"/>
          <w:left w:w="0" w:type="dxa"/>
          <w:bottom w:w="0" w:type="dxa"/>
          <w:right w:w="0" w:type="dxa"/>
        </w:tblCellMar>
      </w:tblPr>
      <w:tr>
        <w:trPr>
          <w:trHeight w:val="233"/>
        </w:trPr>
        <w:tc>
          <w:tcPr>
            <w:tcW w:w="44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Florida</w:t>
            </w:r>
          </w:p>
        </w:tc>
        <w:tc>
          <w:tcPr>
            <w:tcW w:w="4840" w:type="dxa"/>
            <w:vAlign w:val="bottom"/>
          </w:tcPr>
          <w:p>
            <w:pPr>
              <w:jc w:val="right"/>
              <w:ind w:right="770"/>
              <w:spacing w:after="0"/>
              <w:rPr>
                <w:sz w:val="20"/>
                <w:szCs w:val="20"/>
                <w:color w:val="auto"/>
              </w:rPr>
            </w:pPr>
            <w:r>
              <w:rPr>
                <w:rFonts w:ascii="Arial" w:cs="Arial" w:eastAsia="Arial" w:hAnsi="Arial"/>
                <w:sz w:val="18"/>
                <w:szCs w:val="18"/>
                <w:b w:val="1"/>
                <w:bCs w:val="1"/>
                <w:color w:val="auto"/>
              </w:rPr>
              <w:t>26-2792552</w:t>
            </w:r>
          </w:p>
        </w:tc>
        <w:tc>
          <w:tcPr>
            <w:tcW w:w="0" w:type="dxa"/>
            <w:vAlign w:val="bottom"/>
          </w:tcPr>
          <w:p>
            <w:pPr>
              <w:spacing w:after="0"/>
              <w:rPr>
                <w:sz w:val="1"/>
                <w:szCs w:val="1"/>
                <w:color w:val="auto"/>
              </w:rPr>
            </w:pPr>
          </w:p>
        </w:tc>
      </w:tr>
      <w:tr>
        <w:trPr>
          <w:trHeight w:val="230"/>
        </w:trPr>
        <w:tc>
          <w:tcPr>
            <w:tcW w:w="442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40" w:type="dxa"/>
            <w:vAlign w:val="bottom"/>
          </w:tcPr>
          <w:p>
            <w:pPr>
              <w:jc w:val="center"/>
              <w:ind w:left="215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97"/>
        </w:trPr>
        <w:tc>
          <w:tcPr>
            <w:tcW w:w="4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1775 West Oak Commons Ct NE</w:t>
            </w:r>
          </w:p>
        </w:tc>
        <w:tc>
          <w:tcPr>
            <w:tcW w:w="4840" w:type="dxa"/>
            <w:vAlign w:val="bottom"/>
            <w:vMerge w:val="restart"/>
          </w:tcPr>
          <w:p>
            <w:pPr>
              <w:jc w:val="right"/>
              <w:ind w:right="990"/>
              <w:spacing w:after="0"/>
              <w:rPr>
                <w:sz w:val="20"/>
                <w:szCs w:val="20"/>
                <w:color w:val="auto"/>
              </w:rPr>
            </w:pPr>
            <w:r>
              <w:rPr>
                <w:rFonts w:ascii="Arial" w:cs="Arial" w:eastAsia="Arial" w:hAnsi="Arial"/>
                <w:sz w:val="18"/>
                <w:szCs w:val="18"/>
                <w:b w:val="1"/>
                <w:bCs w:val="1"/>
                <w:color w:val="auto"/>
              </w:rPr>
              <w:t>30062</w:t>
            </w:r>
          </w:p>
        </w:tc>
        <w:tc>
          <w:tcPr>
            <w:tcW w:w="0" w:type="dxa"/>
            <w:vAlign w:val="bottom"/>
          </w:tcPr>
          <w:p>
            <w:pPr>
              <w:spacing w:after="0"/>
              <w:rPr>
                <w:sz w:val="1"/>
                <w:szCs w:val="1"/>
                <w:color w:val="auto"/>
              </w:rPr>
            </w:pPr>
          </w:p>
        </w:tc>
      </w:tr>
      <w:tr>
        <w:trPr>
          <w:trHeight w:val="229"/>
        </w:trPr>
        <w:tc>
          <w:tcPr>
            <w:tcW w:w="44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Marietta, GA</w:t>
            </w:r>
          </w:p>
        </w:tc>
        <w:tc>
          <w:tcPr>
            <w:tcW w:w="4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840" w:type="dxa"/>
            <w:vAlign w:val="bottom"/>
          </w:tcPr>
          <w:p>
            <w:pPr>
              <w:jc w:val="center"/>
              <w:ind w:left="215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97"/>
        </w:trPr>
        <w:tc>
          <w:tcPr>
            <w:tcW w:w="4420" w:type="dxa"/>
            <w:vAlign w:val="bottom"/>
          </w:tcPr>
          <w:p>
            <w:pPr>
              <w:spacing w:after="0"/>
              <w:rPr>
                <w:sz w:val="24"/>
                <w:szCs w:val="24"/>
                <w:color w:val="auto"/>
              </w:rPr>
            </w:pPr>
          </w:p>
        </w:tc>
        <w:tc>
          <w:tcPr>
            <w:tcW w:w="4840" w:type="dxa"/>
            <w:vAlign w:val="bottom"/>
          </w:tcPr>
          <w:p>
            <w:pPr>
              <w:jc w:val="right"/>
              <w:ind w:right="3530"/>
              <w:spacing w:after="0"/>
              <w:rPr>
                <w:sz w:val="20"/>
                <w:szCs w:val="20"/>
                <w:color w:val="auto"/>
              </w:rPr>
            </w:pPr>
            <w:r>
              <w:rPr>
                <w:rFonts w:ascii="Arial" w:cs="Arial" w:eastAsia="Arial" w:hAnsi="Arial"/>
                <w:sz w:val="18"/>
                <w:szCs w:val="18"/>
                <w:b w:val="1"/>
                <w:bCs w:val="1"/>
                <w:color w:val="auto"/>
                <w:w w:val="97"/>
              </w:rPr>
              <w:t>(770) 651-9100</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Securities registered pursuant to Section 12(b) of the Act:</w:t>
      </w:r>
    </w:p>
    <w:p>
      <w:pPr>
        <w:spacing w:after="0" w:line="221"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860" w:type="dxa"/>
            <w:vAlign w:val="bottom"/>
            <w:vMerge w:val="restart"/>
          </w:tcPr>
          <w:p>
            <w:pPr>
              <w:jc w:val="center"/>
              <w:ind w:right="65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94"/>
        </w:trPr>
        <w:tc>
          <w:tcPr>
            <w:tcW w:w="3860" w:type="dxa"/>
            <w:vAlign w:val="bottom"/>
            <w:vMerge w:val="continue"/>
          </w:tcPr>
          <w:p>
            <w:pPr>
              <w:spacing w:after="0"/>
              <w:rPr>
                <w:sz w:val="8"/>
                <w:szCs w:val="8"/>
                <w:color w:val="auto"/>
              </w:rPr>
            </w:pPr>
          </w:p>
        </w:tc>
        <w:tc>
          <w:tcPr>
            <w:tcW w:w="2840" w:type="dxa"/>
            <w:vAlign w:val="bottom"/>
            <w:vMerge w:val="continue"/>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60" w:type="dxa"/>
            <w:vAlign w:val="bottom"/>
          </w:tcPr>
          <w:p>
            <w:pPr>
              <w:jc w:val="center"/>
              <w:ind w:right="650"/>
              <w:spacing w:after="0"/>
              <w:rPr>
                <w:sz w:val="20"/>
                <w:szCs w:val="20"/>
                <w:color w:val="auto"/>
              </w:rPr>
            </w:pPr>
            <w:r>
              <w:rPr>
                <w:rFonts w:ascii="Arial" w:cs="Arial" w:eastAsia="Arial" w:hAnsi="Arial"/>
                <w:sz w:val="18"/>
                <w:szCs w:val="18"/>
                <w:color w:val="auto"/>
                <w:w w:val="89"/>
              </w:rPr>
              <w:t>Common Stock, par value $0.001 per share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MDXG</w:t>
            </w:r>
          </w:p>
        </w:tc>
        <w:tc>
          <w:tcPr>
            <w:tcW w:w="4000" w:type="dxa"/>
            <w:vAlign w:val="bottom"/>
          </w:tcPr>
          <w:p>
            <w:pPr>
              <w:jc w:val="center"/>
              <w:ind w:left="590"/>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Securities registered pursuant to Section 12(g) of the Act: None.</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9"/>
        </w:trPr>
        <w:tc>
          <w:tcPr>
            <w:tcW w:w="21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2240" w:type="dxa"/>
            <w:vAlign w:val="bottom"/>
          </w:tcPr>
          <w:p>
            <w:pPr>
              <w:spacing w:after="0"/>
              <w:rPr>
                <w:sz w:val="18"/>
                <w:szCs w:val="18"/>
                <w:color w:val="auto"/>
              </w:rPr>
            </w:pPr>
          </w:p>
        </w:tc>
        <w:tc>
          <w:tcPr>
            <w:tcW w:w="2260" w:type="dxa"/>
            <w:vAlign w:val="bottom"/>
          </w:tcPr>
          <w:p>
            <w:pPr>
              <w:jc w:val="center"/>
              <w:ind w:left="9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00" w:type="dxa"/>
            <w:vAlign w:val="bottom"/>
            <w:vMerge w:val="continue"/>
          </w:tcPr>
          <w:p>
            <w:pPr>
              <w:spacing w:after="0"/>
              <w:rPr>
                <w:sz w:val="15"/>
                <w:szCs w:val="15"/>
                <w:color w:val="auto"/>
              </w:rPr>
            </w:pPr>
          </w:p>
        </w:tc>
        <w:tc>
          <w:tcPr>
            <w:tcW w:w="2240" w:type="dxa"/>
            <w:vAlign w:val="bottom"/>
            <w:vMerge w:val="restart"/>
          </w:tcPr>
          <w:p>
            <w:pPr>
              <w:ind w:left="5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6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2"/>
              </w:rPr>
              <w:t>(Do not check if a smaller</w:t>
            </w:r>
          </w:p>
        </w:tc>
        <w:tc>
          <w:tcPr>
            <w:tcW w:w="4520" w:type="dxa"/>
            <w:vAlign w:val="bottom"/>
            <w:vMerge w:val="restart"/>
          </w:tcPr>
          <w:p>
            <w:pPr>
              <w:ind w:left="10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49"/>
        </w:trPr>
        <w:tc>
          <w:tcPr>
            <w:tcW w:w="2100" w:type="dxa"/>
            <w:vAlign w:val="bottom"/>
          </w:tcPr>
          <w:p>
            <w:pPr>
              <w:spacing w:after="0"/>
              <w:rPr>
                <w:sz w:val="20"/>
                <w:szCs w:val="20"/>
                <w:color w:val="auto"/>
              </w:rPr>
            </w:pPr>
            <w:r>
              <w:rPr>
                <w:rFonts w:ascii="Arial" w:cs="Arial" w:eastAsia="Arial" w:hAnsi="Arial"/>
                <w:sz w:val="18"/>
                <w:szCs w:val="18"/>
                <w:color w:val="auto"/>
              </w:rPr>
              <w:t>x</w:t>
            </w:r>
          </w:p>
        </w:tc>
        <w:tc>
          <w:tcPr>
            <w:tcW w:w="2240" w:type="dxa"/>
            <w:vAlign w:val="bottom"/>
            <w:vMerge w:val="continue"/>
          </w:tcPr>
          <w:p>
            <w:pPr>
              <w:spacing w:after="0"/>
              <w:rPr>
                <w:sz w:val="21"/>
                <w:szCs w:val="21"/>
                <w:color w:val="auto"/>
              </w:rPr>
            </w:pPr>
          </w:p>
        </w:tc>
        <w:tc>
          <w:tcPr>
            <w:tcW w:w="2260" w:type="dxa"/>
            <w:vAlign w:val="bottom"/>
          </w:tcPr>
          <w:p>
            <w:pPr>
              <w:jc w:val="center"/>
              <w:ind w:left="70"/>
              <w:spacing w:after="0"/>
              <w:rPr>
                <w:sz w:val="20"/>
                <w:szCs w:val="20"/>
                <w:color w:val="auto"/>
              </w:rPr>
            </w:pPr>
            <w:r>
              <w:rPr>
                <w:rFonts w:ascii="Arial" w:cs="Arial" w:eastAsia="Arial" w:hAnsi="Arial"/>
                <w:sz w:val="18"/>
                <w:szCs w:val="18"/>
                <w:color w:val="auto"/>
                <w:w w:val="91"/>
              </w:rPr>
              <w:t>reporting company)</w:t>
            </w:r>
          </w:p>
        </w:tc>
        <w:tc>
          <w:tcPr>
            <w:tcW w:w="4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were 111,946,829 shares of the registrant’s common stock, par value $0.001 per share, outstanding as of July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3"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500" w:type="dxa"/>
            <w:vAlign w:val="bottom"/>
          </w:tcPr>
          <w:p>
            <w:pPr>
              <w:spacing w:after="0"/>
              <w:rPr>
                <w:sz w:val="16"/>
                <w:szCs w:val="16"/>
                <w:color w:val="auto"/>
              </w:rPr>
            </w:pPr>
          </w:p>
        </w:tc>
        <w:tc>
          <w:tcPr>
            <w:tcW w:w="8860" w:type="dxa"/>
            <w:vAlign w:val="bottom"/>
            <w:gridSpan w:val="2"/>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 I</w:t>
            </w:r>
          </w:p>
        </w:tc>
        <w:tc>
          <w:tcPr>
            <w:tcW w:w="8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FINANCIAL INFORMATION</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00" w:type="dxa"/>
            <w:vAlign w:val="bottom"/>
          </w:tcPr>
          <w:p>
            <w:pPr>
              <w:ind w:left="140"/>
              <w:spacing w:after="0"/>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rPr>
                <w:sz w:val="20"/>
                <w:szCs w:val="20"/>
                <w:color w:val="auto"/>
              </w:rPr>
            </w:pPr>
            <w:r>
              <w:rPr>
                <w:rFonts w:ascii="Arial" w:cs="Arial" w:eastAsia="Arial" w:hAnsi="Arial"/>
                <w:sz w:val="18"/>
                <w:szCs w:val="18"/>
                <w:color w:val="auto"/>
              </w:rPr>
              <w:t>1</w:t>
            </w:r>
          </w:p>
        </w:tc>
        <w:tc>
          <w:tcPr>
            <w:tcW w:w="826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Condensed Consolidated Balance Sheets</w:t>
            </w:r>
          </w:p>
        </w:tc>
        <w:tc>
          <w:tcPr>
            <w:tcW w:w="18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Condensed Consolidated Statements of Operations</w:t>
            </w:r>
          </w:p>
        </w:tc>
        <w:tc>
          <w:tcPr>
            <w:tcW w:w="184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Condensed Consolidated Statements of Stockholders’ Equity</w:t>
            </w:r>
          </w:p>
        </w:tc>
        <w:tc>
          <w:tcPr>
            <w:tcW w:w="18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1840" w:type="dxa"/>
            <w:vAlign w:val="bottom"/>
            <w:gridSpan w:val="4"/>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Notes to the Condensed Consolidated Financial Statements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2</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Controls and Procedures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Part II</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INFORMATION</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1</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Legal Proceedings</w:t>
            </w:r>
          </w:p>
        </w:tc>
        <w:tc>
          <w:tcPr>
            <w:tcW w:w="1840" w:type="dxa"/>
            <w:vAlign w:val="bottom"/>
            <w:gridSpan w:val="4"/>
          </w:tcPr>
          <w:p>
            <w:pPr>
              <w:jc w:val="right"/>
              <w:ind w:right="20"/>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1A</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Risk Factors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2</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Defaults upon Senior Securities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Mine Safety Disclosures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Other Information</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6</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Exhibits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Signatures</w:t>
            </w:r>
          </w:p>
        </w:tc>
        <w:tc>
          <w:tcPr>
            <w:tcW w:w="8260" w:type="dxa"/>
            <w:vAlign w:val="bottom"/>
            <w:shd w:val="clear" w:color="auto" w:fill="CCEEFF"/>
          </w:tcPr>
          <w:p>
            <w:pPr>
              <w:spacing w:after="0"/>
              <w:rPr>
                <w:sz w:val="16"/>
                <w:szCs w:val="16"/>
                <w:color w:val="auto"/>
              </w:rPr>
            </w:pPr>
          </w:p>
        </w:tc>
        <w:tc>
          <w:tcPr>
            <w:tcW w:w="18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 w:name="page4"/>
    <w:bookmarkEnd w:id="3"/>
    <w:p>
      <w:pPr>
        <w:ind w:right="20"/>
        <w:spacing w:after="0" w:line="277" w:lineRule="auto"/>
        <w:rPr>
          <w:sz w:val="20"/>
          <w:szCs w:val="20"/>
          <w:color w:val="auto"/>
        </w:rPr>
      </w:pPr>
      <w:r>
        <w:rPr>
          <w:rFonts w:ascii="Arial" w:cs="Arial" w:eastAsia="Arial" w:hAnsi="Arial"/>
          <w:sz w:val="18"/>
          <w:szCs w:val="18"/>
          <w:color w:val="auto"/>
        </w:rPr>
        <w:t>As used herein, the terms “</w:t>
      </w:r>
      <w:r>
        <w:rPr>
          <w:rFonts w:ascii="Arial" w:cs="Arial" w:eastAsia="Arial" w:hAnsi="Arial"/>
          <w:sz w:val="18"/>
          <w:szCs w:val="18"/>
          <w:b w:val="1"/>
          <w:bCs w:val="1"/>
          <w:i w:val="1"/>
          <w:iCs w:val="1"/>
          <w:color w:val="auto"/>
        </w:rPr>
        <w:t>MiMedx</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us</w:t>
      </w:r>
      <w:r>
        <w:rPr>
          <w:rFonts w:ascii="Arial" w:cs="Arial" w:eastAsia="Arial" w:hAnsi="Arial"/>
          <w:sz w:val="18"/>
          <w:szCs w:val="18"/>
          <w:color w:val="auto"/>
        </w:rPr>
        <w:t>” refer to MiMedx Group, Inc., a Florida corporation, and its consolidated subsidiaries as a combined entity, except where it is clear that the terms mean only MiMedx Group,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Cautionary Statement Regarding Forward-Looking Statements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Quarterly Report on Form 10-Q (this “</w:t>
      </w:r>
      <w:r>
        <w:rPr>
          <w:rFonts w:ascii="Arial" w:cs="Arial" w:eastAsia="Arial" w:hAnsi="Arial"/>
          <w:sz w:val="18"/>
          <w:szCs w:val="18"/>
          <w:b w:val="1"/>
          <w:bCs w:val="1"/>
          <w:i w:val="1"/>
          <w:iCs w:val="1"/>
          <w:color w:val="auto"/>
        </w:rPr>
        <w:t>Quarterly Report</w:t>
      </w:r>
      <w:r>
        <w:rPr>
          <w:rFonts w:ascii="Arial" w:cs="Arial" w:eastAsia="Arial" w:hAnsi="Arial"/>
          <w:sz w:val="18"/>
          <w:szCs w:val="18"/>
          <w:color w:val="auto"/>
        </w:rPr>
        <w:t>”) contains forward-looking statements. All statements relating to events or results that may occur in the future are forward-looking statements, including, without limitation, statements regarding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end of the period of enforcement discretion announced by the United States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 including our inability to market our micronized products and certain other products after May 31, 2021;</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size, and prospects for our current and planned clinical trials; the clinical trial process is lengthy and expensive with uncertain outcomes, and often requires the enrollment of large numbers of patients, and suitable patients may be difficult to identify and recruit, and delays or failures in our clinical trials could prevent us from commercializing any modified or new products and will adversely affect our business, operating results and prospects;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focus, as illustrated by our current business priorities and our ability to implement these priorities;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sufficiency of our liquidity and existing capital resources to implement our current business priorities;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ongoing and future operating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of our products and development of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potential market and any growth in such market;</w:t>
      </w:r>
    </w:p>
    <w:p>
      <w:pPr>
        <w:spacing w:after="0" w:line="238"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ongoing regulatory obligations and oversight and the changing nature thereof impacting our products, research and clinical programs, and business, including those relating to patient privacy;</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manufacture certain of our products in compliance with current Good Manufacturing Practices (“</w:t>
      </w:r>
      <w:r>
        <w:rPr>
          <w:rFonts w:ascii="Arial" w:cs="Arial" w:eastAsia="Arial" w:hAnsi="Arial"/>
          <w:sz w:val="18"/>
          <w:szCs w:val="18"/>
          <w:b w:val="1"/>
          <w:bCs w:val="1"/>
          <w:i w:val="1"/>
          <w:iCs w:val="1"/>
          <w:color w:val="auto"/>
        </w:rPr>
        <w:t>CGMP</w:t>
      </w:r>
      <w:r>
        <w:rPr>
          <w:rFonts w:ascii="Arial" w:cs="Arial" w:eastAsia="Arial" w:hAnsi="Arial"/>
          <w:sz w:val="18"/>
          <w:szCs w:val="18"/>
          <w:color w:val="auto"/>
        </w:rPr>
        <w:t>”) in sufficient quantities to meet current and potential demand;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costs relating to our compliance with regulatory standards, including those arising from our clinical trials, pursuit of Biologics License Applications (“</w:t>
      </w:r>
      <w:r>
        <w:rPr>
          <w:rFonts w:ascii="Arial" w:cs="Arial" w:eastAsia="Arial" w:hAnsi="Arial"/>
          <w:sz w:val="18"/>
          <w:szCs w:val="18"/>
          <w:b w:val="1"/>
          <w:bCs w:val="1"/>
          <w:i w:val="1"/>
          <w:iCs w:val="1"/>
          <w:color w:val="auto"/>
        </w:rPr>
        <w:t>BLAs</w:t>
      </w:r>
      <w:r>
        <w:rPr>
          <w:rFonts w:ascii="Arial" w:cs="Arial" w:eastAsia="Arial" w:hAnsi="Arial"/>
          <w:sz w:val="18"/>
          <w:szCs w:val="18"/>
          <w:color w:val="auto"/>
        </w:rPr>
        <w:t>”), and CGMP compliance;</w:t>
      </w:r>
    </w:p>
    <w:p>
      <w:pPr>
        <w:spacing w:after="0" w:line="11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timing, and scope of possible regulatory approval and commercial launch of our late-stage product candidates and new indications for our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other third-party coverage and reimbursement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revenue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intellectual property rights in our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procure sufficient supplies of human tissue to manufacture and process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outcome of pending litigation and investigations;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remain in compliance with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reporting obligations and Nasdaq listing requirements;</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ongoing and future effects arising from the investigation conducted by the Audit Committee (the “</w:t>
      </w:r>
      <w:r>
        <w:rPr>
          <w:rFonts w:ascii="Arial" w:cs="Arial" w:eastAsia="Arial" w:hAnsi="Arial"/>
          <w:sz w:val="16"/>
          <w:szCs w:val="16"/>
          <w:b w:val="1"/>
          <w:bCs w:val="1"/>
          <w:i w:val="1"/>
          <w:iCs w:val="1"/>
          <w:color w:val="auto"/>
        </w:rPr>
        <w:t>Audit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into prior-period matters relating to allegations regarding certain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practices at the Company and certain other matters (the “</w:t>
      </w:r>
      <w:r>
        <w:rPr>
          <w:rFonts w:ascii="Arial" w:cs="Arial" w:eastAsia="Arial" w:hAnsi="Arial"/>
          <w:sz w:val="16"/>
          <w:szCs w:val="16"/>
          <w:b w:val="1"/>
          <w:bCs w:val="1"/>
          <w:i w:val="1"/>
          <w:iCs w:val="1"/>
          <w:color w:val="auto"/>
        </w:rPr>
        <w:t>Investigation</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Audit Committee Investigation</w:t>
      </w:r>
      <w:r>
        <w:rPr>
          <w:rFonts w:ascii="Arial" w:cs="Arial" w:eastAsia="Arial" w:hAnsi="Arial"/>
          <w:sz w:val="16"/>
          <w:szCs w:val="16"/>
          <w:color w:val="auto"/>
        </w:rPr>
        <w:t>”), the restatement of our consolidated financial statements previously filed in our Annual Report on Form 10-K for the year ended December 31, 2016, as well as selected unaudited condensed consolidated financial data as of and for the years ended December 31, 2015 (Restated) and 2014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p>
      <w:pPr>
        <w:ind w:left="660"/>
        <w:spacing w:after="0" w:line="277" w:lineRule="auto"/>
        <w:rPr>
          <w:sz w:val="20"/>
          <w:szCs w:val="20"/>
          <w:color w:val="auto"/>
        </w:rPr>
      </w:pPr>
      <w:r>
        <w:rPr>
          <w:rFonts w:ascii="Arial" w:cs="Arial" w:eastAsia="Arial" w:hAnsi="Arial"/>
          <w:sz w:val="18"/>
          <w:szCs w:val="18"/>
          <w:color w:val="auto"/>
        </w:rPr>
        <w:t>(Restated), which reflected adjustments to our previously filed consolidated financial statements as of and for the years ended December 31, 2015 and 2014 (collectively, the “</w:t>
      </w:r>
      <w:r>
        <w:rPr>
          <w:rFonts w:ascii="Arial" w:cs="Arial" w:eastAsia="Arial" w:hAnsi="Arial"/>
          <w:sz w:val="18"/>
          <w:szCs w:val="18"/>
          <w:b w:val="1"/>
          <w:bCs w:val="1"/>
          <w:i w:val="1"/>
          <w:iCs w:val="1"/>
          <w:color w:val="auto"/>
        </w:rPr>
        <w:t>Restatement</w:t>
      </w:r>
      <w:r>
        <w:rPr>
          <w:rFonts w:ascii="Arial" w:cs="Arial" w:eastAsia="Arial" w:hAnsi="Arial"/>
          <w:sz w:val="18"/>
          <w:szCs w:val="18"/>
          <w:color w:val="auto"/>
        </w:rPr>
        <w:t>”), and related litigation;</w:t>
      </w:r>
    </w:p>
    <w:p>
      <w:pPr>
        <w:spacing w:after="0" w:line="116" w:lineRule="exact"/>
        <w:rPr>
          <w:sz w:val="20"/>
          <w:szCs w:val="20"/>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ongoing and future effects of the Covid-19 Pandemic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on our business, employees, suppliers and other third parties with whom we do business, and our responses intended to mitigate such effects;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demographic and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plans to remediate the identified material weaknesses in our internal control environment and to strengthen our internal control environment;</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research and development costs, including those arising from filing additional investigative new drug applications and pursuing new BLAs;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Factors that may cause such a difference include, without limitation, those discussed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this Quarterly Report and in our previously-filed Annual Report on Form 10-K for the year ended December 31, 2020 (our “</w:t>
      </w:r>
      <w:r>
        <w:rPr>
          <w:rFonts w:ascii="Arial" w:cs="Arial" w:eastAsia="Arial" w:hAnsi="Arial"/>
          <w:sz w:val="18"/>
          <w:szCs w:val="18"/>
          <w:b w:val="1"/>
          <w:bCs w:val="1"/>
          <w:i w:val="1"/>
          <w:iCs w:val="1"/>
          <w:color w:val="auto"/>
        </w:rPr>
        <w:t>2020 Form 10-K</w:t>
      </w:r>
      <w:r>
        <w:rPr>
          <w:rFonts w:ascii="Arial" w:cs="Arial" w:eastAsia="Arial" w:hAnsi="Arial"/>
          <w:sz w:val="18"/>
          <w:szCs w:val="18"/>
          <w:color w:val="auto"/>
        </w:rPr>
        <w:t>”),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March 8, 2021.</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Quarterly Report is specifically qualified in its entirety by the aforementioned factors. Readers are advised to carefully read this Quarterly Report in conjunction with the important disclaimers set forth above prior to reaching any conclusions or making any investment decisions and not to place undue reliance on forward-looking statements, which apply only as of the date of the filing of this Quarterly Report with the SEC.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Projections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This discussion includes certain estimates, projections and other statistical data. These estimates and projections reflect management’s best estimates based upon currently available information and certain assumptions we believe to be reasonable. These estimates are inherently uncertain, subject to risks and uncertainties, many of which are not within our control, have not been reviewed by our independent auditors and may be revised as a result of management’s further review. In addition, these estimates and projections are not a comprehensive statement of our financial results, and our actual results may differ materially from these estimates and projections due to developments that may arise between now and the time the results are final. There can be no assurance that the estimates will be realized, and our results may vary significantly from the estimates, including as a result of unexpected issues in our business and operations. Accordingly, you should not place undue reliance on such information. Projections, assumptions and estimates of our future performance and the future performance of the markets in which we operate are necessarily subject to a high degree of uncertainty and risk.</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60" w:type="dxa"/>
            <w:vAlign w:val="bottom"/>
          </w:tcPr>
          <w:p>
            <w:pPr>
              <w:jc w:val="center"/>
              <w:ind w:left="315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960" w:type="dxa"/>
            <w:vAlign w:val="bottom"/>
          </w:tcPr>
          <w:p>
            <w:pPr>
              <w:jc w:val="center"/>
              <w:ind w:left="3150"/>
              <w:spacing w:after="0"/>
              <w:rPr>
                <w:sz w:val="20"/>
                <w:szCs w:val="20"/>
                <w:color w:val="auto"/>
              </w:rPr>
            </w:pPr>
            <w:r>
              <w:rPr>
                <w:rFonts w:ascii="Arial" w:cs="Arial" w:eastAsia="Arial" w:hAnsi="Arial"/>
                <w:sz w:val="18"/>
                <w:szCs w:val="18"/>
                <w:color w:val="auto"/>
                <w:w w:val="96"/>
              </w:rPr>
              <w:t>MIMEDX GROUP, INC. AND SUBSIDIARIES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center"/>
              <w:ind w:left="3170"/>
              <w:spacing w:after="0"/>
              <w:rPr>
                <w:sz w:val="20"/>
                <w:szCs w:val="20"/>
                <w:color w:val="auto"/>
              </w:rPr>
            </w:pPr>
            <w:r>
              <w:rPr>
                <w:rFonts w:ascii="Arial" w:cs="Arial" w:eastAsia="Arial" w:hAnsi="Arial"/>
                <w:sz w:val="18"/>
                <w:szCs w:val="18"/>
                <w:color w:val="auto"/>
                <w:w w:val="95"/>
              </w:rPr>
              <w:t>CONDENSED CONSOLIDATED BALANCE SHEETS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center"/>
              <w:ind w:left="3150"/>
              <w:spacing w:after="0"/>
              <w:rPr>
                <w:sz w:val="20"/>
                <w:szCs w:val="20"/>
                <w:color w:val="auto"/>
              </w:rPr>
            </w:pPr>
            <w:r>
              <w:rPr>
                <w:rFonts w:ascii="Arial" w:cs="Arial" w:eastAsia="Arial" w:hAnsi="Arial"/>
                <w:sz w:val="18"/>
                <w:szCs w:val="18"/>
                <w:color w:val="auto"/>
                <w:w w:val="88"/>
              </w:rPr>
              <w:t>(in thousands, except share data)</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jc w:val="center"/>
              <w:ind w:left="315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30, 2021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37,243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CONVERTIBLE PREFERRED STOCK,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50,571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 term debt,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Convertible preferred stock Series B; $0.001 par value; 100,000 shares authorized, issued and outstanding at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92,494</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2021 and December 31, 2020</w:t>
            </w:r>
          </w:p>
        </w:tc>
        <w:tc>
          <w:tcPr>
            <w:tcW w:w="20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Preferred stock Series A; $0.001 par value; 5,000,000 shares authorized, 0 issued and outstanding at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2021 and December 31, 2020</w:t>
            </w:r>
          </w:p>
        </w:tc>
        <w:tc>
          <w:tcPr>
            <w:tcW w:w="20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60" w:type="dxa"/>
            <w:vAlign w:val="bottom"/>
          </w:tcPr>
          <w:p>
            <w:pPr>
              <w:ind w:left="140"/>
              <w:spacing w:after="0" w:line="176" w:lineRule="exact"/>
              <w:rPr>
                <w:sz w:val="20"/>
                <w:szCs w:val="20"/>
                <w:color w:val="auto"/>
              </w:rPr>
            </w:pPr>
            <w:r>
              <w:rPr>
                <w:rFonts w:ascii="Arial" w:cs="Arial" w:eastAsia="Arial" w:hAnsi="Arial"/>
                <w:sz w:val="18"/>
                <w:szCs w:val="18"/>
                <w:color w:val="auto"/>
                <w:w w:val="94"/>
              </w:rPr>
              <w:t>Common stock; $0.001 par value; 187,500,000 shares authorized; 112,703,926 issued and 111,881,938</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w w:val="91"/>
              </w:rPr>
              <w:t>outstanding at June 30, 2021 and 112,703,926 issued and 110,930,243 outstanding at December 31, 2020</w:t>
            </w: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w w:val="96"/>
              </w:rPr>
              <w:t>Treasury stock at cost; 821,988 shares at June 30, 2021 and 1,773,683 shares at December 31, 2020</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ind w:left="14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color w:val="auto"/>
                <w:w w:val="98"/>
              </w:rPr>
              <w:t>Six Months Ended June 30,</w:t>
            </w:r>
          </w:p>
        </w:tc>
      </w:tr>
      <w:tr>
        <w:trPr>
          <w:trHeight w:val="223"/>
        </w:trPr>
        <w:tc>
          <w:tcPr>
            <w:tcW w:w="5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50"/>
        </w:trPr>
        <w:tc>
          <w:tcPr>
            <w:tcW w:w="5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115,383</w:t>
            </w: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18,223</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97,160</w:t>
            </w:r>
          </w:p>
        </w:tc>
      </w:tr>
      <w:tr>
        <w:trPr>
          <w:trHeight w:val="270"/>
        </w:trPr>
        <w:tc>
          <w:tcPr>
            <w:tcW w:w="5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84,270</w:t>
            </w: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Investigation, restatement and related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27,038</w:t>
            </w: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4,910</w:t>
            </w: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(19,600)</w:t>
            </w:r>
          </w:p>
        </w:tc>
      </w:tr>
      <w:tr>
        <w:trPr>
          <w:trHeight w:val="270"/>
        </w:trPr>
        <w:tc>
          <w:tcPr>
            <w:tcW w:w="5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r>
      <w:tr>
        <w:trPr>
          <w:trHeight w:val="230"/>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provision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(24,564)</w:t>
            </w: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 (expense)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9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 (Note 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w:t>
            </w:r>
          </w:p>
        </w:tc>
      </w:tr>
      <w:tr>
        <w:trPr>
          <w:trHeight w:val="217"/>
        </w:trPr>
        <w:tc>
          <w:tcPr>
            <w:tcW w:w="5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Net loss per common share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0"/>
        </w:trPr>
        <w:tc>
          <w:tcPr>
            <w:tcW w:w="5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110,276,636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108,119,461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109,841,428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108,081,625</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110,276,636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108,119,461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109,841,428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108,081,625</w:t>
            </w: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57" w:right="359" w:bottom="1440" w:gutter="0" w:footer="0" w:header="0"/>
        </w:sectPr>
      </w:pPr>
    </w:p>
    <w:bookmarkStart w:id="7" w:name="page8"/>
    <w:bookmarkEnd w:id="7"/>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7"/>
                <w:szCs w:val="17"/>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19"/>
                <w:szCs w:val="19"/>
                <w:color w:val="auto"/>
              </w:rPr>
            </w:pPr>
          </w:p>
        </w:tc>
        <w:tc>
          <w:tcPr>
            <w:tcW w:w="244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Arial" w:cs="Arial" w:eastAsia="Arial" w:hAnsi="Arial"/>
                <w:sz w:val="18"/>
                <w:szCs w:val="18"/>
                <w:color w:val="auto"/>
                <w:w w:val="95"/>
              </w:rPr>
              <w:t>Correction of out-of-period error (Note</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(928)</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(239,502)</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1)</w:t>
            </w:r>
          </w:p>
        </w:tc>
        <w:tc>
          <w:tcPr>
            <w:tcW w:w="1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8"/>
              </w:rPr>
              <w:t>Share-based compensation expense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Issuance of restricted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1240" w:type="dxa"/>
            <w:vAlign w:val="bottom"/>
          </w:tcPr>
          <w:p>
            <w:pPr>
              <w:jc w:val="right"/>
              <w:spacing w:after="0"/>
              <w:rPr>
                <w:sz w:val="20"/>
                <w:szCs w:val="20"/>
                <w:color w:val="auto"/>
              </w:rPr>
            </w:pPr>
            <w:r>
              <w:rPr>
                <w:rFonts w:ascii="Arial" w:cs="Arial" w:eastAsia="Arial" w:hAnsi="Arial"/>
                <w:sz w:val="18"/>
                <w:szCs w:val="18"/>
                <w:color w:val="auto"/>
              </w:rPr>
              <w:t>(19,774)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canceled/forfeited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w w:val="92"/>
              </w:rPr>
              <w:t>Shares repurchased for tax withholding</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127,046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right="280"/>
        <w:spacing w:after="0" w:line="299" w:lineRule="auto"/>
        <w:rPr>
          <w:sz w:val="20"/>
          <w:szCs w:val="20"/>
          <w:color w:val="auto"/>
        </w:rPr>
      </w:pPr>
      <w:r>
        <w:rPr>
          <w:rFonts w:ascii="Arial" w:cs="Arial" w:eastAsia="Arial" w:hAnsi="Arial"/>
          <w:sz w:val="16"/>
          <w:szCs w:val="16"/>
          <w:color w:val="auto"/>
        </w:rPr>
        <w:t>Balance at March 31, 2020 Share-based compensation expense Exercise of stock options</w:t>
      </w:r>
    </w:p>
    <w:p>
      <w:pPr>
        <w:spacing w:after="0" w:line="2" w:lineRule="exact"/>
        <w:rPr>
          <w:sz w:val="20"/>
          <w:szCs w:val="20"/>
          <w:color w:val="auto"/>
        </w:rPr>
      </w:pPr>
    </w:p>
    <w:p>
      <w:pPr>
        <w:ind w:left="20" w:right="1180"/>
        <w:spacing w:after="0" w:line="281" w:lineRule="auto"/>
        <w:rPr>
          <w:sz w:val="20"/>
          <w:szCs w:val="20"/>
          <w:color w:val="auto"/>
        </w:rPr>
      </w:pPr>
      <w:r>
        <w:rPr>
          <w:rFonts w:ascii="Arial" w:cs="Arial" w:eastAsia="Arial" w:hAnsi="Arial"/>
          <w:sz w:val="15"/>
          <w:szCs w:val="15"/>
          <w:color w:val="auto"/>
        </w:rPr>
        <w:t>Restricted stock shares canceled/forfeited</w:t>
      </w:r>
    </w:p>
    <w:p>
      <w:pPr>
        <w:spacing w:after="0" w:line="1" w:lineRule="exact"/>
        <w:rPr>
          <w:sz w:val="20"/>
          <w:szCs w:val="20"/>
          <w:color w:val="auto"/>
        </w:rPr>
      </w:pPr>
    </w:p>
    <w:p>
      <w:pPr>
        <w:ind w:left="20"/>
        <w:spacing w:after="0" w:line="289" w:lineRule="auto"/>
        <w:rPr>
          <w:sz w:val="20"/>
          <w:szCs w:val="20"/>
          <w:color w:val="auto"/>
        </w:rPr>
      </w:pPr>
      <w:r>
        <w:rPr>
          <w:rFonts w:ascii="Arial" w:cs="Arial" w:eastAsia="Arial" w:hAnsi="Arial"/>
          <w:sz w:val="18"/>
          <w:szCs w:val="18"/>
          <w:color w:val="auto"/>
        </w:rPr>
        <w:t>Shares repurchased for tax withholding Net loss</w:t>
      </w:r>
    </w:p>
    <w:p>
      <w:pPr>
        <w:ind w:left="2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6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1380" w:type="dxa"/>
            <w:vAlign w:val="bottom"/>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149,765</w:t>
            </w:r>
          </w:p>
        </w:tc>
        <w:tc>
          <w:tcPr>
            <w:tcW w:w="1240" w:type="dxa"/>
            <w:vAlign w:val="bottom"/>
          </w:tcPr>
          <w:p>
            <w:pPr>
              <w:jc w:val="right"/>
              <w:spacing w:after="0"/>
              <w:rPr>
                <w:sz w:val="20"/>
                <w:szCs w:val="20"/>
                <w:color w:val="auto"/>
              </w:rPr>
            </w:pPr>
            <w:r>
              <w:rPr>
                <w:rFonts w:ascii="Arial" w:cs="Arial" w:eastAsia="Arial" w:hAnsi="Arial"/>
                <w:sz w:val="18"/>
                <w:szCs w:val="18"/>
                <w:color w:val="auto"/>
              </w:rPr>
              <w:t>2,163,066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(12,578)</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(106,961)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30,339</w:t>
            </w:r>
          </w:p>
        </w:tc>
        <w:tc>
          <w:tcPr>
            <w:tcW w:w="0" w:type="dxa"/>
            <w:vAlign w:val="bottom"/>
          </w:tcPr>
          <w:p>
            <w:pPr>
              <w:spacing w:after="0"/>
              <w:rPr>
                <w:sz w:val="1"/>
                <w:szCs w:val="1"/>
                <w:color w:val="auto"/>
              </w:rPr>
            </w:pP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1,866</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240" w:type="dxa"/>
            <w:vAlign w:val="bottom"/>
          </w:tcPr>
          <w:p>
            <w:pPr>
              <w:jc w:val="right"/>
              <w:spacing w:after="0"/>
              <w:rPr>
                <w:sz w:val="20"/>
                <w:szCs w:val="20"/>
                <w:color w:val="auto"/>
              </w:rPr>
            </w:pPr>
            <w:r>
              <w:rPr>
                <w:rFonts w:ascii="Arial" w:cs="Arial" w:eastAsia="Arial" w:hAnsi="Arial"/>
                <w:sz w:val="18"/>
                <w:szCs w:val="18"/>
                <w:color w:val="auto"/>
              </w:rPr>
              <w:t>42,613</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240" w:type="dxa"/>
            <w:vAlign w:val="bottom"/>
          </w:tcPr>
          <w:p>
            <w:pPr>
              <w:jc w:val="right"/>
              <w:spacing w:after="0"/>
              <w:rPr>
                <w:sz w:val="20"/>
                <w:szCs w:val="20"/>
                <w:color w:val="auto"/>
              </w:rPr>
            </w:pPr>
            <w:r>
              <w:rPr>
                <w:rFonts w:ascii="Arial" w:cs="Arial" w:eastAsia="Arial" w:hAnsi="Arial"/>
                <w:sz w:val="18"/>
                <w:szCs w:val="18"/>
                <w:color w:val="auto"/>
              </w:rPr>
              <w:t>256,843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151,625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(13,451)</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-1182370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-882015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-479425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-187960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60"/>
            <w:col w:w="8320"/>
          </w:cols>
          <w:pgMar w:left="320" w:top="1440"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2020</w:t>
      </w:r>
    </w:p>
    <w:p>
      <w:pPr>
        <w:spacing w:after="0" w:line="2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Correction of out-of-period error (Note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Deemed dividends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Exercise of 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Issuance of restricted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canceled/forfeited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Shares repurchased for tax withholding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Balance at December 31, 2019 Share-based compensation expense Exercise of stock options Issuance of restricted stock Restricted stock canceled/forfeited Shares repurchased for tax withholding Net loss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7"/>
                <w:szCs w:val="17"/>
                <w:color w:val="auto"/>
              </w:rPr>
            </w:pPr>
          </w:p>
        </w:tc>
        <w:tc>
          <w:tcPr>
            <w:tcW w:w="118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4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1360" w:type="dxa"/>
            <w:vAlign w:val="bottom"/>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158,610</w:t>
            </w:r>
          </w:p>
        </w:tc>
        <w:tc>
          <w:tcPr>
            <w:tcW w:w="1240" w:type="dxa"/>
            <w:vAlign w:val="bottom"/>
          </w:tcPr>
          <w:p>
            <w:pPr>
              <w:jc w:val="right"/>
              <w:spacing w:after="0"/>
              <w:rPr>
                <w:sz w:val="20"/>
                <w:szCs w:val="20"/>
                <w:color w:val="auto"/>
              </w:rPr>
            </w:pPr>
            <w:r>
              <w:rPr>
                <w:rFonts w:ascii="Arial" w:cs="Arial" w:eastAsia="Arial" w:hAnsi="Arial"/>
                <w:sz w:val="18"/>
                <w:szCs w:val="18"/>
                <w:color w:val="auto"/>
              </w:rPr>
              <w:t>1,773,683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(7,449)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(151,424)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403"/>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(2,009)</w:t>
            </w:r>
          </w:p>
        </w:tc>
        <w:tc>
          <w:tcPr>
            <w:tcW w:w="1240" w:type="dxa"/>
            <w:vAlign w:val="bottom"/>
          </w:tcPr>
          <w:p>
            <w:pPr>
              <w:jc w:val="right"/>
              <w:spacing w:after="0"/>
              <w:rPr>
                <w:sz w:val="20"/>
                <w:szCs w:val="20"/>
                <w:color w:val="auto"/>
              </w:rPr>
            </w:pPr>
            <w:r>
              <w:rPr>
                <w:rFonts w:ascii="Arial" w:cs="Arial" w:eastAsia="Arial" w:hAnsi="Arial"/>
                <w:sz w:val="18"/>
                <w:szCs w:val="18"/>
                <w:color w:val="auto"/>
              </w:rPr>
              <w:t>(239,502)</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(926)</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7,304</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w:t>
            </w:r>
          </w:p>
        </w:tc>
        <w:tc>
          <w:tcPr>
            <w:tcW w:w="1240" w:type="dxa"/>
            <w:vAlign w:val="bottom"/>
          </w:tcPr>
          <w:p>
            <w:pPr>
              <w:jc w:val="right"/>
              <w:spacing w:after="0"/>
              <w:rPr>
                <w:sz w:val="20"/>
                <w:szCs w:val="20"/>
                <w:color w:val="auto"/>
              </w:rPr>
            </w:pPr>
            <w:r>
              <w:rPr>
                <w:rFonts w:ascii="Arial" w:cs="Arial" w:eastAsia="Arial" w:hAnsi="Arial"/>
                <w:sz w:val="18"/>
                <w:szCs w:val="18"/>
                <w:color w:val="auto"/>
              </w:rPr>
              <w:t>(452,329)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(3,576)</w:t>
            </w:r>
          </w:p>
        </w:tc>
        <w:tc>
          <w:tcPr>
            <w:tcW w:w="1240" w:type="dxa"/>
            <w:vAlign w:val="bottom"/>
          </w:tcPr>
          <w:p>
            <w:pPr>
              <w:jc w:val="right"/>
              <w:spacing w:after="0"/>
              <w:rPr>
                <w:sz w:val="20"/>
                <w:szCs w:val="20"/>
                <w:color w:val="auto"/>
              </w:rPr>
            </w:pPr>
            <w:r>
              <w:rPr>
                <w:rFonts w:ascii="Arial" w:cs="Arial" w:eastAsia="Arial" w:hAnsi="Arial"/>
                <w:sz w:val="18"/>
                <w:szCs w:val="18"/>
                <w:color w:val="auto"/>
              </w:rPr>
              <w:t>(761,775)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240" w:type="dxa"/>
            <w:vAlign w:val="bottom"/>
          </w:tcPr>
          <w:p>
            <w:pPr>
              <w:jc w:val="right"/>
              <w:spacing w:after="0"/>
              <w:rPr>
                <w:sz w:val="20"/>
                <w:szCs w:val="20"/>
                <w:color w:val="auto"/>
              </w:rPr>
            </w:pPr>
            <w:r>
              <w:rPr>
                <w:rFonts w:ascii="Arial" w:cs="Arial" w:eastAsia="Arial" w:hAnsi="Arial"/>
                <w:sz w:val="18"/>
                <w:szCs w:val="18"/>
                <w:color w:val="auto"/>
              </w:rPr>
              <w:t>48,026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453,885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30"/>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24"/>
                <w:szCs w:val="24"/>
                <w:color w:val="auto"/>
              </w:rPr>
            </w:pPr>
          </w:p>
        </w:tc>
        <w:tc>
          <w:tcPr>
            <w:tcW w:w="118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4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1360" w:type="dxa"/>
            <w:vAlign w:val="bottom"/>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147,231</w:t>
            </w:r>
          </w:p>
        </w:tc>
        <w:tc>
          <w:tcPr>
            <w:tcW w:w="1240" w:type="dxa"/>
            <w:vAlign w:val="bottom"/>
          </w:tcPr>
          <w:p>
            <w:pPr>
              <w:jc w:val="right"/>
              <w:spacing w:after="0"/>
              <w:rPr>
                <w:sz w:val="20"/>
                <w:szCs w:val="20"/>
                <w:color w:val="auto"/>
              </w:rPr>
            </w:pPr>
            <w:r>
              <w:rPr>
                <w:rFonts w:ascii="Arial" w:cs="Arial" w:eastAsia="Arial" w:hAnsi="Arial"/>
                <w:sz w:val="18"/>
                <w:szCs w:val="18"/>
                <w:color w:val="auto"/>
              </w:rPr>
              <w:t>1,885,277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(102,140)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34,398</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(1,658)</w:t>
            </w:r>
          </w:p>
        </w:tc>
        <w:tc>
          <w:tcPr>
            <w:tcW w:w="1240" w:type="dxa"/>
            <w:vAlign w:val="bottom"/>
          </w:tcPr>
          <w:p>
            <w:pPr>
              <w:jc w:val="right"/>
              <w:spacing w:after="0"/>
              <w:rPr>
                <w:sz w:val="20"/>
                <w:szCs w:val="20"/>
                <w:color w:val="auto"/>
              </w:rPr>
            </w:pPr>
            <w:r>
              <w:rPr>
                <w:rFonts w:ascii="Arial" w:cs="Arial" w:eastAsia="Arial" w:hAnsi="Arial"/>
                <w:sz w:val="18"/>
                <w:szCs w:val="18"/>
                <w:color w:val="auto"/>
              </w:rPr>
              <w:t>(220,300)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2,124</w:t>
            </w:r>
          </w:p>
        </w:tc>
        <w:tc>
          <w:tcPr>
            <w:tcW w:w="1240" w:type="dxa"/>
            <w:vAlign w:val="bottom"/>
          </w:tcPr>
          <w:p>
            <w:pPr>
              <w:jc w:val="right"/>
              <w:spacing w:after="0"/>
              <w:rPr>
                <w:sz w:val="20"/>
                <w:szCs w:val="20"/>
                <w:color w:val="auto"/>
              </w:rPr>
            </w:pPr>
            <w:r>
              <w:rPr>
                <w:rFonts w:ascii="Arial" w:cs="Arial" w:eastAsia="Arial" w:hAnsi="Arial"/>
                <w:sz w:val="18"/>
                <w:szCs w:val="18"/>
                <w:color w:val="auto"/>
              </w:rPr>
              <w:t>285,611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240" w:type="dxa"/>
            <w:vAlign w:val="bottom"/>
          </w:tcPr>
          <w:p>
            <w:pPr>
              <w:jc w:val="right"/>
              <w:spacing w:after="0"/>
              <w:rPr>
                <w:sz w:val="20"/>
                <w:szCs w:val="20"/>
                <w:color w:val="auto"/>
              </w:rPr>
            </w:pPr>
            <w:r>
              <w:rPr>
                <w:rFonts w:ascii="Arial" w:cs="Arial" w:eastAsia="Arial" w:hAnsi="Arial"/>
                <w:sz w:val="18"/>
                <w:szCs w:val="18"/>
                <w:color w:val="auto"/>
              </w:rPr>
              <w:t>461,934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30"/>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151,625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-3479800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-3068320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-2776855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-2485390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-2193925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-1216660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-916305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-625475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-334010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840" w:space="80"/>
            <w:col w:w="8300"/>
          </w:cols>
          <w:pgMar w:left="340" w:top="1067"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(13,287)</w:t>
            </w:r>
          </w:p>
        </w:tc>
      </w:tr>
      <w:tr>
        <w:trPr>
          <w:trHeight w:val="230"/>
        </w:trPr>
        <w:tc>
          <w:tcPr>
            <w:tcW w:w="7520" w:type="dxa"/>
            <w:vAlign w:val="bottom"/>
          </w:tcPr>
          <w:p>
            <w:pPr>
              <w:ind w:left="120"/>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2,928</w:t>
            </w: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lease expenses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Accretion of asset retirement obligation</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fixed asset disposal</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520" w:type="dxa"/>
            <w:vAlign w:val="bottom"/>
          </w:tcPr>
          <w:p>
            <w:pPr>
              <w:ind w:left="200"/>
              <w:spacing w:after="0"/>
              <w:rPr>
                <w:sz w:val="20"/>
                <w:szCs w:val="20"/>
                <w:color w:val="auto"/>
              </w:rPr>
            </w:pPr>
            <w:r>
              <w:rPr>
                <w:rFonts w:ascii="Arial" w:cs="Arial" w:eastAsia="Arial" w:hAnsi="Arial"/>
                <w:sz w:val="18"/>
                <w:szCs w:val="18"/>
                <w:color w:val="auto"/>
              </w:rPr>
              <w:t>Increase (decrease) in cash resulting from changes in:</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r>
      <w:tr>
        <w:trPr>
          <w:trHeight w:val="230"/>
        </w:trPr>
        <w:tc>
          <w:tcPr>
            <w:tcW w:w="75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29"/>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r>
      <w:tr>
        <w:trPr>
          <w:trHeight w:val="229"/>
        </w:trPr>
        <w:tc>
          <w:tcPr>
            <w:tcW w:w="75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(10,682)</w:t>
            </w:r>
          </w:p>
        </w:tc>
      </w:tr>
      <w:tr>
        <w:trPr>
          <w:trHeight w:val="230"/>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75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29"/>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75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(13,752)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(12,109)</w:t>
            </w:r>
          </w:p>
        </w:tc>
      </w:tr>
      <w:tr>
        <w:trPr>
          <w:trHeight w:val="229"/>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3"/>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used in operating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(15,378)</w:t>
            </w:r>
          </w:p>
        </w:tc>
      </w:tr>
      <w:tr>
        <w:trPr>
          <w:trHeight w:val="88"/>
        </w:trPr>
        <w:tc>
          <w:tcPr>
            <w:tcW w:w="75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equipment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7520" w:type="dxa"/>
            <w:vAlign w:val="bottom"/>
          </w:tcPr>
          <w:p>
            <w:pPr>
              <w:ind w:left="120"/>
              <w:spacing w:after="0"/>
              <w:rPr>
                <w:sz w:val="20"/>
                <w:szCs w:val="20"/>
                <w:color w:val="auto"/>
              </w:rPr>
            </w:pPr>
            <w:r>
              <w:rPr>
                <w:rFonts w:ascii="Arial" w:cs="Arial" w:eastAsia="Arial" w:hAnsi="Arial"/>
                <w:sz w:val="18"/>
                <w:szCs w:val="18"/>
                <w:color w:val="auto"/>
              </w:rPr>
              <w:t>Principal payments from note receivable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Patent application costs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used in investing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r>
      <w:tr>
        <w:trPr>
          <w:trHeight w:val="128"/>
        </w:trPr>
        <w:tc>
          <w:tcPr>
            <w:tcW w:w="7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9"/>
        </w:trPr>
        <w:tc>
          <w:tcPr>
            <w:tcW w:w="7520" w:type="dxa"/>
            <w:vAlign w:val="bottom"/>
          </w:tcPr>
          <w:p>
            <w:pPr>
              <w:ind w:left="120"/>
              <w:spacing w:after="0"/>
              <w:rPr>
                <w:sz w:val="20"/>
                <w:szCs w:val="20"/>
                <w:color w:val="auto"/>
              </w:rPr>
            </w:pPr>
            <w:r>
              <w:rPr>
                <w:rFonts w:ascii="Arial" w:cs="Arial" w:eastAsia="Arial" w:hAnsi="Arial"/>
                <w:sz w:val="18"/>
                <w:szCs w:val="18"/>
                <w:color w:val="auto"/>
              </w:rPr>
              <w:t>Stock repurchased for tax withholdings on vesting of restricted stock</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30"/>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on finance lease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tcPr>
          <w:p>
            <w:pPr>
              <w:ind w:left="120"/>
              <w:spacing w:after="0"/>
              <w:rPr>
                <w:sz w:val="20"/>
                <w:szCs w:val="20"/>
                <w:color w:val="auto"/>
              </w:rPr>
            </w:pPr>
            <w:r>
              <w:rPr>
                <w:rFonts w:ascii="Arial" w:cs="Arial" w:eastAsia="Arial" w:hAnsi="Arial"/>
                <w:sz w:val="18"/>
                <w:szCs w:val="18"/>
                <w:color w:val="auto"/>
              </w:rPr>
              <w:t>Deferred financing cost</w:t>
            </w: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term loans</w:t>
            </w: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(11,875)</w:t>
            </w:r>
          </w:p>
        </w:tc>
      </w:tr>
      <w:tr>
        <w:trPr>
          <w:trHeight w:val="230"/>
        </w:trPr>
        <w:tc>
          <w:tcPr>
            <w:tcW w:w="7520" w:type="dxa"/>
            <w:vAlign w:val="bottom"/>
          </w:tcPr>
          <w:p>
            <w:pPr>
              <w:ind w:left="120"/>
              <w:spacing w:after="0"/>
              <w:rPr>
                <w:sz w:val="20"/>
                <w:szCs w:val="20"/>
                <w:color w:val="auto"/>
              </w:rPr>
            </w:pPr>
            <w:r>
              <w:rPr>
                <w:rFonts w:ascii="Arial" w:cs="Arial" w:eastAsia="Arial" w:hAnsi="Arial"/>
                <w:sz w:val="18"/>
                <w:szCs w:val="18"/>
                <w:color w:val="auto"/>
              </w:rPr>
              <w:t>Proceeds from term loans</w:t>
            </w: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r>
      <w:tr>
        <w:trPr>
          <w:trHeight w:val="128"/>
        </w:trPr>
        <w:tc>
          <w:tcPr>
            <w:tcW w:w="7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(20,880)</w:t>
            </w:r>
          </w:p>
        </w:tc>
      </w:tr>
      <w:tr>
        <w:trPr>
          <w:trHeight w:val="148"/>
        </w:trPr>
        <w:tc>
          <w:tcPr>
            <w:tcW w:w="7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69,069</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48,189</w:t>
            </w:r>
          </w:p>
        </w:tc>
      </w:tr>
      <w:tr>
        <w:trPr>
          <w:trHeight w:val="20"/>
        </w:trPr>
        <w:tc>
          <w:tcPr>
            <w:tcW w:w="7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57"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MIMEDX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39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MiMedx Group, Inc. (together with its subsidiaries, except where the context otherwise requires, “</w:t>
      </w:r>
      <w:r>
        <w:rPr>
          <w:rFonts w:ascii="Arial" w:cs="Arial" w:eastAsia="Arial" w:hAnsi="Arial"/>
          <w:sz w:val="17"/>
          <w:szCs w:val="17"/>
          <w:b w:val="1"/>
          <w:bCs w:val="1"/>
          <w:i w:val="1"/>
          <w:iCs w:val="1"/>
          <w:color w:val="auto"/>
        </w:rPr>
        <w:t>MiMedx</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an industry leader in utilizing amniotic tissue as a platform for regenerative medicine, developing and distributing placental tissue allografts with patent-protected, proprietary processes for multiple sectors of healthcare. As a pioneer in placental biologics, MiMedx has both a base business, focused on addressing the needs of patients with acute and chronic non-healing wounds, and a promising late-state pipeline targeted at decreasing pain and improving function for patients with degenerative musculoskeletal conditions. The Company derives its products from human placental tissues and processes these tissues using its proprietary methods, including the PURION® process. MiMedx employs Current Good Tissue Practices, Current Good Manufacturing Practices, and terminal sterilization to produce its allografts. MiMedx provides products primarily in the wound care, burn, and surgical sectors of healthcare. All of its products are regulated by the United State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business model is focused primarily on the United States of America but the Company is pursuing opportunities for international expansion.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Discretion</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2017, the FDA published a series of guidances that established an updated framework for the regulation of cellular and tissue-based products. These guidances clarified the FDA’s views about the criteria that differentiate those products subject to regulation under Section 361 of the Public Health Service Act from those considered to be drugs, devices, and/or biological products subject to licensure under Section 351 of the Public Health Service Act and related regulations. The Company identified its micronized and particulate products as being subject to regulation under Section 351, requiring pre-market approval from the FDA for a specified indication with demonstrated clinical efficacy.</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exercised enforcement discretion with respect to Investigative New Drug (“</w:t>
      </w:r>
      <w:r>
        <w:rPr>
          <w:rFonts w:ascii="Arial" w:cs="Arial" w:eastAsia="Arial" w:hAnsi="Arial"/>
          <w:sz w:val="18"/>
          <w:szCs w:val="18"/>
          <w:b w:val="1"/>
          <w:bCs w:val="1"/>
          <w:i w:val="1"/>
          <w:iCs w:val="1"/>
          <w:color w:val="auto"/>
        </w:rPr>
        <w:t>IND</w:t>
      </w:r>
      <w:r>
        <w:rPr>
          <w:rFonts w:ascii="Arial" w:cs="Arial" w:eastAsia="Arial" w:hAnsi="Arial"/>
          <w:sz w:val="18"/>
          <w:szCs w:val="18"/>
          <w:color w:val="auto"/>
        </w:rPr>
        <w:t>”) applications and pre-market approval requirements through May 31, 2021. As of May 31, 2021, the Company stopped marketing its Section 351 products and will be precluded from marketing its Section 351 products in the United States until a Biologics License Application (“</w:t>
      </w:r>
      <w:r>
        <w:rPr>
          <w:rFonts w:ascii="Arial" w:cs="Arial" w:eastAsia="Arial" w:hAnsi="Arial"/>
          <w:sz w:val="18"/>
          <w:szCs w:val="18"/>
          <w:b w:val="1"/>
          <w:bCs w:val="1"/>
          <w:i w:val="1"/>
          <w:iCs w:val="1"/>
          <w:color w:val="auto"/>
        </w:rPr>
        <w:t>BLA</w:t>
      </w:r>
      <w:r>
        <w:rPr>
          <w:rFonts w:ascii="Arial" w:cs="Arial" w:eastAsia="Arial" w:hAnsi="Arial"/>
          <w:sz w:val="18"/>
          <w:szCs w:val="18"/>
          <w:color w:val="auto"/>
        </w:rPr>
        <w:t>”) is granted. If and when the FDA approves a BLA, we expect to be allowed to market the Section 351 products again, but only for specific indications as permitted by the FDA. Sales of the Company’s Section 351 products were $8.6 million and $6.2 million for the three months ended June 30, 2021 and 2020, respectively, and $16.7 million and $14.9 million for the six months ended June 30, 2021 and 2020, respectively.</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currently markets EPICORD and AMNIOCORD tissue products derived from human umbilical cord, as providing a protective environment or as a barrier. If the FDA were to determine that EPICORD and AMNIOCORD do not meet the requirements for regulation solely under Section 361, then pre-market clearance or approval would be required. The loss of the Company’s ability to market and sell its umbilical cord-derived products would have an adverse effect on the Company’s revenue, business, financial condition, and results of operations. Net sales of the Company’s umbilical cord-derived products were $5.9 million and $3.3 million for the three months ended June 30, 2021 and 2020, respectively, and $10.8 million and $7.2 million for the six months ended June 30, 2021 and 2020, respectively. Cord inventory, which would be at risk for write-down as a result of this determination, was $0.8 million as of June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Out-of-Period Adjustment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and six months ended June 30, 2021, the Company identified certain Restricted Stock Unit and Performance Stock Unit awards which were not appropriately reflected in the Company’s balance of common stock outstanding beginning in 2019. The effects of these errors caused misstatements in the Company’s balance of treasury stock, additional paid-in capital, and common stock outstanding on each of the Company’s reported consolidated balance sheets and consolidated statements of stockholders’ (deficit) equity for interim and annual periods beginning with those statements as of and for the year ended December 31, 2019. The identified errors did not affect total stockholders’ (deficit) equity or earnings per share in any period.</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an out-of-period adjustment during the three and six months ended June 30, 2021, which resulted in decreases of $0.9 million and $2.0 million to the balance of additional paid-in capital for the three and six months ended June 30, 2021, respectively, and increases of $0.9 million and $2.0 million to the balance of treasury stock during those same periods. The balance of common shares outstanding at June 30, 2021 of 111,881,938 reflects a cumulative increase of 239,502 shares relating to the adjustment.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Company concluded the effect of the misstatement was not material, qualitatively or quantitatively, to any interim or annual period.</w:t>
      </w:r>
    </w:p>
    <w:p>
      <w:pPr>
        <w:spacing w:after="0" w:line="16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Note 2 to the Company’s Consolidated Financial Statements included in the Company’s Annual Report on Form 10-K for the year ended December 31, 2020,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March 8, 2021 (the “</w:t>
      </w:r>
      <w:r>
        <w:rPr>
          <w:rFonts w:ascii="Arial" w:cs="Arial" w:eastAsia="Arial" w:hAnsi="Arial"/>
          <w:sz w:val="18"/>
          <w:szCs w:val="18"/>
          <w:b w:val="1"/>
          <w:bCs w:val="1"/>
          <w:i w:val="1"/>
          <w:iCs w:val="1"/>
          <w:color w:val="auto"/>
        </w:rPr>
        <w:t>2020 Form 10-K</w:t>
      </w:r>
      <w:r>
        <w:rPr>
          <w:rFonts w:ascii="Arial" w:cs="Arial" w:eastAsia="Arial" w:hAnsi="Arial"/>
          <w:sz w:val="18"/>
          <w:szCs w:val="18"/>
          <w:color w:val="auto"/>
        </w:rPr>
        <w:t>”) for a description of all significant accounting policies.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from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of the results of operations for the periods presented have been included. The operating results for the three and six months ended June 30, 2021 and 2020 are not necessarily indicative of the results that may be expected for the fiscal year. The balance sheet as of December 31, 2020 was derived from the audited consolidated financial statements at that date, but does not include all of the information and footnotes required by GAAP for complete financial statements.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historical consolidated financial statements of the Company included in the 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unaudited condensed consolidated financial statements have been prepared in accordance with GAAP. Conformity with GAAP requires management to make estimates and assumptions that affect the reported amounts of assets and liabilities and disclosure of contingent assets and liabilities at the date of the unaudited condensed consolidated financial statements and the reported unaudited condensed consolidated statements of operations during the reporting period. Actual results could differ from those estimates. Significant estimates include estimated useful lives and potential impairment of property and equipment and intangible assets, estimates regarding asset retirement obligations, estimates for contingent liabilities, the measurement of right-of-use assets and lease liabilities, management’s assessment of the Company’s ability to continue as a going concern, estimates of fair value of share-based payments, and valuation of deferred tax assets.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the Company has considered the potential effects of the Covid-19 Pandemic and potential negative impacts resulting from the end of the FDA’s period of Enforcement Discretion with respect to its determinations surrounding impairments, increases in allowances for credit losses, increases in the Company’s returns reserve, other expenses, and changes in accounting judgments that have or are reasonably likely to have a material impact on the unaudited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MiMedx Group, Inc. and its wholly-owned subsidiaries. All intercompany balances and transactions have been eliminated upon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 amounts due from customers for which revenue has been recognized. Generally, the Company does not require collateral or any other security to support its receivables.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Bad debt expense and the allowance for doubtful accounts are based on historical trends and current expectations for credit losses and reasonable and supportable forecasts. The Company’s policy to reserve for potential bad debts is based on the aging of the individual receivables as well as customer-specific qualitative factors, such as bankruptcy proceedings. The Company manages credit risk by routinely performing credit checks on customers prior to sales. The individual receivables are written-off after all reasonable efforts to collect the funds have been made. Actual write-offs may differ from the amounts reserved.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was $0.8 million and $0.7 million as of June 30, 2021 and December 31, 2020,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Goodwill represents the excess of purchase price over the fair value of net assets of acquired businesses. The Company assesses goodwill for impairment at least annually on October 1 and whenever events or substantive changes in circumstances indicate that the asset may be impaired. The Company may first choose to assess qualitative factors to determine whether it is more likely than not that the fair value of a reporting unit is less than its carrying amount. If the Company determines that it is more likely than not that the fair value of a reporting unit is less than its carrying amount, then the Company performs a quantitative analysis. The Company may also choose to bypass the qualitative assessment and proceed directly to the quantitative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concluded it operates as one reporting unit.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quantitative analysis, if the carrying value of the reporting unit exceeds its fair value, goodwill impairment is recognized for the amount that the carrying value exceeds fair value, not to exceed the total amount of goodwill allocated to the reporting unit. The Company determines fair value using income and market approaches. Under the income approach, the fair value of the Company is the present value of its future economic benefits. These benefits can include revenue, cost savings, tax deductions, and proceeds from its disposition. Value indications are developed by discounting expected cash flows to their present value at a rate of return that incorporates the risk-free rate for the use of funds, industry trends, and entity-specific risks as of the goodwill impairment testing date. Under the market approach, the Company derives the fair value of the reporting unit using observed fair values of a set of companies with comparable business models to the reporting unit under evaluation. These amounts are reconciled to the Company’s market capitalization as of the test date for reasonableness.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Annual Goodwill Impairment Testing Date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elected to change its annual goodwill and indefinite-lived intangible asset impairment testing date from September 30 to October 1. The change in the annual impairment testing date provides the Company with more time in identifying and calculating any impairments and to maximize the use of the Company’s available resources.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GAAP does not permit more than 12 months to pass between annual goodwill impairment tests, the Company performed quantitative tests on September 30 and October 1, 2020. As a result of each of these tests, the Company concluded that the fair value of the reporting unit exceeded the carrying value and recorded no impairment.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sells its products primarily to individual customers and independent distributors (collectively referred to as “</w:t>
      </w: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Customers obtain and use products either through ship and bill arrangements or consignment arrangements. Under ship and bill arrangements, the customer submits an order. Upon approval of the sales order, the Company ships product to the customer and invoices them for the product sold. Under consignment arrangements, the customer takes possession of the product, but the Company retains title until the implantation, or application of the Company’s product to the patient.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as performance obligations are fulfilled; which generally occurs upon the shipment of product to the customers for ship and bill orders or upon implantation for consignment sales.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is recognized based on consideration the Company expects to be entitled to from the sale. This consists of the gross selling price of the product, less any discounts or rebates (collectively, “</w:t>
      </w:r>
      <w:r>
        <w:rPr>
          <w:rFonts w:ascii="Arial" w:cs="Arial" w:eastAsia="Arial" w:hAnsi="Arial"/>
          <w:sz w:val="17"/>
          <w:szCs w:val="17"/>
          <w:b w:val="1"/>
          <w:bCs w:val="1"/>
          <w:i w:val="1"/>
          <w:iCs w:val="1"/>
          <w:color w:val="auto"/>
        </w:rPr>
        <w:t>deductions</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sales deductions</w:t>
      </w:r>
      <w:r>
        <w:rPr>
          <w:rFonts w:ascii="Arial" w:cs="Arial" w:eastAsia="Arial" w:hAnsi="Arial"/>
          <w:sz w:val="17"/>
          <w:szCs w:val="17"/>
          <w:color w:val="auto"/>
        </w:rPr>
        <w:t>”). Gross selling price is a standard set by the Company for all customers unless a contract governing the sale provides for a specified price. Sales deductions are specified in individual contracts with customers and are generally achieved based on total sales during a specified period. The Company estimates the total sales deductions that a specific customer will achieve over the relevant term and applies the reduction to sales as they are made throughout the period. Rebates owed to customers are accrued and recorded in accrued expenses on the unaudited condensed consolidated balance sheets.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acts as principal in all of its customer arrangements and records revenue on a gross basis. Shipping is considered immaterial in the context of the overall customer arrangement, and damages or loss of goods in transit are rare. Therefore, shipping is not deemed a separately-recognized performance obligation and the Company has elected to treat shipping costs as activities to fulfill the promise to transfer the product. The Company maintains a returns policy that allows its customers to return product that is consigned, damaged, or non-conforming, ordered in error, or due to a recall. The estimate of the provision for returns is based on historical experience with actual returns. The Company’s payment terms for customers are typically 30 to 60 days from receipt of title of the goods.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above revenue recognition policy, the Company recognizes revenue from customers with balances outstanding as of September 30, 2019 for which all of the criteria necessary for revenue recognition were not met at the time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shipment and that such criteria would not be met until collection of such sales (the “</w:t>
      </w:r>
      <w:r>
        <w:rPr>
          <w:rFonts w:ascii="Arial" w:cs="Arial" w:eastAsia="Arial" w:hAnsi="Arial"/>
          <w:sz w:val="18"/>
          <w:szCs w:val="18"/>
          <w:b w:val="1"/>
          <w:bCs w:val="1"/>
          <w:i w:val="1"/>
          <w:iCs w:val="1"/>
          <w:color w:val="auto"/>
        </w:rPr>
        <w:t>Remaining Contracts</w:t>
      </w:r>
      <w:r>
        <w:rPr>
          <w:rFonts w:ascii="Arial" w:cs="Arial" w:eastAsia="Arial" w:hAnsi="Arial"/>
          <w:sz w:val="18"/>
          <w:szCs w:val="18"/>
          <w:color w:val="auto"/>
        </w:rPr>
        <w:t>”). This was in accordance with the change in the Company’s revenue recognition pattern beginning September 30, 2019 (the “</w:t>
      </w:r>
      <w:r>
        <w:rPr>
          <w:rFonts w:ascii="Arial" w:cs="Arial" w:eastAsia="Arial" w:hAnsi="Arial"/>
          <w:sz w:val="18"/>
          <w:szCs w:val="18"/>
          <w:b w:val="1"/>
          <w:bCs w:val="1"/>
          <w:i w:val="1"/>
          <w:iCs w:val="1"/>
          <w:color w:val="auto"/>
        </w:rPr>
        <w:t>Transition</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defers the recognition of cost of sales associated with the Remaining Contracts until revenue is recognized and cash is collected. Deferred cost of sales, included as part of other current assets on the unaudited condensed consolidated balance sheets, were $0.1 million and $0.2 million as of June 30, 2021 and December 31, 2020, respectively.</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effects of cash collections on the Remaining Contracts on the unaudited condensed consolidated statements of operations for each of the three and six months ended June 30, 2021 and 2020 are as follows (amounts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37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Three months ended 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190"/>
              <w:spacing w:after="0"/>
              <w:rPr>
                <w:sz w:val="20"/>
                <w:szCs w:val="20"/>
                <w:color w:val="auto"/>
              </w:rPr>
            </w:pPr>
            <w:r>
              <w:rPr>
                <w:rFonts w:ascii="Arial" w:cs="Arial" w:eastAsia="Arial" w:hAnsi="Arial"/>
                <w:sz w:val="18"/>
                <w:szCs w:val="18"/>
                <w:color w:val="auto"/>
              </w:rPr>
              <w:t>Six months ended June 30,</w:t>
            </w:r>
          </w:p>
        </w:tc>
      </w:tr>
      <w:tr>
        <w:trPr>
          <w:trHeight w:val="223"/>
        </w:trPr>
        <w:tc>
          <w:tcPr>
            <w:tcW w:w="21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2020</w:t>
            </w:r>
          </w:p>
        </w:tc>
      </w:tr>
      <w:tr>
        <w:trPr>
          <w:trHeight w:val="22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5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r>
      <w:tr>
        <w:trPr>
          <w:trHeight w:val="22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4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if an arrangement is, or contains, a lease at inception.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Lease assets represent the Company’s right to use an underlying asset for the lease term and lease liabilities represent the Company’s obligation to make lease payments arising from the lease. Lease assets and liabilities are recognized at the lease commencement date based on the estimated present value of lease payments over the lease term. The lease term used in the calculation includes options to extend or terminate the lease when the exercise of such options are reasonably certain. The determination of whether the Company is reasonably certain to exercise a renewal or termination option is reassessed as new information arises and is accounted for prospectively as of the point in time the determination is made regarding the modification of the lease term. The Company uses its incremental borrowing rate in determining the present value of lease payments.</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Right-of-use assets resulting from operating leases are included in right of use asset on the unaudited condensed consolidated balance sheets as of June 30, 2021 and December 31, 2020. Right-of-use assets resulting from the Company’s finance leases are included in property and equipment, net on the unaudited condensed consolidated balance sheet as of June 30, 2021. Associated liabilities from both operating and finance leases are included on the unaudited condensed consolidated balance sheet as part of other current liabilities, to the extent that principal payments on such obligations will be paid in the next 12 months, and other liabilities, to the extent that principal payments on such obligations will be paid more than one year in the future. As of June 30, 2021, the Company has both finance and operating leases.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Variable components of the lease payments such as fair market value adjustments, utilities, and maintenance costs are expensed as incurred and not included in determining the present value of lease liabilities. As an accounting policy election, the Company excludes short-term leases having initial terms of 12 months or fewer.</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operating leases, lease expense is recognized on a straight-line basis over the lease term through selling, general and administrative expense on the unaudited condensed consolidated statements of operations. For finance leases, the right of use asset is amortized, straight-line, over the life of the lease as depreciation expense, which is included as a component of selling, general and administrative expense on the unaudited condensed consolidated statements of operations. The Company recognizes interest expense on finance lease liabilities based on the incremental borrowing rate at lease inception applied to the outstanding lease liability. The Company does not recognize interest expense on operating lease liabilities.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on operating leases are considered cash flows from operating activities. Payments on finance leases, to the extent that the payment relates to the reduction of the principal balance of the liability, are considered cash flows from financing activities. Payments toward the interest portion of finance lease liabilities are classified as cash flows from operating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and clarifies certain calculation and presentation matters related to convertible equity and debt instruments. Specifically, ASU simplifies the accounting for such instruments by removing requirements to separately account for conversion features as a derivative under ASC Topic 815 and removing the requirement to account for beneficial conversion</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features on such instruments. Accounting Standards Update 2020-06 also provides clearer guidance surrounding disclosure of such instruments and provides specific guidance for how such instruments are to be incorporated in the calculation of Diluted EPS. The guidance under ASU 2020-06 is effective for fiscal years beginning after December 15, 2021, including interim periods within those fiscal years. Early adoption is permitted, but no earlier than fiscal years beginning after December 15, 2020. The Company adopted this standard on January 1, 2021 on a modified retrospective basis. There was no impact upon adoption.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FASB issued Accounting Standards Update (“</w:t>
      </w:r>
      <w:r>
        <w:rPr>
          <w:rFonts w:ascii="Arial" w:cs="Arial" w:eastAsia="Arial" w:hAnsi="Arial"/>
          <w:sz w:val="18"/>
          <w:szCs w:val="18"/>
          <w:b w:val="1"/>
          <w:bCs w:val="1"/>
          <w:i w:val="1"/>
          <w:iCs w:val="1"/>
          <w:color w:val="auto"/>
        </w:rPr>
        <w:t>ASU</w:t>
      </w:r>
      <w:r>
        <w:rPr>
          <w:rFonts w:ascii="Arial" w:cs="Arial" w:eastAsia="Arial" w:hAnsi="Arial"/>
          <w:sz w:val="18"/>
          <w:szCs w:val="18"/>
          <w:color w:val="auto"/>
        </w:rPr>
        <w:t>”)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provides temporary, optional expedients and exceptions to accounting guidance for certain contract modifications and hedging arrangements to ease financial reporting burdens as a result of market transitions from the London Interbank Offered Rate (“</w:t>
      </w:r>
      <w:r>
        <w:rPr>
          <w:rFonts w:ascii="Arial" w:cs="Arial" w:eastAsia="Arial" w:hAnsi="Arial"/>
          <w:sz w:val="18"/>
          <w:szCs w:val="18"/>
          <w:b w:val="1"/>
          <w:bCs w:val="1"/>
          <w:i w:val="1"/>
          <w:iCs w:val="1"/>
          <w:color w:val="auto"/>
        </w:rPr>
        <w:t>LIBOR</w:t>
      </w:r>
      <w:r>
        <w:rPr>
          <w:rFonts w:ascii="Arial" w:cs="Arial" w:eastAsia="Arial" w:hAnsi="Arial"/>
          <w:sz w:val="18"/>
          <w:szCs w:val="18"/>
          <w:color w:val="auto"/>
        </w:rPr>
        <w:t>”) to alternative reference rates. The guidance is available for prospective application upon its issuance and can generally be applied to contract modifications and hedging relationships entered into beginning March 12, 2020 through December 31, 2022. As of June 30, 2021, the Company has long-term debt outstanding which carries an interest rate tied to LIBOR, the agreement for which contemplates an interest rate alternative in the event that LIBOR is unavailable. The Company is evaluating the possibility of adoption and the related impact on its financial statements. If adopted, the Company does not expect the provisions of this ASU to have a material impact on its consolidated financial statements.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other ASUs issued and not yet effective for the six months ended June 30, 2021, and through the date of this report, were assessed and determined to be either not applicable or are expected to have minimal impact on the Company’s financial position or results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3.  Inventory</w:t>
            </w: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5"/>
        </w:trPr>
        <w:tc>
          <w:tcPr>
            <w:tcW w:w="7140" w:type="dxa"/>
            <w:vAlign w:val="bottom"/>
          </w:tcPr>
          <w:p>
            <w:pPr>
              <w:spacing w:after="0"/>
              <w:rPr>
                <w:sz w:val="20"/>
                <w:szCs w:val="20"/>
                <w:color w:val="auto"/>
              </w:rPr>
            </w:pPr>
            <w:r>
              <w:rPr>
                <w:rFonts w:ascii="Arial" w:cs="Arial" w:eastAsia="Arial" w:hAnsi="Arial"/>
                <w:sz w:val="18"/>
                <w:szCs w:val="18"/>
                <w:color w:val="auto"/>
              </w:rPr>
              <w:t>Inventory consisted of the following (in thousands):</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7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22"/>
                <w:szCs w:val="22"/>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2020</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r>
      <w:tr>
        <w:trPr>
          <w:trHeight w:val="223"/>
        </w:trPr>
        <w:tc>
          <w:tcPr>
            <w:tcW w:w="714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10,361</w:t>
            </w: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a result of the conclusion of the FDA’s period of Enforcement Discretion on May 31, 2021, the Company fully reserved $1.0 million of its Section 351 product inventory during the three and six months ended June 30, 2021. This amount is included as part of cost of sales on the unaudited condensed consolidated statements of operations for those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5"/>
        </w:trPr>
        <w:tc>
          <w:tcPr>
            <w:tcW w:w="7020" w:type="dxa"/>
            <w:vAlign w:val="bottom"/>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45"/>
        </w:trPr>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June 30, 2021</w:t>
            </w:r>
          </w:p>
        </w:tc>
        <w:tc>
          <w:tcPr>
            <w:tcW w:w="22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w w:val="93"/>
              </w:rPr>
              <w:t>December 31, 2020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Laboratory and clean room equipment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15,424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15,524</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3,321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cost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assets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gross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(29,498)</w:t>
            </w:r>
          </w:p>
        </w:tc>
      </w:tr>
      <w:tr>
        <w:trPr>
          <w:trHeight w:val="248"/>
        </w:trPr>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each of the three and six months ended June 30, 2021 and 2020 is summarized in the table below (amounts in thousands):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tbl>
      <w:tblPr>
        <w:tblLayout w:type="fixed"/>
        <w:tblInd w:w="80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Six Months Ended June 30,</w:t>
            </w:r>
          </w:p>
        </w:tc>
      </w:tr>
      <w:tr>
        <w:trPr>
          <w:trHeight w:val="223"/>
        </w:trPr>
        <w:tc>
          <w:tcPr>
            <w:tcW w:w="24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expense is allocated amongst cost of sales, research and development, and selling, general, and administrative expense on the unaudited condensed consolidated statements of operations.</w:t>
      </w:r>
    </w:p>
    <w:p>
      <w:pPr>
        <w:spacing w:after="0" w:line="11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summarized as follows (in thousands):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June 30, 2021</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6"/>
              </w:rPr>
              <w:t>December 31, 2020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4"/>
                <w:szCs w:val="14"/>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w w:val="96"/>
              </w:rPr>
              <w:t>Accumulated</w:t>
            </w:r>
          </w:p>
        </w:tc>
        <w:tc>
          <w:tcPr>
            <w:tcW w:w="1080" w:type="dxa"/>
            <w:vAlign w:val="bottom"/>
            <w:gridSpan w:val="3"/>
            <w:vMerge w:val="restart"/>
          </w:tcPr>
          <w:p>
            <w:pPr>
              <w:spacing w:after="0"/>
              <w:rPr>
                <w:sz w:val="20"/>
                <w:szCs w:val="20"/>
                <w:color w:val="auto"/>
              </w:rPr>
            </w:pPr>
            <w:r>
              <w:rPr>
                <w:rFonts w:ascii="Arial" w:cs="Arial" w:eastAsia="Arial" w:hAnsi="Arial"/>
                <w:sz w:val="18"/>
                <w:szCs w:val="18"/>
                <w:color w:val="auto"/>
              </w:rPr>
              <w:t>Net Carrying</w:t>
            </w:r>
          </w:p>
        </w:tc>
        <w:tc>
          <w:tcPr>
            <w:tcW w:w="120" w:type="dxa"/>
            <w:vAlign w:val="bottom"/>
          </w:tcPr>
          <w:p>
            <w:pPr>
              <w:spacing w:after="0"/>
              <w:rPr>
                <w:sz w:val="14"/>
                <w:szCs w:val="14"/>
                <w:color w:val="auto"/>
              </w:rPr>
            </w:pPr>
          </w:p>
        </w:tc>
        <w:tc>
          <w:tcPr>
            <w:tcW w:w="800" w:type="dxa"/>
            <w:vAlign w:val="bottom"/>
          </w:tcPr>
          <w:p>
            <w:pPr>
              <w:jc w:val="center"/>
              <w:ind w:right="10"/>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110"/>
              <w:spacing w:after="0"/>
              <w:rPr>
                <w:sz w:val="20"/>
                <w:szCs w:val="20"/>
                <w:color w:val="auto"/>
              </w:rPr>
            </w:pPr>
            <w:r>
              <w:rPr>
                <w:rFonts w:ascii="Arial" w:cs="Arial" w:eastAsia="Arial" w:hAnsi="Arial"/>
                <w:sz w:val="18"/>
                <w:szCs w:val="18"/>
                <w:color w:val="auto"/>
                <w:w w:val="96"/>
              </w:rPr>
              <w:t>Accumulated</w:t>
            </w:r>
          </w:p>
        </w:tc>
        <w:tc>
          <w:tcPr>
            <w:tcW w:w="9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Net Carrying</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4"/>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w w:val="99"/>
              </w:rPr>
              <w:t>Amortization</w:t>
            </w: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w w:val="99"/>
              </w:rPr>
              <w:t>Amortization</w:t>
            </w:r>
          </w:p>
        </w:tc>
        <w:tc>
          <w:tcPr>
            <w:tcW w:w="14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9"/>
              </w:rPr>
              <w:t>Amount</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0"/>
              <w:spacing w:after="0"/>
              <w:rPr>
                <w:sz w:val="20"/>
                <w:szCs w:val="20"/>
                <w:color w:val="auto"/>
              </w:rPr>
            </w:pPr>
            <w:r>
              <w:rPr>
                <w:rFonts w:ascii="Arial" w:cs="Arial" w:eastAsia="Arial" w:hAnsi="Arial"/>
                <w:sz w:val="18"/>
                <w:szCs w:val="18"/>
                <w:color w:val="auto"/>
              </w:rPr>
              <w:t>Patents and know how</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9,510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(5,730)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Customer and supplier relationships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amortized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Unamortized intangible assets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names and 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Patents in process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and six months ended June 30, 2021 and 2020 is summarized in the table below (amounts in thousands):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Three Months Ended June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Six Months Ended June 30,</w:t>
            </w:r>
          </w:p>
        </w:tc>
      </w:tr>
      <w:tr>
        <w:trPr>
          <w:trHeight w:val="223"/>
        </w:trPr>
        <w:tc>
          <w:tcPr>
            <w:tcW w:w="33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amortization of intangible assets as of June 30, 2021,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175"/>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w:t>
            </w:r>
          </w:p>
        </w:tc>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30"/>
        </w:trPr>
        <w:tc>
          <w:tcPr>
            <w:tcW w:w="4700" w:type="dxa"/>
            <w:vAlign w:val="bottom"/>
            <w:vMerge w:val="continue"/>
          </w:tcPr>
          <w:p>
            <w:pPr>
              <w:spacing w:after="0"/>
              <w:rPr>
                <w:sz w:val="19"/>
                <w:szCs w:val="19"/>
                <w:color w:val="auto"/>
              </w:rPr>
            </w:pP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Expense</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June 30, 2021)</w:t>
            </w:r>
          </w:p>
        </w:tc>
        <w:tc>
          <w:tcPr>
            <w:tcW w:w="49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2022</w:t>
            </w: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2024</w:t>
            </w: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amortized intangible assets</w:t>
            </w:r>
          </w:p>
        </w:tc>
        <w:tc>
          <w:tcPr>
            <w:tcW w:w="4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70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1"/>
        </w:trPr>
        <w:tc>
          <w:tcPr>
            <w:tcW w:w="594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(in thousands):</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2021</w:t>
            </w:r>
          </w:p>
        </w:tc>
        <w:tc>
          <w:tcPr>
            <w:tcW w:w="200" w:type="dxa"/>
            <w:vAlign w:val="bottom"/>
          </w:tcPr>
          <w:p>
            <w:pPr>
              <w:spacing w:after="0"/>
              <w:rPr>
                <w:sz w:val="24"/>
                <w:szCs w:val="24"/>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color w:val="auto"/>
                <w:w w:val="92"/>
              </w:rPr>
              <w:t>December 31, 2020</w:t>
            </w:r>
          </w:p>
        </w:tc>
      </w:tr>
      <w:tr>
        <w:trPr>
          <w:trHeight w:val="223"/>
        </w:trPr>
        <w:tc>
          <w:tcPr>
            <w:tcW w:w="128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Legal costs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14,822</w:t>
            </w:r>
          </w:p>
        </w:tc>
      </w:tr>
      <w:tr>
        <w:trPr>
          <w:trHeight w:val="230"/>
        </w:trPr>
        <w:tc>
          <w:tcPr>
            <w:tcW w:w="12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costs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r>
      <w:tr>
        <w:trPr>
          <w:trHeight w:val="229"/>
        </w:trPr>
        <w:tc>
          <w:tcPr>
            <w:tcW w:w="128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Commissions to sales agents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2,141</w:t>
            </w:r>
          </w:p>
        </w:tc>
      </w:tr>
      <w:tr>
        <w:trPr>
          <w:trHeight w:val="229"/>
        </w:trPr>
        <w:tc>
          <w:tcPr>
            <w:tcW w:w="12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returns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128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Accrued clinical trials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12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GPO fees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128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Accrued rebates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29"/>
        </w:trPr>
        <w:tc>
          <w:tcPr>
            <w:tcW w:w="12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3"/>
        </w:trPr>
        <w:tc>
          <w:tcPr>
            <w:tcW w:w="128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30,460</w:t>
            </w: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 Term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Hayfin Term Loan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the Company entered into a Loan Agreement with, among others, Hayfin Services, LLP, (“</w:t>
      </w:r>
      <w:r>
        <w:rPr>
          <w:rFonts w:ascii="Arial" w:cs="Arial" w:eastAsia="Arial" w:hAnsi="Arial"/>
          <w:sz w:val="18"/>
          <w:szCs w:val="18"/>
          <w:b w:val="1"/>
          <w:bCs w:val="1"/>
          <w:i w:val="1"/>
          <w:iCs w:val="1"/>
          <w:color w:val="auto"/>
        </w:rPr>
        <w:t>Hayfin</w:t>
      </w:r>
      <w:r>
        <w:rPr>
          <w:rFonts w:ascii="Arial" w:cs="Arial" w:eastAsia="Arial" w:hAnsi="Arial"/>
          <w:sz w:val="18"/>
          <w:szCs w:val="18"/>
          <w:color w:val="auto"/>
        </w:rPr>
        <w:t>”) an affiliate of Hayfin Capital Management LLP (the “</w:t>
      </w:r>
      <w:r>
        <w:rPr>
          <w:rFonts w:ascii="Arial" w:cs="Arial" w:eastAsia="Arial" w:hAnsi="Arial"/>
          <w:sz w:val="18"/>
          <w:szCs w:val="18"/>
          <w:b w:val="1"/>
          <w:bCs w:val="1"/>
          <w:i w:val="1"/>
          <w:iCs w:val="1"/>
          <w:color w:val="auto"/>
        </w:rPr>
        <w:t>Hayfin Loan Agreement</w:t>
      </w:r>
      <w:r>
        <w:rPr>
          <w:rFonts w:ascii="Arial" w:cs="Arial" w:eastAsia="Arial" w:hAnsi="Arial"/>
          <w:sz w:val="18"/>
          <w:szCs w:val="18"/>
          <w:color w:val="auto"/>
        </w:rPr>
        <w:t>”), which Hayfin funded (the “</w:t>
      </w:r>
      <w:r>
        <w:rPr>
          <w:rFonts w:ascii="Arial" w:cs="Arial" w:eastAsia="Arial" w:hAnsi="Arial"/>
          <w:sz w:val="18"/>
          <w:szCs w:val="18"/>
          <w:b w:val="1"/>
          <w:bCs w:val="1"/>
          <w:i w:val="1"/>
          <w:iCs w:val="1"/>
          <w:color w:val="auto"/>
        </w:rPr>
        <w:t>Hayfin Loan Transaction</w:t>
      </w:r>
      <w:r>
        <w:rPr>
          <w:rFonts w:ascii="Arial" w:cs="Arial" w:eastAsia="Arial" w:hAnsi="Arial"/>
          <w:sz w:val="18"/>
          <w:szCs w:val="18"/>
          <w:color w:val="auto"/>
        </w:rPr>
        <w:t>”) on July 2, 2020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and provided the Company with a senior secured term loan in an aggregate amount of $50 million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The Term Loan matures on June 30,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Interest is payable on the Term Loan for the balance outstanding quarterly through the Maturity Date. No principal payments on the Term Loan are due and payable until the Maturity Date.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Hayfin Loan Agreement also provided for an additional delayed draw term loan (the “</w:t>
      </w:r>
      <w:r>
        <w:rPr>
          <w:rFonts w:ascii="Arial" w:cs="Arial" w:eastAsia="Arial" w:hAnsi="Arial"/>
          <w:sz w:val="18"/>
          <w:szCs w:val="18"/>
          <w:b w:val="1"/>
          <w:bCs w:val="1"/>
          <w:i w:val="1"/>
          <w:iCs w:val="1"/>
          <w:color w:val="auto"/>
        </w:rPr>
        <w:t>DD TL</w:t>
      </w:r>
      <w:r>
        <w:rPr>
          <w:rFonts w:ascii="Arial" w:cs="Arial" w:eastAsia="Arial" w:hAnsi="Arial"/>
          <w:sz w:val="18"/>
          <w:szCs w:val="18"/>
          <w:color w:val="auto"/>
        </w:rPr>
        <w:t>,” collectively with the Term Loan, the “</w:t>
      </w:r>
      <w:r>
        <w:rPr>
          <w:rFonts w:ascii="Arial" w:cs="Arial" w:eastAsia="Arial" w:hAnsi="Arial"/>
          <w:sz w:val="18"/>
          <w:szCs w:val="18"/>
          <w:b w:val="1"/>
          <w:bCs w:val="1"/>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in the form of a committed but undrawn facility. The Company had the option to borrow on the DD TL through June 30, 2021.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did not borrow on the DD TL prior to June 30, 2021 and the Company’s option to draw upon these funds has expired.</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Credit Facilities, which are senior secured obligations, were entered into together with the sale of the Company’s Series B Convertible Preferred Stock (as defined and described in Note 9, “</w:t>
      </w:r>
      <w:r>
        <w:rPr>
          <w:rFonts w:ascii="Arial" w:cs="Arial" w:eastAsia="Arial" w:hAnsi="Arial"/>
          <w:sz w:val="16"/>
          <w:szCs w:val="16"/>
          <w:i w:val="1"/>
          <w:iCs w:val="1"/>
          <w:color w:val="auto"/>
        </w:rPr>
        <w:t>Equity</w:t>
      </w:r>
      <w:r>
        <w:rPr>
          <w:rFonts w:ascii="Arial" w:cs="Arial" w:eastAsia="Arial" w:hAnsi="Arial"/>
          <w:sz w:val="16"/>
          <w:szCs w:val="16"/>
          <w:color w:val="auto"/>
        </w:rPr>
        <w:t>”) in an aggregate amount of up to $100 million (collectively, the “</w:t>
      </w:r>
      <w:r>
        <w:rPr>
          <w:rFonts w:ascii="Arial" w:cs="Arial" w:eastAsia="Arial" w:hAnsi="Arial"/>
          <w:sz w:val="16"/>
          <w:szCs w:val="16"/>
          <w:b w:val="1"/>
          <w:bCs w:val="1"/>
          <w:i w:val="1"/>
          <w:iCs w:val="1"/>
          <w:color w:val="auto"/>
        </w:rPr>
        <w:t>Financing Transactions</w:t>
      </w:r>
      <w:r>
        <w:rPr>
          <w:rFonts w:ascii="Arial" w:cs="Arial" w:eastAsia="Arial" w:hAnsi="Arial"/>
          <w:sz w:val="16"/>
          <w:szCs w:val="16"/>
          <w:color w:val="auto"/>
        </w:rPr>
        <w:t>”) in order to:</w:t>
      </w:r>
    </w:p>
    <w:p>
      <w:pPr>
        <w:spacing w:after="0" w:line="83" w:lineRule="exact"/>
        <w:rPr>
          <w:sz w:val="20"/>
          <w:szCs w:val="20"/>
          <w:color w:val="auto"/>
        </w:rPr>
      </w:pPr>
    </w:p>
    <w:p>
      <w:pPr>
        <w:ind w:left="1300" w:hanging="644"/>
        <w:spacing w:after="0" w:line="263" w:lineRule="auto"/>
        <w:tabs>
          <w:tab w:leader="none" w:pos="1093"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refinance the outstanding indebtedness (the “</w:t>
      </w:r>
      <w:r>
        <w:rPr>
          <w:rFonts w:ascii="Arial" w:cs="Arial" w:eastAsia="Arial" w:hAnsi="Arial"/>
          <w:sz w:val="18"/>
          <w:szCs w:val="18"/>
          <w:b w:val="1"/>
          <w:bCs w:val="1"/>
          <w:i w:val="1"/>
          <w:iCs w:val="1"/>
          <w:color w:val="auto"/>
        </w:rPr>
        <w:t>Refinancing</w:t>
      </w:r>
      <w:r>
        <w:rPr>
          <w:rFonts w:ascii="Arial" w:cs="Arial" w:eastAsia="Arial" w:hAnsi="Arial"/>
          <w:sz w:val="18"/>
          <w:szCs w:val="18"/>
          <w:color w:val="auto"/>
        </w:rPr>
        <w:t>”) under the Loan Agreement, dated as of June 10, 2019 (as amended and restated, the “</w:t>
      </w:r>
      <w:r>
        <w:rPr>
          <w:rFonts w:ascii="Arial" w:cs="Arial" w:eastAsia="Arial" w:hAnsi="Arial"/>
          <w:sz w:val="18"/>
          <w:szCs w:val="18"/>
          <w:b w:val="1"/>
          <w:bCs w:val="1"/>
          <w:i w:val="1"/>
          <w:iCs w:val="1"/>
          <w:color w:val="auto"/>
        </w:rPr>
        <w:t>BT Term Loan Agreement</w:t>
      </w:r>
      <w:r>
        <w:rPr>
          <w:rFonts w:ascii="Arial" w:cs="Arial" w:eastAsia="Arial" w:hAnsi="Arial"/>
          <w:sz w:val="18"/>
          <w:szCs w:val="18"/>
          <w:color w:val="auto"/>
        </w:rPr>
        <w:t>”), among the Company, the lenders and Blue Torch Finance LLC as administrative agent and collateral agent for such lenders,</w:t>
      </w:r>
    </w:p>
    <w:p>
      <w:pPr>
        <w:spacing w:after="0" w:line="156"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fees and expenses incurred with certain financing transactions, and</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finance the working capital, capital expenditures, and other general corporate purposes of the Company.</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interest rate applicable to any borrowings under the Term Loan accrues at a rate equal to LIBOR (subject to a floor of 1.5%) plus a margin of 6.75% per annum (the “</w:t>
      </w:r>
      <w:r>
        <w:rPr>
          <w:rFonts w:ascii="Arial" w:cs="Arial" w:eastAsia="Arial" w:hAnsi="Arial"/>
          <w:sz w:val="16"/>
          <w:szCs w:val="16"/>
          <w:b w:val="1"/>
          <w:bCs w:val="1"/>
          <w:i w:val="1"/>
          <w:iCs w:val="1"/>
          <w:color w:val="auto"/>
        </w:rPr>
        <w:t>Margin</w:t>
      </w:r>
      <w:r>
        <w:rPr>
          <w:rFonts w:ascii="Arial" w:cs="Arial" w:eastAsia="Arial" w:hAnsi="Arial"/>
          <w:sz w:val="16"/>
          <w:szCs w:val="16"/>
          <w:color w:val="auto"/>
        </w:rPr>
        <w:t>”). If LIBOR is unavailable, the loan will carry interest at the Margin plus the greatest of the Prime Rate, the Federal Funds Rate plus 0.5% per annum, and 2.5%. The Margin is eligible for a reduction depending on the Total Net Leverage Ratio for the quarter; as follows:</w:t>
      </w:r>
    </w:p>
    <w:p>
      <w:pPr>
        <w:spacing w:after="0" w:line="1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6.5% per annum if the Total Net Leverage Ratio (as defined in the Hayfin Loan Agreement) is less than 2.0x but greater than or equal to 1.0x, or</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6.0% per annum if the Total Net Leverage Ratio is less than 1.0x.</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3.0% margin is applied to the interest rate in the event of default as defined by the Hayfin Loan Agreement. At issuance and as of June 30, 2021, the Term Loan carried an interest rate of 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Facilities contain financial covenants requiring the Company, on a consolidated basis, to maintain the following: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Maximum Total Net Leverage Ratio of 4.5x through June 30, 2021, further reduced to 4.0x thereafter for the life of the loans, required to be calculated on a quarterly basis.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Liquidity (as defined in the Hayfin Loan Agreement) of $10 million, an at-all-times financial covenant tested monthly.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is in compliance with all financial covenants required under the Hayfin Loan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Credit Facilities also specify that any prepayment of the Term Loan, voluntary or mandatory, as defined in the Term Loan Agreement, will subject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MiMedx to a prepayment premium applicable as of the date of the prepayment:</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or before the first anniversary of the Closing Date:</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make-whole premium, equal to the greater of:</w:t>
      </w:r>
    </w:p>
    <w:p>
      <w:pPr>
        <w:spacing w:after="0" w:line="184" w:lineRule="exact"/>
        <w:rPr>
          <w:rFonts w:ascii="Arial" w:cs="Arial" w:eastAsia="Arial" w:hAnsi="Arial"/>
          <w:sz w:val="18"/>
          <w:szCs w:val="18"/>
          <w:color w:val="auto"/>
        </w:rPr>
      </w:pPr>
    </w:p>
    <w:p>
      <w:pPr>
        <w:ind w:left="1940" w:hanging="312"/>
        <w:spacing w:after="0"/>
        <w:tabs>
          <w:tab w:leader="none" w:pos="19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5% of the principal balance repaid, and</w:t>
      </w:r>
    </w:p>
    <w:p>
      <w:pPr>
        <w:spacing w:after="0" w:line="184" w:lineRule="exact"/>
        <w:rPr>
          <w:rFonts w:ascii="Arial" w:cs="Arial" w:eastAsia="Arial" w:hAnsi="Arial"/>
          <w:sz w:val="18"/>
          <w:szCs w:val="18"/>
          <w:color w:val="auto"/>
        </w:rPr>
      </w:pPr>
    </w:p>
    <w:p>
      <w:pPr>
        <w:ind w:left="1960" w:right="20" w:hanging="332"/>
        <w:spacing w:after="0" w:line="277" w:lineRule="auto"/>
        <w:tabs>
          <w:tab w:leader="none" w:pos="1956" w:val="left"/>
        </w:tabs>
        <w:numPr>
          <w:ilvl w:val="2"/>
          <w:numId w:val="11"/>
        </w:numPr>
        <w:rPr>
          <w:rFonts w:ascii="Arial" w:cs="Arial" w:eastAsia="Arial" w:hAnsi="Arial"/>
          <w:sz w:val="18"/>
          <w:szCs w:val="18"/>
          <w:color w:val="auto"/>
        </w:rPr>
      </w:pPr>
      <w:r>
        <w:rPr>
          <w:rFonts w:ascii="Arial" w:cs="Arial" w:eastAsia="Arial" w:hAnsi="Arial"/>
          <w:sz w:val="18"/>
          <w:szCs w:val="18"/>
          <w:color w:val="auto"/>
        </w:rPr>
        <w:t>102% of the principal balance plus interest that would have been accrued from the repayment date to 12 months following the Closing Date.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After the first anniversary of the Closing Date but on or before the second anniversary of the Closing Date: 2% of the principal balance repaid.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second anniversary of the Closing Date: 1% of the principal balance repaid.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third anniversary of the Closing Date: 0% of the principal balance repaid.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Agreement also includes events of default customary for facilities of this type, and upon the occurrence of such events of default, subject to customary cure rights, all outstanding loans under the Credit Facilities may be accelerated or the lenders’ commitments terminated. The mandatory prepayments are also required in the event of a change in control, incurring other indebtedness, certain proceeds from disposal of assets and insured casualty event. Annually, beginning with the fiscal year ending December 31, 2021, the Company is required to prepay the outstanding loans based on the percentage of the Excess Cash Flow (as defined in the Hayfin Loan Agreement), if such is generated, with the percentage determined based on the Total Net Leverage thresholds.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Hayfin maintains a first-priority security interest in substantially all of the Company’s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Original issue discount and deferred financing costs incurred as part of the Financing Transactions were allocated between the sale of the Series B Convertible Preferred Stock and the Hayfin Term Loan on the basis of the relative fair values of the transactions. The costs allocated to the Hayfin Term Loan were further allocated between the Term Loan and the DD TL on the basis of the maximum potential principal outstanding between the Credit Facilities. A summary of the allocation of the deferred financing costs and original issue discount between the Term Loan and the DD TL on July 2, 2020 was as follows (amounts in thousands):</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2"/>
              </w:rPr>
              <w:t>July 2, 2020</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1660" w:type="dxa"/>
            <w:vAlign w:val="bottom"/>
          </w:tcPr>
          <w:p>
            <w:pPr>
              <w:jc w:val="center"/>
              <w:ind w:left="410"/>
              <w:spacing w:after="0"/>
              <w:rPr>
                <w:sz w:val="20"/>
                <w:szCs w:val="20"/>
                <w:color w:val="auto"/>
              </w:rPr>
            </w:pPr>
            <w:r>
              <w:rPr>
                <w:rFonts w:ascii="Arial" w:cs="Arial" w:eastAsia="Arial" w:hAnsi="Arial"/>
                <w:sz w:val="18"/>
                <w:szCs w:val="18"/>
                <w:color w:val="auto"/>
                <w:w w:val="91"/>
              </w:rPr>
              <w:t>Term Loan</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DD TL</w:t>
            </w:r>
          </w:p>
        </w:tc>
        <w:tc>
          <w:tcPr>
            <w:tcW w:w="50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color w:val="auto"/>
              </w:rPr>
              <w:t>Total</w:t>
            </w:r>
          </w:p>
        </w:tc>
      </w:tr>
      <w:tr>
        <w:trPr>
          <w:trHeight w:val="223"/>
        </w:trPr>
        <w:tc>
          <w:tcPr>
            <w:tcW w:w="2260" w:type="dxa"/>
            <w:vAlign w:val="bottom"/>
          </w:tcPr>
          <w:p>
            <w:pPr>
              <w:spacing w:after="0"/>
              <w:rPr>
                <w:sz w:val="19"/>
                <w:szCs w:val="19"/>
                <w:color w:val="auto"/>
              </w:rPr>
            </w:pPr>
          </w:p>
        </w:tc>
        <w:tc>
          <w:tcPr>
            <w:tcW w:w="166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i w:val="1"/>
                <w:iCs w:val="1"/>
                <w:color w:val="auto"/>
                <w:w w:val="90"/>
              </w:rPr>
              <w:t>Long term debt</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i w:val="1"/>
                <w:iCs w:val="1"/>
                <w:color w:val="auto"/>
                <w:w w:val="89"/>
              </w:rPr>
              <w:t>Other current assets</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Original issue discount</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6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3,253</w:t>
            </w:r>
          </w:p>
        </w:tc>
      </w:tr>
    </w:tbl>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financing costs and original issue discount associated with the Term Loan are amortized using the effective interest method through the Maturity Date. The amortization of such amounts are presented as part of interest expense, net on the unaudited condensed consolidated statement of operations for the three and six months ended June 30, 2021. Unamortized deferred financing costs and original issue discount associated with the Term Loan are presented as a reduction to the principal balance on the Term Loan as part of long term debt, net on the unaudited condensed consolidated balance sheet as of June 30,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Deferred financing costs and original issue discount associated with the DD TL were amortized using the straight line method through the expiration of the</w:t>
      </w:r>
    </w:p>
    <w:p>
      <w:pPr>
        <w:spacing w:after="0" w:line="46" w:lineRule="exact"/>
        <w:rPr>
          <w:sz w:val="20"/>
          <w:szCs w:val="20"/>
          <w:color w:val="auto"/>
        </w:rPr>
      </w:pPr>
    </w:p>
    <w:p>
      <w:pPr>
        <w:jc w:val="both"/>
        <w:ind w:firstLine="8"/>
        <w:spacing w:after="0" w:line="292" w:lineRule="auto"/>
        <w:tabs>
          <w:tab w:leader="none" w:pos="3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TL commitment term on June 30, 2021. Amortization of these amounts are presented as part of interest expense, net on the unaudited condensed consolidated statement of operations for the three and six months ended June 30, 2021. Unamortized deferred financing costs and original issue discount associated with the DD TL are presented as other current assets on the unaudited condensed consolidated balance sheet as of December 31, 2020. There were no such amounts outstanding as of June 30, 2021. In addition, the DD TL was subject to an additional commitment fee of 1% per annum of the amount undrawn, which is recognized as interest expense. The DD TL was not drawn upon as of June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balances of the Term Loan as of June 30, 2021 and December 31, 2020 were as follows (amounts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2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2021</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7"/>
              </w:rPr>
              <w:t>December 31, 2020</w:t>
            </w: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principal</w:t>
            </w:r>
          </w:p>
        </w:tc>
        <w:tc>
          <w:tcPr>
            <w:tcW w:w="16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(1,816)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Original issue discount</w:t>
            </w:r>
          </w:p>
        </w:tc>
        <w:tc>
          <w:tcPr>
            <w:tcW w:w="16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47,905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47,697</w:t>
            </w:r>
          </w:p>
        </w:tc>
      </w:tr>
      <w:tr>
        <w:trPr>
          <w:trHeight w:val="20"/>
        </w:trPr>
        <w:tc>
          <w:tcPr>
            <w:tcW w:w="2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Term Loan, included in interest expense, net in the unaudited condensed consolidated statements of operations, was as follows (amounts in thousands):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223"/>
        </w:trPr>
        <w:tc>
          <w:tcPr>
            <w:tcW w:w="366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June 30, 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June 30, 2021</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Stated interest</w:t>
            </w:r>
          </w:p>
        </w:tc>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2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r>
      <w:tr>
        <w:trPr>
          <w:trHeight w:val="20"/>
        </w:trPr>
        <w:tc>
          <w:tcPr>
            <w:tcW w:w="36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DD TL, included in interest expense, net in the unaudited condensed consolidated statements of operations, was as follows (amounts in thousands):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223"/>
        </w:trPr>
        <w:tc>
          <w:tcPr>
            <w:tcW w:w="366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June 30, 2021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June 30, 2021</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 fee</w:t>
            </w:r>
          </w:p>
        </w:tc>
        <w:tc>
          <w:tcPr>
            <w:tcW w:w="208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2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80" w:type="dxa"/>
            <w:vAlign w:val="bottom"/>
            <w:tcBorders>
              <w:bottom w:val="single" w:sz="8" w:color="auto"/>
            </w:tcBorders>
          </w:tcPr>
          <w:p>
            <w:pPr>
              <w:jc w:val="right"/>
              <w:ind w:right="18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0"/>
        </w:trPr>
        <w:tc>
          <w:tcPr>
            <w:tcW w:w="36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Principal payments on the Term Loan as of June 30, 2021 are as follows (amounts in thousands):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5"/>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ending December 31,</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Principal</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June 30,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 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the fair value of the Term Loan was $52.0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To derive the fair value of the Term Loan, the remaining cash flows associated with the Term Loan were discounted to June 30, 2021 using this discount rate.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BT Term Loan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10, 2019, the Company entered into a loan agreement (the “</w:t>
      </w:r>
      <w:r>
        <w:rPr>
          <w:rFonts w:ascii="Arial" w:cs="Arial" w:eastAsia="Arial" w:hAnsi="Arial"/>
          <w:sz w:val="16"/>
          <w:szCs w:val="16"/>
          <w:b w:val="1"/>
          <w:bCs w:val="1"/>
          <w:i w:val="1"/>
          <w:iCs w:val="1"/>
          <w:color w:val="auto"/>
        </w:rPr>
        <w:t>BT Term Loan Agreement</w:t>
      </w:r>
      <w:r>
        <w:rPr>
          <w:rFonts w:ascii="Arial" w:cs="Arial" w:eastAsia="Arial" w:hAnsi="Arial"/>
          <w:sz w:val="16"/>
          <w:szCs w:val="16"/>
          <w:color w:val="auto"/>
        </w:rPr>
        <w:t>”) with the subsidiaries of the Company as guarantors and party thereto from time to time, the lenders party thereto from time to time and Blue Torch Finance LLC (“</w:t>
      </w:r>
      <w:r>
        <w:rPr>
          <w:rFonts w:ascii="Arial" w:cs="Arial" w:eastAsia="Arial" w:hAnsi="Arial"/>
          <w:sz w:val="16"/>
          <w:szCs w:val="16"/>
          <w:b w:val="1"/>
          <w:bCs w:val="1"/>
          <w:i w:val="1"/>
          <w:iCs w:val="1"/>
          <w:color w:val="auto"/>
        </w:rPr>
        <w:t>Blue Torch</w:t>
      </w:r>
      <w:r>
        <w:rPr>
          <w:rFonts w:ascii="Arial" w:cs="Arial" w:eastAsia="Arial" w:hAnsi="Arial"/>
          <w:sz w:val="16"/>
          <w:szCs w:val="16"/>
          <w:color w:val="auto"/>
        </w:rPr>
        <w:t>”), as administrative agent and collateral agent, pursuant to which the full amount of $75 million was borrowed and funded (the “</w:t>
      </w:r>
      <w:r>
        <w:rPr>
          <w:rFonts w:ascii="Arial" w:cs="Arial" w:eastAsia="Arial" w:hAnsi="Arial"/>
          <w:sz w:val="16"/>
          <w:szCs w:val="16"/>
          <w:b w:val="1"/>
          <w:bCs w:val="1"/>
          <w:i w:val="1"/>
          <w:iCs w:val="1"/>
          <w:color w:val="auto"/>
        </w:rPr>
        <w:t>BT Term Loan</w:t>
      </w:r>
      <w:r>
        <w:rPr>
          <w:rFonts w:ascii="Arial" w:cs="Arial" w:eastAsia="Arial" w:hAnsi="Arial"/>
          <w:sz w:val="16"/>
          <w:szCs w:val="16"/>
          <w:color w:val="auto"/>
        </w:rPr>
        <w:t>”). The proceeds from the BT Term Loan were used (i) for working capital and general corporate purposes and (ii) to pay transaction fees, costs and expenses incurred in connection with the BT Term Loan and the related transactions. The BT Term Loan would have matured on June 20, 2022 and was repayable in quarterly installments of $0.9 million; the balance was due on June 20, 2022. Blue Torch maintained a first-priority security interest in substantially all the Company’s assets. The BT Term Loan was issued net of the original issue discount of $2.3 million. The Company also incurred $6.7 million of deferred financing costs.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22, 2020, the Company amended its BT Loan Agreement with Blue Torch. The amendment provided for an increase in the maximum Total Leverage Ratio, which was a quarterly test, for the remainder of 2020, and also provided for a reduction in the minimum Liquidity requirement from April 2020 through and including November 2020. In connection with the amendment, the Company agreed to pay a one-time fee of $0.7 million, added to the principal balance, and a 1 percentage point increase in the interest rate to LIBOR plus 9%.</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2020, a portion of the proceeds from each of the sales of the Company’s Series B Convertible Preferred Stock and the borrowings from the Hayfin Loan Transaction were used to repay the outstanding balance of principal, accrued but unpaid interest, and prepayment premium under the BT Loan Agreement. In connection with the repayment of the BT Term Loan, the Company terminated the BT Loan Agreement. The Company has no continuing obligations related to the BT Term Loan.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BT Term Loan, included in interest expense, net in the unaudited condensed consolidated statements of operations was as follows (amounts in thousands):</w:t>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230"/>
        </w:trPr>
        <w:tc>
          <w:tcPr>
            <w:tcW w:w="376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June 30, 2020</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June 30, 2020</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principal balance</w:t>
            </w:r>
          </w:p>
        </w:tc>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Accretion of original issue discount</w:t>
            </w:r>
          </w:p>
        </w:tc>
        <w:tc>
          <w:tcPr>
            <w:tcW w:w="2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amendment fee</w:t>
            </w:r>
          </w:p>
        </w:tc>
        <w:tc>
          <w:tcPr>
            <w:tcW w:w="2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r>
      <w:tr>
        <w:trPr>
          <w:trHeight w:val="248"/>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BT Term Loan interest expense</w:t>
            </w:r>
          </w:p>
        </w:tc>
        <w:tc>
          <w:tcPr>
            <w:tcW w:w="2000" w:type="dxa"/>
            <w:vAlign w:val="bottom"/>
            <w:tcBorders>
              <w:bottom w:val="single" w:sz="8" w:color="auto"/>
            </w:tcBorders>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applied for and on April 24, 2020 received proceeds of $10 million in the form of a loan under the Paycheck Protection Program (the “</w:t>
      </w:r>
      <w:r>
        <w:rPr>
          <w:rFonts w:ascii="Arial" w:cs="Arial" w:eastAsia="Arial" w:hAnsi="Arial"/>
          <w:sz w:val="18"/>
          <w:szCs w:val="18"/>
          <w:b w:val="1"/>
          <w:bCs w:val="1"/>
          <w:i w:val="1"/>
          <w:iCs w:val="1"/>
          <w:color w:val="auto"/>
        </w:rPr>
        <w:t>PPP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May 11, 2020, the Company repaid the PPP Loan in full. There are no continuing obligations under the PPP Loan as of June 30,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Net loss per common share is calculated using two methods: basic and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Net Loss Per Common Share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per common share is calculated as net loss available to common stockholders divided by weighted average common shares outstanding. Net loss available to common stockholders is calculated as net loss less (i) dividends accumulated on the Company’s Series B Convertible Preferred Stock during the period, and (ii) periodic accretion of the increasing-rate dividend feature.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provides a reconciliation of net loss to net loss available to common stockholders and calculation of basic net loss per common share for each of the three and six months ended June 30, 2021 and 2020 (amounts in thousands, except share and per share amounts):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tbl>
      <w:tblPr>
        <w:tblLayout w:type="fixed"/>
        <w:tblInd w:w="4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5"/>
          </w:tcPr>
          <w:p>
            <w:pPr>
              <w:ind w:left="220"/>
              <w:spacing w:after="0"/>
              <w:rPr>
                <w:sz w:val="20"/>
                <w:szCs w:val="20"/>
                <w:color w:val="auto"/>
              </w:rPr>
            </w:pPr>
            <w:r>
              <w:rPr>
                <w:rFonts w:ascii="Arial" w:cs="Arial" w:eastAsia="Arial" w:hAnsi="Arial"/>
                <w:sz w:val="18"/>
                <w:szCs w:val="18"/>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176"/>
        </w:trPr>
        <w:tc>
          <w:tcPr>
            <w:tcW w:w="4640" w:type="dxa"/>
            <w:vAlign w:val="bottom"/>
          </w:tcPr>
          <w:p>
            <w:pPr>
              <w:spacing w:after="0" w:line="176" w:lineRule="exact"/>
              <w:rPr>
                <w:sz w:val="20"/>
                <w:szCs w:val="20"/>
                <w:color w:val="auto"/>
              </w:rPr>
            </w:pPr>
            <w:r>
              <w:rPr>
                <w:rFonts w:ascii="Arial" w:cs="Arial" w:eastAsia="Arial" w:hAnsi="Arial"/>
                <w:sz w:val="18"/>
                <w:szCs w:val="18"/>
                <w:color w:val="auto"/>
              </w:rPr>
              <w:t>Adjustments to reconcile to net (loss) income available to</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common stockholders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9"/>
              </w:rPr>
              <w:t>Accumulated dividend on Series B Convertible Preferred</w:t>
            </w: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20"/>
              <w:spacing w:after="0"/>
              <w:rPr>
                <w:sz w:val="20"/>
                <w:szCs w:val="20"/>
                <w:color w:val="auto"/>
              </w:rPr>
            </w:pPr>
            <w:r>
              <w:rPr>
                <w:rFonts w:ascii="Arial" w:cs="Arial" w:eastAsia="Arial" w:hAnsi="Arial"/>
                <w:sz w:val="18"/>
                <w:szCs w:val="18"/>
                <w:color w:val="auto"/>
              </w:rPr>
              <w:t>Accretion of increasing-rate dividend feature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loss available to common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110,276,636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108,119,461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109,841,428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108,081,625</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Loss Per Common Share</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Diluted net loss per common share is calculated as net loss available to common stockholders, adjusted for dividends on convertible preferred stock (to the extent such conversions would be dilutive), divided by weighted average common shares outstanding plus potential common shares. The calculation of potential common shares considers incremental shares resulting from certain transactions, including the exercise of stock options and the issuance of restricted stock using the treasury stock method, as well as the hypothetical conversion of the Company’s Series B Convertible Preferred Stock using the if-converted method. The treasury stock method assumes that proceeds from the transaction are used to purchase common stock at the average market price throughout the period. The if-converted method adds back dividends accrued or deemed on the Company’s Series B Convertible Preferred Stock and assumes conversion as of the later of the beginning of the period or the original transaction date.</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individual transaction is assessed for its dilutive effect on net loss per common share. To the extent that the transaction is antidilutive, or does not reduce net loss per common share, the effect is excluded from the calculation.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diluted net loss per common share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200"/>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2880" w:type="dxa"/>
            <w:vAlign w:val="bottom"/>
            <w:gridSpan w:val="5"/>
          </w:tcPr>
          <w:p>
            <w:pPr>
              <w:ind w:left="26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Dividends on Series B Convertible Preferred Stock</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110,276,636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108,119,461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109,841,428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108,081,625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 common shares (a)</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30,373,856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30,232,150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720" w:type="dxa"/>
            <w:vAlign w:val="bottom"/>
          </w:tcPr>
          <w:p>
            <w:pPr>
              <w:ind w:left="20"/>
              <w:spacing w:after="0" w:line="176" w:lineRule="exact"/>
              <w:rPr>
                <w:sz w:val="20"/>
                <w:szCs w:val="20"/>
                <w:color w:val="auto"/>
              </w:rPr>
            </w:pPr>
            <w:r>
              <w:rPr>
                <w:rFonts w:ascii="Arial" w:cs="Arial" w:eastAsia="Arial" w:hAnsi="Arial"/>
                <w:sz w:val="18"/>
                <w:szCs w:val="18"/>
                <w:color w:val="auto"/>
                <w:w w:val="98"/>
              </w:rPr>
              <w:t>Weighted average shares outstanding adjusted for potential</w:t>
            </w: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110,276,636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108,119,461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109,841,428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108,081,625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ind w:right="20" w:firstLine="8"/>
        <w:spacing w:after="0" w:line="308" w:lineRule="auto"/>
        <w:tabs>
          <w:tab w:leader="none" w:pos="25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 common shares reflects hypothetical transactions involving convertible securities and share-based payment awards using the if-converted and treasury stock methods, respectively. The effect of each of these adjustments on the calculation is presented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3300" w:type="dxa"/>
            <w:vAlign w:val="bottom"/>
            <w:gridSpan w:val="4"/>
          </w:tcPr>
          <w:p>
            <w:pPr>
              <w:ind w:left="520"/>
              <w:spacing w:after="0"/>
              <w:rPr>
                <w:sz w:val="20"/>
                <w:szCs w:val="20"/>
                <w:color w:val="auto"/>
              </w:rPr>
            </w:pPr>
            <w:r>
              <w:rPr>
                <w:rFonts w:ascii="Arial" w:cs="Arial" w:eastAsia="Arial" w:hAnsi="Arial"/>
                <w:sz w:val="18"/>
                <w:szCs w:val="18"/>
                <w:color w:val="auto"/>
              </w:rPr>
              <w:t>Three Months Ended June 30,</w:t>
            </w:r>
          </w:p>
        </w:tc>
        <w:tc>
          <w:tcPr>
            <w:tcW w:w="2860" w:type="dxa"/>
            <w:vAlign w:val="bottom"/>
            <w:gridSpan w:val="3"/>
          </w:tcPr>
          <w:p>
            <w:pPr>
              <w:jc w:val="right"/>
              <w:ind w:right="350"/>
              <w:spacing w:after="0"/>
              <w:rPr>
                <w:sz w:val="20"/>
                <w:szCs w:val="20"/>
                <w:color w:val="auto"/>
              </w:rPr>
            </w:pPr>
            <w:r>
              <w:rPr>
                <w:rFonts w:ascii="Arial" w:cs="Arial" w:eastAsia="Arial" w:hAnsi="Arial"/>
                <w:sz w:val="18"/>
                <w:szCs w:val="18"/>
                <w:color w:val="auto"/>
              </w:rPr>
              <w:t>Six Months Ended June 30,</w:t>
            </w:r>
          </w:p>
        </w:tc>
      </w:tr>
      <w:tr>
        <w:trPr>
          <w:trHeight w:val="223"/>
        </w:trPr>
        <w:tc>
          <w:tcPr>
            <w:tcW w:w="50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Convertible Preferred Stock</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26,758,916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26,497,570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540" w:type="dxa"/>
            <w:vAlign w:val="bottom"/>
          </w:tcPr>
          <w:p>
            <w:pPr>
              <w:jc w:val="right"/>
              <w:spacing w:after="0"/>
              <w:rPr>
                <w:sz w:val="20"/>
                <w:szCs w:val="20"/>
                <w:color w:val="auto"/>
              </w:rPr>
            </w:pPr>
            <w:r>
              <w:rPr>
                <w:rFonts w:ascii="Arial" w:cs="Arial" w:eastAsia="Arial" w:hAnsi="Arial"/>
                <w:sz w:val="18"/>
                <w:szCs w:val="18"/>
                <w:color w:val="auto"/>
              </w:rPr>
              <w:t>1,271,626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1,044,479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1,450,671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1,386,674</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1,471,412</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838,644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562,513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906,811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714,600</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stock unit awards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Potential common shares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30,373,856</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1,635,618</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30,232,150</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2,117,833</w:t>
            </w:r>
          </w:p>
        </w:tc>
      </w:tr>
      <w:tr>
        <w:trPr>
          <w:trHeight w:val="20"/>
        </w:trPr>
        <w:tc>
          <w:tcPr>
            <w:tcW w:w="5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2020, the Company issued $100 million of the Company’s Series B Convertible Preferred Stock, par value $0.001 per share (the “</w:t>
      </w:r>
      <w:r>
        <w:rPr>
          <w:rFonts w:ascii="Arial" w:cs="Arial" w:eastAsia="Arial" w:hAnsi="Arial"/>
          <w:sz w:val="18"/>
          <w:szCs w:val="18"/>
          <w:b w:val="1"/>
          <w:bCs w:val="1"/>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to an affiliate of EW Healthcare Partners and to certain funds managed by Hayfin Capital Management LLP (individually,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pursuant to a Securities Purchase Agreement with Falcon Fund 2 Holding Company, L.P., an affiliate of EW Healthcare Partners, and certain funds managed by Hayfin, dated as of June 30, 2020 (the “</w:t>
      </w:r>
      <w:r>
        <w:rPr>
          <w:rFonts w:ascii="Arial" w:cs="Arial" w:eastAsia="Arial" w:hAnsi="Arial"/>
          <w:sz w:val="18"/>
          <w:szCs w:val="18"/>
          <w:b w:val="1"/>
          <w:bCs w:val="1"/>
          <w:i w:val="1"/>
          <w:iCs w:val="1"/>
          <w:color w:val="auto"/>
        </w:rPr>
        <w:t>Securities Purchase Agreement</w:t>
      </w:r>
      <w:r>
        <w:rPr>
          <w:rFonts w:ascii="Arial" w:cs="Arial" w:eastAsia="Arial" w:hAnsi="Arial"/>
          <w:sz w:val="18"/>
          <w:szCs w:val="18"/>
          <w:color w:val="auto"/>
        </w:rPr>
        <w:t>”), for an aggregate purchase price of $100 million (the “</w:t>
      </w:r>
      <w:r>
        <w:rPr>
          <w:rFonts w:ascii="Arial" w:cs="Arial" w:eastAsia="Arial" w:hAnsi="Arial"/>
          <w:sz w:val="18"/>
          <w:szCs w:val="18"/>
          <w:b w:val="1"/>
          <w:bCs w:val="1"/>
          <w:i w:val="1"/>
          <w:iCs w:val="1"/>
          <w:color w:val="auto"/>
        </w:rPr>
        <w:t>Preferred Stock Transaction</w:t>
      </w:r>
      <w:r>
        <w:rPr>
          <w:rFonts w:ascii="Arial" w:cs="Arial" w:eastAsia="Arial" w:hAnsi="Arial"/>
          <w:sz w:val="18"/>
          <w:szCs w:val="18"/>
          <w:color w:val="auto"/>
        </w:rPr>
        <w:t>”).</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B Preferred Stock paid a 4.0% cumulative dividend per annum prior to the quarterly dividend payment ending on June 30, 2021, and pays a 6.0% cumulative dividend per annum thereafter. Dividends are declared at the sole discretion of the Company’s board of directors. Dividends are paid at the end of each quarter based for dividend amounts that accumulate beginning on the last payment date through the day prior to the end of each quarter. In lieu of paying a dividend, the Company may elect to accrue the dividend owed to shareholders. Accrued dividend balances accumulate dividends at the prevailing dividend rate for each dividend period for which they are outstanding.</w:t>
      </w:r>
    </w:p>
    <w:p>
      <w:pPr>
        <w:spacing w:after="0" w:line="1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share of Series B Preferred Stock, including any accumulated and unpaid dividends, is convertible into Company’s common stock at any time at the option of the Holder at a conversion price of $3.85 per common share, or 259.74 common shares for each share of Series B Preferred Stock prior to any accumulated and unpaid dividends. The Series B Preferred Stock, including any accumulated and unpaid dividends, automatically converts into common stock at any time after the third anniversary of the issuance date, provided that the common stock has traded at 200% or more of the conversion price for 20 out of 30 consecutive trading days and on such date of conversion the common stock has traded at 200% or more of the conversion price.</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the Series B Preferred Stock, voting as a class, generally are entitled to elect two members to the board of directors. Holders of the Series B Preferred Stock are entitled to vote on all matters to be voted on by the Company’s shareholders on an as-converted basis as a single class with the common stock not to exceed 19.9% of the total voting stock of the Company. Holders of the Series B Preferred Stock are also entitled to a liquidation preference in an amount equal to the original issue price plus all accumulated and unpaid dividends in the event of a liquidation, dissolution, or winding-up of the Company.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B Preferred Stock instrument contains an increasing-rate cumulative dividend feature. The Company determined the present value of the difference between the (1) dividends that will be payable, in the period preceding commencement of the perpetual dividend; and (2) the perpetual dividend amount for a corresponding number of periods to ascribe a fair value to this feature. The present value is calculated using a market rate for dividend yield. The Company calculated the amount of the increasing-rate dividend feature as $1.8 million. This amount is amortized as a deemed dividend to preferred shareholders using the effective interest method through the commencement date of the Perpetual Dividend Rate. During the three and six months ended June 30, 2021, the Company recognized $0.5 million and $0.9 million of deemed dividends related to the amortization of the increasing rate dividend feature.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undergoes a change of control, the Company will have the option to repurchase some or all of the then-outstanding shares of Series B Preferred Stock for cash in an amount equal to the liquidation preference, subject to the rights of the holders of the Series B Preferred Stock in connection with such change in control. If the Company does not exercise such repurchase right, holders of the Series B Preferred Stock will have the option to (1) require the Company to repurchase any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all of their then-outstanding shares of Series B Preferred Stock for cash in an amount equal to the liquidation preference or (2) convert the Series B Preferred Stock, including accumulated and unpaid dividends into common stock and receive their pro rata consideration thereunder. Because the contingent redemption of the Series B Preferred Stock by the holders in the event of change in control is outside the Company’s control, the Series B Preferred Stock is classified as temporary equity.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below table illustrates changes in the Company’s balance of Series B Preferred Stock for the three months ended June 30, 2021 (in thousands, except share amounts):</w:t>
      </w:r>
    </w:p>
    <w:p>
      <w:pPr>
        <w:spacing w:after="0" w:line="1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Series B Preferred Stock</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4"/>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92,030</w:t>
            </w:r>
          </w:p>
        </w:tc>
      </w:tr>
      <w:tr>
        <w:trPr>
          <w:trHeight w:val="230"/>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Deemed dividends</w:t>
            </w: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below table illustrates changes in the Company’s balance of Series B Preferred Stock for the six months ended June 30, 2021 (in thousands, except share amounts):</w:t>
      </w:r>
    </w:p>
    <w:p>
      <w:pPr>
        <w:spacing w:after="0" w:line="1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Series B Preferred Stock</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4"/>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91,568</w:t>
            </w:r>
          </w:p>
        </w:tc>
      </w:tr>
      <w:tr>
        <w:trPr>
          <w:trHeight w:val="229"/>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Deemed dividends</w:t>
            </w: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43"/>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declared or paid any dividends on the Series B Convertible Preferred Stock since issuance. Dividends in accumulated but not paid as of June 30, 2021 was $4.1 million. As this amount has not been declared, the Company has not recorded this amount on its unaudited condensed consolidated balance sheet as of June 30, 2021.</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accumulated dividends as of June 30, 2021, the Series B Convertible Preferred Stock was convertible into an aggregate of 27,027,252 shares of the Company’s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issued several classes of restricted stock awards to employees: restricted stock (“</w:t>
      </w:r>
      <w:r>
        <w:rPr>
          <w:rFonts w:ascii="Arial" w:cs="Arial" w:eastAsia="Arial" w:hAnsi="Arial"/>
          <w:sz w:val="16"/>
          <w:szCs w:val="16"/>
          <w:b w:val="1"/>
          <w:bCs w:val="1"/>
          <w:i w:val="1"/>
          <w:iCs w:val="1"/>
          <w:color w:val="auto"/>
        </w:rPr>
        <w:t>RSAs</w:t>
      </w:r>
      <w:r>
        <w:rPr>
          <w:rFonts w:ascii="Arial" w:cs="Arial" w:eastAsia="Arial" w:hAnsi="Arial"/>
          <w:sz w:val="16"/>
          <w:szCs w:val="16"/>
          <w:color w:val="auto"/>
        </w:rPr>
        <w:t>”), restricted stock unit awards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and performance stock unit awards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The following is summary information for restricted stock awards for the six months ended June 30, 2021.</w:t>
      </w:r>
    </w:p>
    <w:p>
      <w:pPr>
        <w:spacing w:after="0" w:line="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2021, there was $33.0 million of unrecognized share-based compensation expense related to restricted stock awards. That expense is expected to be recognized over a weighted-average period of 2.41 years, which approximates the remaining vesting period of these grants.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The below table summarizes activity of unvested restricted stock awards by award type from January 1, 2021 through June 30, 2021. Unvested RSA awards noted below are included in issued and outstanding common stock as of June 30, 2021, while unvested RSUs and PSUs are not included in issued or outstanding common stock as of June 30, 2021.</w:t>
      </w:r>
    </w:p>
    <w:p>
      <w:pPr>
        <w:spacing w:after="0" w:line="21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91"/>
              </w:rPr>
              <w:t>RSA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89"/>
              </w:rPr>
              <w:t>RSU</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91"/>
              </w:rPr>
              <w:t>PSU</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88"/>
              </w:rPr>
              <w:t>Average Grant</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88"/>
              </w:rPr>
              <w:t>Average Grant</w:t>
            </w: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Number of</w:t>
            </w:r>
          </w:p>
        </w:tc>
        <w:tc>
          <w:tcPr>
            <w:tcW w:w="120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89"/>
              </w:rPr>
              <w:t>Date</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89"/>
              </w:rPr>
              <w:t>Date</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100" w:type="dxa"/>
            <w:vAlign w:val="bottom"/>
          </w:tcPr>
          <w:p>
            <w:pPr>
              <w:ind w:left="30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2,175,859</w:t>
            </w:r>
          </w:p>
        </w:tc>
        <w:tc>
          <w:tcPr>
            <w:tcW w:w="22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7"/>
              </w:rPr>
              <w:t>2,325,273</w:t>
            </w: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35,212</w:t>
            </w: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2,957,900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(862,790)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(761,775)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(48,026)</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3"/>
              </w:rPr>
              <w:t>(116,019)</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1,265,043</w:t>
            </w:r>
          </w:p>
        </w:tc>
        <w:tc>
          <w:tcPr>
            <w:tcW w:w="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7"/>
              </w:rPr>
              <w:t>4,405,379</w:t>
            </w: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35,212</w:t>
            </w: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three months ended June 30, 2021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Weighted-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Weighted-</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6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9"/>
              </w:rPr>
              <w:t>Exercise</w:t>
            </w:r>
          </w:p>
        </w:tc>
        <w:tc>
          <w:tcPr>
            <w:tcW w:w="15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5"/>
                <w:szCs w:val="15"/>
                <w:color w:val="auto"/>
              </w:rPr>
            </w:pPr>
          </w:p>
        </w:tc>
        <w:tc>
          <w:tcPr>
            <w:tcW w:w="128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6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2,025,683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Unvested options 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options expired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1,481,544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10,974,672</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10,974,672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rates for the Company were 0.3% and (0.3)% for the three months ended June 30, 2021 and June 30, 2020, respectively.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rates for the Company were (0.5)% and 45.9%, for the six months ended June 30, 2021 and June 30, 2020, respectively. These effective tax rates include the impact of discrete items of $0 and $11.4 million for the three months ended June 30, 2021 and June 30, 2020, respectively. The discrete items recorded for the six months ended June 30, 2020 were primarily related to modifications to the tax rules for carryback of net operating losses as a result of the CARES Act which resulted in a federal tax refund of $11.3 million and an income tax benefit of the same amount. Of this amount, the Company has collected $1.2 million as of June 30, 2021. No benefit had been recognized with respect to the net operating losses due to a previously-recorded valuation allowance.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 of Cash Flow and Non-cash Investing and Financing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Selected cash payments, receipts, and non-cash activities are as follows (in thousands):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8"/>
        </w:trPr>
        <w:tc>
          <w:tcPr>
            <w:tcW w:w="8060" w:type="dxa"/>
            <w:vAlign w:val="bottom"/>
          </w:tcPr>
          <w:p>
            <w:pPr>
              <w:spacing w:after="0"/>
              <w:rPr>
                <w:sz w:val="24"/>
                <w:szCs w:val="2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Six Months Ended June 30,</w:t>
            </w:r>
          </w:p>
        </w:tc>
        <w:tc>
          <w:tcPr>
            <w:tcW w:w="500" w:type="dxa"/>
            <w:vAlign w:val="bottom"/>
            <w:tcBorders>
              <w:bottom w:val="single" w:sz="8" w:color="auto"/>
            </w:tcBorders>
          </w:tcPr>
          <w:p>
            <w:pPr>
              <w:spacing w:after="0"/>
              <w:rPr>
                <w:sz w:val="24"/>
                <w:szCs w:val="24"/>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3,731</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Lease right of use asset and liability</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receivable for sale of property and equipment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Purchases of equipment in accounts payable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non-cash consideration received for option exercise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Deemed dividends on Series B Convertible Preferred Stock</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costs</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1,715</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Amendment fee on BT Term Loan</w:t>
            </w:r>
          </w:p>
        </w:tc>
        <w:tc>
          <w:tcPr>
            <w:tcW w:w="9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Contractual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Matters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ordinary course of business, the Company and its subsidiaries are parties to numerous civil claims and lawsuits and subject to regulatory examinations, investigations, and requests for information. Some of these matters involve claims for substantial amounts. The Company’s experience has shown that the damages alleged by plaintiffs or claimants are often overstated, based on unsubstantiated legal theories, unsupported by facts, and/or bear no relation to the ultimate award that a court might grant. Additionally, the outcome of litigation and regulatory matters and the timing of ultimate resolution are inherently difficult to predict. These factors make it difficult for the Company to provide a meaningful estimate of the range of reasonably possible outcomes of claims in the aggregate or by individual claim. However, on a case-by-case basis, reserves are established for those legal claims in which it is probable that a loss will be incurred and the amount of such loss can be reasonably estimated. The Company's unaudited condensed consolidated financial statements as of June 30, 2021 reflect the Company's current best estimate of probable losses associated with these matters, including costs to comply with various settlement agreements, where applicable. The actual costs of resolving these claims, as well as the cost to resolve claims that are either not probable or not estimable at this time, may be substantially higher or lower than the amounts reserved. For more information regarding the Company’s legal proceedings, refer to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2020 Form 10-K.</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has accrued $4.5 million related to the legal proceedings. The Company is entitled to indemnification from insurance companies in connection with legal proceedings of $0.4 million. This indemnification receivable is recorded as part of other current assets in the unaudited condensed consolidated balance sheet as of June 30, 2021. The Company paid $6.5 million toward the resolution of legal matters involving the Company during the six months ended June 30, 2021. In addition, $0.7 million was paid on the Company’s behalf through insurance providers during the six months ended June 30, 2021.</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received funds from certain director and officer insurance policies for previously-incurred legal expenses under the Company’s indemnification agreements. These funds were recognized as a reduction to investigation, restatement, and related expense during each of the three and six months ended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certain litigation and regulatory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January 16, 2019, the United States District Court for the Northern District of Georgia entered an order consolidating two purported securities class actions (</w:t>
      </w:r>
      <w:r>
        <w:rPr>
          <w:rFonts w:ascii="Arial" w:cs="Arial" w:eastAsia="Arial" w:hAnsi="Arial"/>
          <w:sz w:val="17"/>
          <w:szCs w:val="17"/>
          <w:i w:val="1"/>
          <w:iCs w:val="1"/>
          <w:color w:val="auto"/>
        </w:rPr>
        <w:t>MacPhee v. MiMedx Group, Inc., et al.</w:t>
      </w:r>
      <w:r>
        <w:rPr>
          <w:rFonts w:ascii="Arial" w:cs="Arial" w:eastAsia="Arial" w:hAnsi="Arial"/>
          <w:sz w:val="17"/>
          <w:szCs w:val="17"/>
          <w:color w:val="auto"/>
        </w:rPr>
        <w:t xml:space="preserve"> filed February 23, 2018 and </w:t>
      </w:r>
      <w:r>
        <w:rPr>
          <w:rFonts w:ascii="Arial" w:cs="Arial" w:eastAsia="Arial" w:hAnsi="Arial"/>
          <w:sz w:val="17"/>
          <w:szCs w:val="17"/>
          <w:i w:val="1"/>
          <w:iCs w:val="1"/>
          <w:color w:val="auto"/>
        </w:rPr>
        <w:t>Kline v. MiMedx Group, Inc., et al.</w:t>
      </w:r>
      <w:r>
        <w:rPr>
          <w:rFonts w:ascii="Arial" w:cs="Arial" w:eastAsia="Arial" w:hAnsi="Arial"/>
          <w:sz w:val="17"/>
          <w:szCs w:val="17"/>
          <w:color w:val="auto"/>
        </w:rPr>
        <w:t xml:space="preserve"> filed February 26, 2018). The order also appointed Carpenters Pension Fund of Illinois (“</w:t>
      </w:r>
      <w:r>
        <w:rPr>
          <w:rFonts w:ascii="Arial" w:cs="Arial" w:eastAsia="Arial" w:hAnsi="Arial"/>
          <w:sz w:val="17"/>
          <w:szCs w:val="17"/>
          <w:b w:val="1"/>
          <w:bCs w:val="1"/>
          <w:i w:val="1"/>
          <w:iCs w:val="1"/>
          <w:color w:val="auto"/>
        </w:rPr>
        <w:t>CPFI</w:t>
      </w:r>
      <w:r>
        <w:rPr>
          <w:rFonts w:ascii="Arial" w:cs="Arial" w:eastAsia="Arial" w:hAnsi="Arial"/>
          <w:sz w:val="17"/>
          <w:szCs w:val="17"/>
          <w:color w:val="auto"/>
        </w:rPr>
        <w:t>”) as lead plaintiff. On May 1, 2019, CPFI filed a consolidated amended complaint, naming as defendants the Company, Michael J. Senken, Parker H. “Pete” Petit, William C. Taylor, Christopher M. Cashman and Cherry Bekaert &amp; Holland LLP. The amended complaint (the “Securities Class Action Complaint”) alleged violations of Section 10(b) of the Securities Exchange Act of 1934, as amended (the “Exchange Act”), Rule 10b-5 promulgated thereunder, and Section 20(a) of the Exchange Act. It asserted a class period of</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6"/>
          <w:szCs w:val="16"/>
          <w:color w:val="auto"/>
        </w:rPr>
        <w:t>March 7, 2013 through June 29, 2018. Following the filing of motions to dismiss by the various defendants, CPFI was granted leave to file an amended complaint. CPFI filed its amended complaint against the Company, Michael J. Senken, Parker H. Petit, William C. Taylor, and Cherry Bekaert &amp; Holland (Christopher Cashman was dropped as a defendant) on March 30, 2020; defendants filed motions to dismiss on May 29, 2020. On March 25, 2021, the Court granted defendants’ respective motions to dismiss, finding that CPFI lacked standing to bring the underlying claims and also could not establish loss causation because it sold all of its shares in MiMedx prior to any corrective disclosures, and dismissed the case. On April 22, 2021, CPFI filed a motion for reconsideration of the dismissal and for leave to amend to add a new plaintiff to attempt to cure the standing and loss causation issues. The Company has opposed CPFI’s motions and the hearing on the same scheduled for July 28, 2021 has been postponed; no new date has yet been 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Investigations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Department of Veterans’ Affairs Office of Inspector General (“VA-OIG”) and Civil Division of the Department of Justice (“DOJ-Civil”) Subpoenas and/or Investigations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VA-OIG has issued subpoenas to the Company seeking, among other things, information concerning the Company’s financial relationships with VA clinicians. DOJ-Civil has requested similar information. The Company has cooperated fully and produced responsive information to VA-OIG and DOJ-Civil. Periodically, VA-OIG has requested additional documents and information regarding payments to individual VA clinicians. Most recently, on June 3, 2020, the Company received a subpoena from the VA-OIG requesting information regarding the Company’s financial relationships and interactions with two healthcare providers at the VA Long Beach Healthcare System. The Company has continued to cooperate and respond to these requests. At this time the Company is unable to predict the outcome of the investigation, including whether the investigation will result in any action or proceeding against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Defense Office of Inspector General Investigation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8, 2021, the Company received a subpoena issued by the Department of Defense Office of Inspector General seeking records regarding the sales of the Company’s micronized and other products to federal medical facilities and federal contracting offices, including those operated by the Department of Veterans Affairs or the Department of Defense. The subpoena also seeks information regarding the Company’s communications with the FDA regarding its products. The Company understands that the Office of the United States Attorney for the Western District of Washington Civil Division is overseeing the investigation, which is being conducted principally by agents employed by the Department of the Army Criminal Investigation Command. The Company is cooperating with the government’s investigation and at this time the Company is unable to predict the outcome of the investigation, including whether the investigation will result in any action or proceeding against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 and Related Matters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19, 2018, the Company’s former Chief Financial Officer filed a complaint in the Superior Court for Cobb County, Georgia (</w:t>
      </w:r>
      <w:r>
        <w:rPr>
          <w:rFonts w:ascii="Arial" w:cs="Arial" w:eastAsia="Arial" w:hAnsi="Arial"/>
          <w:sz w:val="17"/>
          <w:szCs w:val="17"/>
          <w:i w:val="1"/>
          <w:iCs w:val="1"/>
          <w:color w:val="auto"/>
        </w:rPr>
        <w:t>Michael J.</w:t>
      </w:r>
      <w:r>
        <w:rPr>
          <w:rFonts w:ascii="Arial" w:cs="Arial" w:eastAsia="Arial" w:hAnsi="Arial"/>
          <w:sz w:val="17"/>
          <w:szCs w:val="17"/>
          <w:color w:val="auto"/>
        </w:rPr>
        <w:t xml:space="preserve"> </w:t>
      </w:r>
      <w:r>
        <w:rPr>
          <w:rFonts w:ascii="Arial" w:cs="Arial" w:eastAsia="Arial" w:hAnsi="Arial"/>
          <w:sz w:val="17"/>
          <w:szCs w:val="17"/>
          <w:i w:val="1"/>
          <w:iCs w:val="1"/>
          <w:color w:val="auto"/>
        </w:rPr>
        <w:t>Senken v. MiMedx Group, Inc.</w:t>
      </w:r>
      <w:r>
        <w:rPr>
          <w:rFonts w:ascii="Arial" w:cs="Arial" w:eastAsia="Arial" w:hAnsi="Arial"/>
          <w:sz w:val="17"/>
          <w:szCs w:val="17"/>
          <w:color w:val="auto"/>
        </w:rPr>
        <w:t>) in which he claims that the Company has breached its obligations under the Company’s charter and bylaws to advance to</w:t>
      </w:r>
      <w:r>
        <w:rPr>
          <w:rFonts w:ascii="Arial" w:cs="Arial" w:eastAsia="Arial" w:hAnsi="Arial"/>
          <w:sz w:val="17"/>
          <w:szCs w:val="17"/>
          <w:i w:val="1"/>
          <w:iCs w:val="1"/>
          <w:color w:val="auto"/>
        </w:rPr>
        <w:t xml:space="preserve"> </w:t>
      </w:r>
      <w:r>
        <w:rPr>
          <w:rFonts w:ascii="Arial" w:cs="Arial" w:eastAsia="Arial" w:hAnsi="Arial"/>
          <w:sz w:val="17"/>
          <w:szCs w:val="17"/>
          <w:color w:val="auto"/>
        </w:rPr>
        <w:t>him, and indemnify him for, his legal fees and costs that he incurred in connection with certain Company internal investigations and litigation. The Company filed its answer denying the plaintiff’s claims on April 19, 2019. To date, no deadlines have been established by the court.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January 12, 2021, the Company filed suit in the Circuit Court of the Eleventh Judicial District in and for Miami-Dade County, Florida (</w:t>
      </w:r>
      <w:r>
        <w:rPr>
          <w:rFonts w:ascii="Arial" w:cs="Arial" w:eastAsia="Arial" w:hAnsi="Arial"/>
          <w:sz w:val="16"/>
          <w:szCs w:val="16"/>
          <w:i w:val="1"/>
          <w:iCs w:val="1"/>
          <w:color w:val="auto"/>
        </w:rPr>
        <w:t>MiMedx Group,</w:t>
      </w:r>
      <w:r>
        <w:rPr>
          <w:rFonts w:ascii="Arial" w:cs="Arial" w:eastAsia="Arial" w:hAnsi="Arial"/>
          <w:sz w:val="16"/>
          <w:szCs w:val="16"/>
          <w:color w:val="auto"/>
        </w:rPr>
        <w:t xml:space="preserve"> </w:t>
      </w:r>
      <w:r>
        <w:rPr>
          <w:rFonts w:ascii="Arial" w:cs="Arial" w:eastAsia="Arial" w:hAnsi="Arial"/>
          <w:sz w:val="16"/>
          <w:szCs w:val="16"/>
          <w:i w:val="1"/>
          <w:iCs w:val="1"/>
          <w:color w:val="auto"/>
        </w:rPr>
        <w:t>Inc. v. Petit, et. al.</w:t>
      </w:r>
      <w:r>
        <w:rPr>
          <w:rFonts w:ascii="Arial" w:cs="Arial" w:eastAsia="Arial" w:hAnsi="Arial"/>
          <w:sz w:val="16"/>
          <w:szCs w:val="16"/>
          <w:color w:val="auto"/>
        </w:rPr>
        <w:t>) against its former CEO, Parker H. “Pete” Petit, and its former COO, William C. Taylor, seeking a determination of its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indemnification agreements with Petit and Taylor following a federal jury’s guilty verdict against Petit for securities fraud and Taylor for conspiracy to commit securities fraud. The Company is seeking a declaratory judgment that it is not obligated to indemnify or advance expenses to Petit and Taylor in connection with certain cases to which Petit and Taylor are parties and also seeking to recoup amounts previously paid on behalf of Petit and</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Taylor in connection with such cases. On April 22, 2021, Petit and Taylor filed an answer and asserted counterclaims against the Company alleging breach of their indemnification agreements, breach of the covenant of good faith and fair dealing with respect to their indemnification agreements, and seeking a</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declaration that the Company remains obligated to indemnify and advance fees in connection with certain cases. Petit and Taylor simultaneously also filed a motion seeking to compel the Company to advance and reinstate its payments of Petit and Taylor’s legal expenses. The Company opposed Petit and Taylor’s motion and a hearing was set for June 23, 2021. At the joint request of the parties, the hearing was cancelled to allow the parties to attend a mediation to attempt a resolution of this matter; such mediation is currently scheduled for August 11, 2021.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jc w:val="both"/>
        <w:spacing w:after="0" w:line="224" w:lineRule="auto"/>
        <w:rPr>
          <w:sz w:val="20"/>
          <w:szCs w:val="20"/>
          <w:color w:val="auto"/>
        </w:rPr>
      </w:pPr>
      <w:r>
        <w:rPr>
          <w:rFonts w:ascii="Arial" w:cs="Arial" w:eastAsia="Arial" w:hAnsi="Arial"/>
          <w:sz w:val="18"/>
          <w:szCs w:val="18"/>
          <w:color w:val="auto"/>
        </w:rPr>
        <w:t>On April 15, 2021, Quinn Emanuel Urquhart &amp; Sullivan, LLP, Freshfields Bruckhaus Deringer US LLP, and Kobre Kim, LLP, law firms who have represented Mr. Petit and Mr. Taylor in various legal actions, including their criminal trial, filed suit in the Supreme Court of the State of New York County of New York against the Company (</w:t>
      </w:r>
      <w:r>
        <w:rPr>
          <w:rFonts w:ascii="Arial" w:cs="Arial" w:eastAsia="Arial" w:hAnsi="Arial"/>
          <w:sz w:val="18"/>
          <w:szCs w:val="18"/>
          <w:i w:val="1"/>
          <w:iCs w:val="1"/>
          <w:color w:val="auto"/>
        </w:rPr>
        <w:t>Quinn Emanuel Urquhart &amp; Sullivan, LLP, et al. v. MiMedx Group, Inc.</w:t>
      </w:r>
      <w:r>
        <w:rPr>
          <w:rFonts w:ascii="Arial" w:cs="Arial" w:eastAsia="Arial" w:hAnsi="Arial"/>
          <w:sz w:val="18"/>
          <w:szCs w:val="18"/>
          <w:color w:val="auto"/>
        </w:rPr>
        <w:t>) for breach of contract, breach of implied-in-fact contract, quasi-contract/unjust enrichment, promissory estoppel, equitable estoppel, and account stated seeking to enforce the Company’s alleged obligation to pay the firms for the legal fees and expenses incurred during their representations of Mr. Petit and Mr. Taylor. The parties have settled this matter and the case has been dismissed. The settlement reduced the Company’s liability to the plaintiffs, with respect to their representations of Messrs. Petit and Taylor, by $2.4 million. This reduction was included in investigation, restatement, and related expense on the unaudited condensed consolidated statements of operations for each of the three and six months ended June 30, 2021. The Company has paid the settlement amount and has no continuing obligations to the plaintiffs.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Defamation Claims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4, 2018, Sparrow Fund Management, LP (“Sparrow”) filed a complaint against the Company and Mr. Petit, including claims for defamation and civil conspiracy in the United States District Court for the Southern District of New York (</w:t>
      </w:r>
      <w:r>
        <w:rPr>
          <w:rFonts w:ascii="Arial" w:cs="Arial" w:eastAsia="Arial" w:hAnsi="Arial"/>
          <w:sz w:val="18"/>
          <w:szCs w:val="18"/>
          <w:i w:val="1"/>
          <w:iCs w:val="1"/>
          <w:color w:val="auto"/>
        </w:rPr>
        <w:t>Sparrow Fund Management, L.P. v. MiMedx Group, Inc. et. al.</w:t>
      </w:r>
      <w:r>
        <w:rPr>
          <w:rFonts w:ascii="Arial" w:cs="Arial" w:eastAsia="Arial" w:hAnsi="Arial"/>
          <w:sz w:val="18"/>
          <w:szCs w:val="18"/>
          <w:color w:val="auto"/>
        </w:rPr>
        <w:t>). The complaint seeks monetary damages and injunctive relief and alleges the defendants commenced a campaign to publicly discredit Sparrow by falsely claiming it was a short seller who engaged in illegal and criminal behavior by spreading false information in an attempt to manipulate the price of our common stock. On March 31, 2019, a judge granted defendants’ motions to dismiss in full, but allowed Sparrow the ability to file an amended complaint. The Magistrate has recommended Sparrow’s motion for leave to amend be granted in part and denied in part and the Judge adopted the Magistrate’s recommendation. Sparrow filed its amended complaint against MiMedx (Mr. Petit has been dropped from the lawsuit) on April 3, 2020 and the Company filed its answer. This case is in discovery.</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June 17, 2019, the principals of Viceroy Research (“Viceroy”), filed suit in the Circuit Court for the Seventeenth Judicial Circuit in Broward County, Florida (</w:t>
      </w:r>
      <w:r>
        <w:rPr>
          <w:rFonts w:ascii="Arial" w:cs="Arial" w:eastAsia="Arial" w:hAnsi="Arial"/>
          <w:sz w:val="17"/>
          <w:szCs w:val="17"/>
          <w:i w:val="1"/>
          <w:iCs w:val="1"/>
          <w:color w:val="auto"/>
        </w:rPr>
        <w:t>Fraser John Perring et. al. v. MiMedx Group, Inc. et. al.</w:t>
      </w:r>
      <w:r>
        <w:rPr>
          <w:rFonts w:ascii="Arial" w:cs="Arial" w:eastAsia="Arial" w:hAnsi="Arial"/>
          <w:sz w:val="17"/>
          <w:szCs w:val="17"/>
          <w:color w:val="auto"/>
        </w:rPr>
        <w:t>) against the Company and Mr. Petit, alleging defamation and malicious prosecution based on the defendants’ alleged campaign to publicly discredit Viceroy and the lawsuit the Company previously filed against the plaintiffs, but which the Company subsequently dismissed without prejudice. On November 1, 2019, the Court granted Mr. Petit’s motion to dismiss on jurisdictional grounds, denied the Company’s motion to dismiss, and granted plaintiffs leave to file an amended complaint to address the deficiencies in its claims against Mr. Petit, which they did on November 21, 2019. The parties have settled this matter and the case has been dismissed.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Florida Business Corporation Act and agreements with its current and former officers and directors, the Company is obligated to indemnify its current and former officers and directors who are made party to a proceeding, including a proceeding brought by or in the right of the corporation, with certain exceptions, and to advance expenses to defend such matters. The Company has already borne substantial costs to satisfy these indemnification and expense advance obligations and may continue to do so in the future.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described above, the Company is a party to a variety of other legal matters that arise in the ordinary course of the Company’s business, none of which is deemed to be individually material at this time. Due to the inherent uncertainty of litigation, there can be no assurance that the resolution of any particular claim or proceeding would not have a material adverse effect on the Company’s business, results of operations, financial position or liquidity.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 by Product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MiMedx has two primary classes of products: (1) Advanced Wound Care, or Section 361, products, consisting of its sheet allograft products, and (2) Section 351 products, consisting of the Company’s micronized and particulate products. Advanced Wound Care is further disaggregated between the Company’s Tissue/Other and Cord products.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Below is a summary of net sales by each class of product (in thousands):</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0" w:type="dxa"/>
            <w:vAlign w:val="bottom"/>
            <w:gridSpan w:val="5"/>
          </w:tcPr>
          <w:p>
            <w:pPr>
              <w:ind w:left="300"/>
              <w:spacing w:after="0"/>
              <w:rPr>
                <w:sz w:val="20"/>
                <w:szCs w:val="20"/>
                <w:color w:val="auto"/>
              </w:rPr>
            </w:pPr>
            <w:r>
              <w:rPr>
                <w:rFonts w:ascii="Arial" w:cs="Arial" w:eastAsia="Arial" w:hAnsi="Arial"/>
                <w:sz w:val="18"/>
                <w:szCs w:val="18"/>
                <w:color w:val="auto"/>
              </w:rPr>
              <w:t>Three Months Ended June 30,</w:t>
            </w:r>
          </w:p>
        </w:tc>
        <w:tc>
          <w:tcPr>
            <w:tcW w:w="740" w:type="dxa"/>
            <w:vAlign w:val="bottom"/>
          </w:tcPr>
          <w:p>
            <w:pPr>
              <w:spacing w:after="0"/>
              <w:rPr>
                <w:sz w:val="20"/>
                <w:szCs w:val="20"/>
                <w:color w:val="auto"/>
              </w:rPr>
            </w:pPr>
          </w:p>
        </w:tc>
        <w:tc>
          <w:tcPr>
            <w:tcW w:w="3180" w:type="dxa"/>
            <w:vAlign w:val="bottom"/>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Advanced Wound Care</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640"/>
              <w:spacing w:after="0"/>
              <w:rPr>
                <w:sz w:val="20"/>
                <w:szCs w:val="20"/>
                <w:color w:val="auto"/>
              </w:rPr>
            </w:pPr>
            <w:r>
              <w:rPr>
                <w:rFonts w:ascii="Arial" w:cs="Arial" w:eastAsia="Arial" w:hAnsi="Arial"/>
                <w:sz w:val="18"/>
                <w:szCs w:val="18"/>
                <w:color w:val="auto"/>
              </w:rPr>
              <w:t>Tissue/Other</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53,408</w:t>
            </w:r>
          </w:p>
        </w:tc>
        <w:tc>
          <w:tcPr>
            <w:tcW w:w="12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42,528</w:t>
            </w:r>
          </w:p>
        </w:tc>
        <w:tc>
          <w:tcPr>
            <w:tcW w:w="1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99,977</w:t>
            </w:r>
          </w:p>
        </w:tc>
        <w:tc>
          <w:tcPr>
            <w:tcW w:w="10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87,134</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Cord</w:t>
            </w: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155"/>
        </w:trPr>
        <w:tc>
          <w:tcPr>
            <w:tcW w:w="2460" w:type="dxa"/>
            <w:vAlign w:val="bottom"/>
          </w:tcPr>
          <w:p>
            <w:pPr>
              <w:ind w:left="420"/>
              <w:spacing w:after="0" w:line="156" w:lineRule="exact"/>
              <w:rPr>
                <w:sz w:val="20"/>
                <w:szCs w:val="20"/>
                <w:color w:val="auto"/>
              </w:rPr>
            </w:pPr>
            <w:r>
              <w:rPr>
                <w:rFonts w:ascii="Arial" w:cs="Arial" w:eastAsia="Arial" w:hAnsi="Arial"/>
                <w:sz w:val="18"/>
                <w:szCs w:val="18"/>
                <w:color w:val="auto"/>
              </w:rPr>
              <w:t>Total Advanced Wound</w:t>
            </w:r>
          </w:p>
        </w:tc>
        <w:tc>
          <w:tcPr>
            <w:tcW w:w="7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59,294</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45,791</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110,823</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94,294</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Care</w:t>
            </w:r>
          </w:p>
        </w:tc>
        <w:tc>
          <w:tcPr>
            <w:tcW w:w="7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351</w:t>
            </w: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4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40" w:firstLine="8"/>
        <w:spacing w:after="0" w:line="249" w:lineRule="auto"/>
        <w:tabs>
          <w:tab w:leader="none" w:pos="153" w:val="left"/>
        </w:tabs>
        <w:numPr>
          <w:ilvl w:val="0"/>
          <w:numId w:val="15"/>
        </w:numPr>
        <w:rPr>
          <w:rFonts w:ascii="Arial" w:cs="Arial" w:eastAsia="Arial" w:hAnsi="Arial"/>
          <w:sz w:val="11"/>
          <w:szCs w:val="11"/>
          <w:color w:val="auto"/>
        </w:rPr>
      </w:pPr>
      <w:r>
        <w:rPr>
          <w:rFonts w:ascii="Arial" w:cs="Arial" w:eastAsia="Arial" w:hAnsi="Arial"/>
          <w:sz w:val="11"/>
          <w:szCs w:val="11"/>
          <w:color w:val="auto"/>
        </w:rPr>
        <w:t>“Other” represents cash collections on the Remaining Contracts. Remaining Contracts are those contracts for which performance obligations have been satisfied as of September 30, 2019, but for which the criteria required for revenue recognition had not been met and would not be met until the ultimate collection of cash. For all practicable purposes, the Company is not able to allocate these revenues to different product groups.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 by Customer</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MiMedx has two primary distribution channels: (1) direct to customers (healthcare professionals and/or facilities) (“</w:t>
      </w:r>
      <w:r>
        <w:rPr>
          <w:rFonts w:ascii="Arial" w:cs="Arial" w:eastAsia="Arial" w:hAnsi="Arial"/>
          <w:sz w:val="18"/>
          <w:szCs w:val="18"/>
          <w:b w:val="1"/>
          <w:bCs w:val="1"/>
          <w:i w:val="1"/>
          <w:iCs w:val="1"/>
          <w:color w:val="auto"/>
        </w:rPr>
        <w:t>Direct Customers</w:t>
      </w:r>
      <w:r>
        <w:rPr>
          <w:rFonts w:ascii="Arial" w:cs="Arial" w:eastAsia="Arial" w:hAnsi="Arial"/>
          <w:sz w:val="18"/>
          <w:szCs w:val="18"/>
          <w:color w:val="auto"/>
        </w:rPr>
        <w:t>”), and (2) sales through distributors (“</w:t>
      </w:r>
      <w:r>
        <w:rPr>
          <w:rFonts w:ascii="Arial" w:cs="Arial" w:eastAsia="Arial" w:hAnsi="Arial"/>
          <w:sz w:val="18"/>
          <w:szCs w:val="18"/>
          <w:b w:val="1"/>
          <w:bCs w:val="1"/>
          <w:i w:val="1"/>
          <w:iCs w:val="1"/>
          <w:color w:val="auto"/>
        </w:rPr>
        <w:t>Distributors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net sales by each customer type (in thousands):</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Six Months Ended June 30,</w:t>
            </w:r>
          </w:p>
        </w:tc>
      </w:tr>
      <w:tr>
        <w:trPr>
          <w:trHeight w:val="223"/>
        </w:trPr>
        <w:tc>
          <w:tcPr>
            <w:tcW w:w="24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Customers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52,755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112,651</w:t>
            </w: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Distributors</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r>
      <w:tr>
        <w:trPr>
          <w:trHeight w:val="24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68,165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53,647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128,132</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115,383</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have significant foreign operations or a single external customer from which 10% or more of revenues were derived during the three or six months ended June 30, 2021 or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 noted.</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28" w:name="page29"/>
    <w:bookmarkEnd w:id="28"/>
    <w:p>
      <w:pPr>
        <w:ind w:right="382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spacing w:after="0" w:line="272" w:lineRule="auto"/>
        <w:rPr>
          <w:sz w:val="20"/>
          <w:szCs w:val="20"/>
          <w:color w:val="auto"/>
        </w:rPr>
      </w:pPr>
      <w:r>
        <w:rPr>
          <w:rFonts w:ascii="Arial" w:cs="Arial" w:eastAsia="Arial" w:hAnsi="Arial"/>
          <w:sz w:val="17"/>
          <w:szCs w:val="17"/>
          <w:color w:val="auto"/>
        </w:rPr>
        <w:t>MiMedx is an industry leader in utilizing amniotic tissue as a platform for regenerative medicine, developing and distributing placental tissue allografts with patent-protected, proprietary processes for multiple sectors of healthcare. As a pioneer in placental biologics, we have both a base business, focused on addressing the needs of patients with acute and chronic non-healing wounds, and a promising late-stage pipeline targeted at decreasing pain and improving function for patients with degenerative musculoskeletal conditions. We derive our products from human placental tissues and process these tissues using our proprietary methods, including the PURION® process. We employ Current Good Tissue Practices, Current Good Manufacturing Practices, and terminal sterilization to produce our allografts. MiMedx provides products primarily in the wound care, burn, and surgical sectors of healthcare. All of our products are regulated by the United States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MiMedx is a leading supplier of human placental allografts, which are human tissues that are derived from one person (the donor) and used to produce therapies to treat another person (the recipient). MiMedx has supplied over two million allografts, through both direct and consignment shipments. Our platform technologies include AMNIOFIX®, EPIFIX®, EPICORD®, AMNIOCORD® and AMNIOFILL®. AMNIOFIX and EPIFIX are our tissue allografts derived from the amnion and chorion layers of the human placental membrane. EPICORD and AMNIOCORD are tissue allografts derived from umbilical cord tissue. AMNIOFILL is a particulate product comprised of placental connective tissue matrix, derived from the placental disc and placental membranes.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EPIFIX and EPICORD sheet product lines are promoted for external use, such as in advanced wound care applications, while our AMNIOFIX, and AMNIOCORD products are positioned for surgical applications, including lower extremity repair, plastic surgery, vascular surgery and multiple orthopedic repairs and reconstructions.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have two classes of product historically: (1) Advanced Wound Care products, or Section 361 products, consisting of our sheet allograft products, and</w:t>
      </w:r>
    </w:p>
    <w:p>
      <w:pPr>
        <w:spacing w:after="0" w:line="46" w:lineRule="exact"/>
        <w:rPr>
          <w:sz w:val="20"/>
          <w:szCs w:val="20"/>
          <w:color w:val="auto"/>
        </w:rPr>
      </w:pPr>
    </w:p>
    <w:p>
      <w:pPr>
        <w:jc w:val="both"/>
        <w:ind w:firstLine="8"/>
        <w:spacing w:after="0" w:line="281" w:lineRule="auto"/>
        <w:tabs>
          <w:tab w:leader="none" w:pos="2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Section 351 products, consisting of our micronized and particulate products. Our Advanced Wound Care business includes two product categories, Tissue/Other and Cord products. We sell product through two distribution channels: (1) direct to customers (healthcare professionals and/or facilities);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through distributors.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 FDA’s decision regarding Enforcement Discretion, we do not currently market our Section 351 products. If and when a BLA is granted by the FDA, we will market these products again. Refer to the section titled “</w:t>
      </w:r>
      <w:r>
        <w:rPr>
          <w:rFonts w:ascii="Arial" w:cs="Arial" w:eastAsia="Arial" w:hAnsi="Arial"/>
          <w:sz w:val="16"/>
          <w:szCs w:val="16"/>
          <w:i w:val="1"/>
          <w:iCs w:val="1"/>
          <w:color w:val="auto"/>
        </w:rPr>
        <w:t>Impact of the end of the FDA’s Enforcement Discretion on our business”</w:t>
      </w:r>
      <w:r>
        <w:rPr>
          <w:rFonts w:ascii="Arial" w:cs="Arial" w:eastAsia="Arial" w:hAnsi="Arial"/>
          <w:sz w:val="16"/>
          <w:szCs w:val="16"/>
          <w:color w:val="auto"/>
        </w:rPr>
        <w:t xml:space="preserve">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Developments Affecting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actively pursuing growth strategies by expanding our geographic reach</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focused on growth opportunities in the marketplace by expanding our Advanced Wound Care products into international markets. On June 8, 2021, we received regulatory approval from the Japanese Ministry of Health, Labour, and Welfare (“</w:t>
      </w:r>
      <w:r>
        <w:rPr>
          <w:rFonts w:ascii="Arial" w:cs="Arial" w:eastAsia="Arial" w:hAnsi="Arial"/>
          <w:sz w:val="18"/>
          <w:szCs w:val="18"/>
          <w:b w:val="1"/>
          <w:bCs w:val="1"/>
          <w:i w:val="1"/>
          <w:iCs w:val="1"/>
          <w:color w:val="auto"/>
        </w:rPr>
        <w:t>JMHLW</w:t>
      </w:r>
      <w:r>
        <w:rPr>
          <w:rFonts w:ascii="Arial" w:cs="Arial" w:eastAsia="Arial" w:hAnsi="Arial"/>
          <w:sz w:val="18"/>
          <w:szCs w:val="18"/>
          <w:color w:val="auto"/>
        </w:rPr>
        <w:t>”) to market our EPIFIX product in Japan. The Company is currently working with JMHLW to establish reimbursement pricing. Once a reimbursement rate is listed, the Company can begin offering EPIFIX to patients and providers in Japan. See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Our international expansion and operations outside the U.S. expose us to</w:t>
      </w:r>
      <w:r>
        <w:rPr>
          <w:rFonts w:ascii="Arial" w:cs="Arial" w:eastAsia="Arial" w:hAnsi="Arial"/>
          <w:sz w:val="18"/>
          <w:szCs w:val="18"/>
          <w:color w:val="auto"/>
        </w:rPr>
        <w:t xml:space="preserve"> </w:t>
      </w:r>
      <w:r>
        <w:rPr>
          <w:rFonts w:ascii="Arial" w:cs="Arial" w:eastAsia="Arial" w:hAnsi="Arial"/>
          <w:sz w:val="18"/>
          <w:szCs w:val="18"/>
          <w:i w:val="1"/>
          <w:iCs w:val="1"/>
          <w:color w:val="auto"/>
        </w:rPr>
        <w:t>risks associated with international sales and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Demographic shifts are creating opportunities in the advanced wound care and musculoskeletal sectors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sectors where our products are used are expected to continue growing due to certain demographic trends. Within the advanced wound care sector, there is significant unmet patient need, due to an aging population, an increasing incidence of obesity and diabetes, and other contributing comorbidities that result in higher susceptibility to non-healing chronic wounds. These demographics extend into the musculoskeletal sector as well, and the increasing number of patients requiring advanced treatment represents a significant cost burden on the healthcare system. We expect that these shifts will benefit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plan to make substantial investments in research &amp; development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focused on advancing our late-stage pipeline and are accelerating our internal timelines for seeking FDA approval for AMNIOFIX Injectable, or mdHACM, to treat musculoskeletal degeneration across multiple indications. Our planned investments in research and development throughout 2021 are designed to advance our late-stage pipeline and support our planned growth objectives in Advanced Wound Care. We intend to publish additional peer-reviewed clinical, scientific and economic data that further reinforce the differentiation of our products and expand the utility of the Company’s placental-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derived products in other clinical applications throughout the care continuum. In addition, we are enhancing business and product development efforts, targeting new applications and potential products that fit within our framework of innovative technologies backed by rigorous science that elevate the standard of care.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end of the FDA’s Enforcement Discretion on our business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2017, the FDA published a series of guidances that established an updated framework for the regulation of cellular and tissue-based products. These guidances clarified the FDA’s views about the criteria that differentiate those products subject to regulation under Section 361 of the Public Health Service Act from those considered to be drugs, devices, and/or biological products subject to licensure under Section 351 of the Public Health Service Act and related regulations. The FDA exercised enforcement discretion under limited conditions with respect to Investigative New Drug (“</w:t>
      </w:r>
      <w:r>
        <w:rPr>
          <w:rFonts w:ascii="Arial" w:cs="Arial" w:eastAsia="Arial" w:hAnsi="Arial"/>
          <w:sz w:val="17"/>
          <w:szCs w:val="17"/>
          <w:b w:val="1"/>
          <w:bCs w:val="1"/>
          <w:i w:val="1"/>
          <w:iCs w:val="1"/>
          <w:color w:val="auto"/>
        </w:rPr>
        <w:t>IND</w:t>
      </w:r>
      <w:r>
        <w:rPr>
          <w:rFonts w:ascii="Arial" w:cs="Arial" w:eastAsia="Arial" w:hAnsi="Arial"/>
          <w:sz w:val="17"/>
          <w:szCs w:val="17"/>
          <w:color w:val="auto"/>
        </w:rPr>
        <w:t>”) applications and pre-market approval requirements through May 31, 2021. The enforcement discretion period ceased on May 31, 2021. At that time, the FDA began regulating certain of our products, including our micronized and particulate products, under Section 351.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sold our micronized and particulate products during the period of enforcement discretion, but ceased such sales after May 31, 2021 and will not market these products again unless and until the FDA approves a Biologics License Application for a specific product and indication. See Part II,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 Obtaining and maintaining the necessary regulatory approvals for certain of our products will be expensive and time consuming and may impede our ability to fully exploit our technologies</w:t>
      </w:r>
      <w:r>
        <w:rPr>
          <w:rFonts w:ascii="Arial" w:cs="Arial" w:eastAsia="Arial" w:hAnsi="Arial"/>
          <w:sz w:val="17"/>
          <w:szCs w:val="17"/>
          <w:color w:val="auto"/>
        </w:rPr>
        <w:t>.” Net sales of our micronized and particulate products were $8.6 million and $16.7 million for the three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respectively, and $31.9 million for the year ended December 31, 2020, representing approximately 13% of our net sales in each of those periods. We intend to comply with FDA guidance about future sales of these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certain variable direct selling expenses will decrease due to the expected reduction in sales of our products subject to Section 351 regulation with the end of enforcement discretion. While we are working to mitigate the impact, in the absence of these mitigations, we expect selling, general and administrative expenses as a percentage of net sales to increase after the end of enforcement discretion.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Covid-19 Pandemic</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the outbreak of a novel strain of coronavirus (“</w:t>
      </w:r>
      <w:r>
        <w:rPr>
          <w:rFonts w:ascii="Arial" w:cs="Arial" w:eastAsia="Arial" w:hAnsi="Arial"/>
          <w:sz w:val="16"/>
          <w:szCs w:val="16"/>
          <w:b w:val="1"/>
          <w:bCs w:val="1"/>
          <w:i w:val="1"/>
          <w:iCs w:val="1"/>
          <w:color w:val="auto"/>
        </w:rPr>
        <w:t>Covid-19</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Covid-19 Pandemic</w:t>
      </w:r>
      <w:r>
        <w:rPr>
          <w:rFonts w:ascii="Arial" w:cs="Arial" w:eastAsia="Arial" w:hAnsi="Arial"/>
          <w:sz w:val="16"/>
          <w:szCs w:val="16"/>
          <w:color w:val="auto"/>
        </w:rPr>
        <w:t>”) is still ongoing, the effects on our operations, such as access restrictions to hospitals and difficulties obtaining donor materials, have largely been ameliorated as of June 30, 2021 and did not have a material effect on our operations during the three months ended June 30, 2021. We are continuously monitoring developments with respect to novel variants of the virus and government and societal responses to mitigate continued spread in the event we need to enact measures to mitigate such effects.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respect to the health and well-being of our employees, we are still exercising an abundance of caution. We are allowing our non-essential employees to work from home through September 7, 2021, limiting non-essential travel, and advising all employees to receive a Covid-19 vaccine as soon as reasonably possible. None of these efforts have materially affected the Company’s operations as of or for the three months ended June 30, 2021.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the Three Months Ended June 30, 2020</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3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6"/>
          </w:tcPr>
          <w:p>
            <w:pPr>
              <w:jc w:val="center"/>
              <w:spacing w:after="0"/>
              <w:rPr>
                <w:sz w:val="20"/>
                <w:szCs w:val="20"/>
                <w:color w:val="auto"/>
              </w:rPr>
            </w:pPr>
            <w:r>
              <w:rPr>
                <w:rFonts w:ascii="Arial" w:cs="Arial" w:eastAsia="Arial" w:hAnsi="Arial"/>
                <w:sz w:val="16"/>
                <w:szCs w:val="16"/>
                <w:color w:val="auto"/>
                <w:w w:val="90"/>
              </w:rPr>
              <w:t>Three Months Ended June 30,</w:t>
            </w:r>
          </w:p>
        </w:tc>
        <w:tc>
          <w:tcPr>
            <w:tcW w:w="1560" w:type="dxa"/>
            <w:vAlign w:val="bottom"/>
          </w:tcPr>
          <w:p>
            <w:pPr>
              <w:spacing w:after="0"/>
              <w:rPr>
                <w:sz w:val="17"/>
                <w:szCs w:val="17"/>
                <w:color w:val="auto"/>
              </w:rPr>
            </w:pPr>
          </w:p>
        </w:tc>
      </w:tr>
      <w:tr>
        <w:trPr>
          <w:trHeight w:val="219"/>
        </w:trPr>
        <w:tc>
          <w:tcPr>
            <w:tcW w:w="38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90"/>
              </w:rPr>
              <w:t>(in thousands)</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07"/>
        </w:trPr>
        <w:tc>
          <w:tcPr>
            <w:tcW w:w="38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Change</w:t>
            </w: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 Change</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Net sales</w:t>
            </w: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68,165</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53,647</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14,518</w:t>
            </w:r>
          </w:p>
        </w:tc>
        <w:tc>
          <w:tcPr>
            <w:tcW w:w="12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27.1 %</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55.6 %</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55,405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45,449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9,956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21.9 %</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53,599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37,329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43.6 %</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Investigation, restatement and related</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(2,062)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11,446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(13,508)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(118.0)%</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79.9 %</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(2,574)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 (expense)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(1,779)</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4"/>
              </w:rPr>
              <w:t>(8,466)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6,687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(79.0)%</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7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recorded net sales for the three months ended June 30, 2021 of $68.2 million, a $14.6 million, or 27.1%, increase compared to the three months ended June 30, 2020, in which we recognized revenue of $53.6 million. Net sales for the three months ended June 30, 2021 includes revenue recognized on the Remaining Contracts of $0.3 million, compared to $1.7 million for the three months ended June 30, 2020. Sales volumes increased over last year’s second quarter, which was impacted by access restrictions to hospitals and travel restrictions enacted, both in response to the Covid-19 Pandemic.</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Net Sales, which excludes cash collected on the Remaining Contracts, were $67.9 million for the three months ended June 30, 2021, compared to $51.9 million for the three months ended June 30, 2020, an increase of $15.9 million or 30.6%. The increase was primarily the result of an increase in sales volume over the three months ended June 30, 2020, which was impacted by the effects of the Covid-19 Pandemic.</w:t>
      </w:r>
    </w:p>
    <w:p>
      <w:pPr>
        <w:spacing w:after="0" w:line="98"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The 30.6% increase in second quarter adjusted net sales includes 29.5% growth in Advanced Wound Care products, including a positive impact from the sales of EPICORD® Expandable, which we launched in the third quarter of 2020, and growth in our flagship EPIFIX® sheet portfolio. Finally, sales of Section 351 products prior to the end of Enforcement Discretion contributed to the year-over-year increase in net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Profit Margin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for the three months ended June 30, 2021 and 2020 was $12.8 million and $8.2 million, respectively, an increase of $4.6 million or 55.6%. The increase was primarily driven by year-over-year increases in sales volume. In addition, we recorded $1.0 million of inventory write-downs during the three months ended June 30, 2021, specifically related to Section 351 product, resulting from the end of the FDA’s Enforcement Discretion period. We do not anticipate these write-downs to continue in the future.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for the three months ended June 30, 2021 was 81.3% compared to 84.7% for the three months ended June 30, 2020. The decrease in gross profit margin was primarily due to reserves recorded during the three months ended June 30, 2021, specifically related to Section 351 product, resulting from the end of the FDA’s Enforcement Discretion period. Additionally, negative production variances from lower than planned production volumes affected gross profit margin.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three months ended June 30, 2021 increased $16.3 million, or 43.6%, to $53.6 million compared to $37.3 million for the three months ended June 30, 2020. The increase in selling, general and administrative expenses during the period reflects the restoration of full-salary levels and merit increase that were previously restricted during the prior period, along with significantly reduced travel costs in the midst of the Covid-19 Pandemic. We also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saw consulting and advisory expenses rise, year-over-year, including $3.8 million related to the proxy contest during the three months ended June 30, 2021. Furthermore, the increase in selling, general and administrative expense was driven by year-over-year increases in commission expenses resulting from the increases in sales volume.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Investigation, restatement and related expenses for the three months ended June 30, 2021 was a benefit of $2.1 million compared to expense of $11.4 million for the three months ended June 30, 2020. The benefit incurred during the three months ended June 30, 2021 was the result of funds received from certain director and officer insurance policies, as well as negotiated reductions in previously-recognized legal expenses advanced on behalf of certain former members of management.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2020, we incurred expenses toward the restatement of our prior period financial information and the advancement of legal fees of certain former officers and directors of the Company. Activities related to the Restatement ceased in mid-2020. We do not anticipate incurring any more costs related to the restatement of our prior period financial information. Other decreases were driven by fewer expenses incurred relative to our obligations to advance litigation defense costs to certain former members of management.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still subject to indemnification agreements with certain former officers and directors of the Company (other than Messrs. Petit and Taylor) for whom legal proceedings are still ongoing, but we expect such expenses to continue to decrease over time.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incur some litigation costs moving forward, but we expect a continued reduction in investigation, restatement, and related expenses, other than costs related to resolution of the securities class action matter, the amount and timing of which are highly uncertain. See Note 12,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 the unaudited condensed consolidated financial statements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expenses increased approximately $1.8 million, or 79.9%, to $4.1 million for the three months ended June 30, 2021, compared to approximately $2.3 million for the three months ended June 30, 2020. The increase reflects higher consulting fees and increases in personnel costs, driven both by the reversal of efforts to mitigate the effects of the Covid-19 Pandemic, as well as increases in headcount to support clinical research efforts.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as planned, we have increased our investments in preclinical studies, supportive of current and potential clinical study indications. We expect these costs to increase over time as we commence new clinical trials and continue working towards the filing of our BLAs. The amount and timing of these expenses are partially dependent on whether interim results from our ongoing IND clinical trials merit further investment.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Amortization expense related to intangible assets was $0.2 million for the three months ended June 30, 2021, compared to $0.3 million for the three months ended June 30, 2020. The decrease was the result of amortization on customer relationship assets that were impaired during the fourth quarter of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was $1.4 million for the three months ended June 30, 2021 compared to $2.6 million for the three months ended June 30, 2020, a decrease of $1.2 million, or 46.7%. The difference related to the lower outstanding principal balance, stated interest rate, and amortization of deferred financing costs and original issue discount on our Term Loan and DD TL compared to our previous term loan.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was negligible in each of the three months ended June 30,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 (Expense)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Company were 0.3% and (0.3)% for the three months ended June 30, 2021 and June 30, 2020, respectively. There were no material discrete items affecting the effective tax rate in either period. Net operating losses incurred during both periods were offset by a valuation allowance.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25"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Six Months Ended June 30,</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(in thousands)</w:t>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color w:val="auto"/>
              </w:rPr>
              <w:t>$ Change</w:t>
            </w:r>
          </w:p>
        </w:tc>
        <w:tc>
          <w:tcPr>
            <w:tcW w:w="15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 Change</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128,132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115,383</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12,749</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11.0 %</w:t>
            </w:r>
          </w:p>
        </w:tc>
      </w:tr>
      <w:tr>
        <w:trPr>
          <w:trHeight w:val="21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18,223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105,731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97,160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84,270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Investigation, restatement and related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27,038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(21,904)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1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71.1 %</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Other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11,277</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r>
      <w:tr>
        <w:trPr>
          <w:trHeight w:val="210"/>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(10,161)</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(13,287)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3,126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(23.5)%</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revenue for the six months ended June 30, 2021 of $128.1 million, a $12.7 million, or 11.0%, increase compared to the six months ended June 30, 2020 revenue of $115.4 million. Net sales for the six months ended June 30, 2021 includes collections on the Remaining Contracts of $0.6 million, compared to $6.2 million of revenue for the six months ended June 30, 2020. Sales volumes increased over the prior year, which was impacted by access restrictions to hospitals and travel restrictions enacted, both in response to the Covid-19 Pandemic.</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Net Sales, which excludes cash collected on the Remaining Contracts, were $127.5 million for the six months ended June 30, 2021, compared to $109.2 million for the six months ended June 30, 2020, an increase of $18.3 million or 16.8%. The increase was primarily the result of an increase in sales volume over the six months ended June 30, 2021, which was impacted by the effects of the Covid-19 Pandemic.</w:t>
      </w:r>
    </w:p>
    <w:p>
      <w:pPr>
        <w:spacing w:after="0" w:line="125"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16.8% increase in adjusted net sales, year-over-year, includes 17.5% growth in Advanced Wound Care products, including a positive impact from the sales of EPICORD® Expandable, which we launched in the third quarter of 2020, and growth in our flagship EPIFIX® sheet portfolio. Finally, sales of Section 351 products prior to the end of Enforcement Discretion contributed to the year-over-year increase in net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Profit Margin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for the six months ended June 30, 2021 was $22.4 million, an increase of $4.2 million, or 22.9%, compared to $18.2 million for the six months ended June 30, 2020. The increase was primarily driven by year-over-year increases in sales volume. In addition, we recognized $1.0 million of inventory write-downs during the six months ended June 30, 2021, specifically related to Section 351 product, resulting from the end of the FDA’s Enforcement Discretion period. We do not anticipate these write-downs to continue in the future.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for the six months ended June 30, 2021 was 82.5% compared to 84.2% for the six months ended June 30, 2020. The decrease in gross profit margin was primarily due to reserves recorded during the six months ended June 30, 2021, specifically related to Section 351 product, resulting from the end of the FDA’s Enforcement Discretion period. Additionally, negative production variances from lower than planned production volumes affected gross profit margin.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for the six months ended June 30, 2021 increased approximately $14.7 million, or 17.5%, to $99.0 million compared to $84.3 million for the six months ended June 30, 2020. The increase in selling, general and administrative expenses during the period reflects the restoration of full-salary levels and merit increase that were previously restricted during the prior period, along with significantly reduced travel costs in the midst of the Covid-19 Pandemic. We also saw consulting and advisory expenses rise, year-over-year, including $3.8 million related to the proxy contest during the six months ended June 30, 2021. Furthermore, the increase in selling, general and administrative expense was driven by year-over-year increases in commission expenses resulting from the increases in sales volume.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Investigation, Restatement and Related Expenses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Investigation, restatement and related expenses for the six months ended June 30, 2021 decreased approximately $21.9 million, or 81.0%, to $5.1 million compared to $27.0 million for the six months ended June 30, 2020. The decrease was driven by a decrease in expenses toward the restatement of our prior period financial information and the advancement of legal fees of certain former officers and directors of the Company. We do not anticipate incurring any more costs related to the restatement of our prior period financial information. The decrease was further driven by funds received from certain director and officer insurance policies, as well as negotiated reductions in previously-recognized expenses related to legal expenses advanced on behalf of certain former members of management.</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still subject to indemnification agreements with certain former officers and directors of the Company (other than Messrs. Petit and Taylor) for whom legal proceedings are still ongoing, but we expect such expenses to continue to decrease over time.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incur some litigation costs moving forward, but we expect a continued reduction in investigation, restatement, and related expenses, other than costs related to resolution of the securities class action matter, the amount and timing of which are highly uncertain. See Note 12,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 the unaudited condensed consolidated financial statements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expenses increased $3.5 million, or 71.1%, to $8.4 million for the six months ended June 30, 2021, compared to $4.9 million for the six months ended June 30, 2020. The increase reflects higher consulting fees and increases in personnel costs, driven both by the reversal of efforts to mitigate the effects of the Covid-19 Pandemic, as well as increases in headcount to support clinical research efforts. In addition, we’ve increased our planned investments in preclinical studies, supportive of current and potential clinical study indications.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these costs to increase over time as we commence new clinical trials and continue working towards the filing of our BLAs. The amount and timing of these expenses are partially dependent on whether interim results from our ongoing IND clinical trials merit further investment.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decreased $0.1 million or 16.2% from the six months ended June 30, 2020 to the six months ended June 30, 2021. The decrease was the result of amortization on customer relationship assets that were impaired during the fourth quarter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was $2.8 million for the six months ended June 30, 2021 compared to $5.0 million for the six months ended June 30, 2020. The difference related to the lower outstanding principal balance, stated interest rate, and amortization of deferred financing costs and original issue discount on our Term Loan and DD TL compared to our previous term loan.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was negligible in each of the six months ended June 30,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rates for the Company were (0.5)% and 45.9% for the six months ended June 30, 2021 and 2020, respectively. The change in effective tax rates was driven by modifications to the tax rules for carryback of net operating losses as a result of the CARES Act which resulted in a federal tax refund of $11.3 million and an income tax benefit of the same amount during the six months ended June 30, 2020. There were no discrete items affecting the effective tax rate for the six months ended June 30,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preparing financial statements, we follow accounting principles generally accepted in the United States, which require us to make certain estimates and apply judgments that affect its financial position and results of operations. Management regularly reviews our accounting policies and financial information disclosures. A summary of significant accounting policies that require the use of estimates and judgments in preparing the financial statements was provided in our 2020 Form 10-K. During the quarter covered by this report, there were no material changes to the accounting policies and assumptions previously disclosed, except as disclosed in Note 2 to the unaudited condensed consolidated financial statements contained herein.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GAAP results, we provide certain Non-GAAP metrics including Adjusted Net Sales, Earnings Before Interest, Taxes, Depreciation and Amortization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and Adjusted EBITDA. We believe that the presentation of these measures provides important supplemental information to management and investors regarding our performance. These measurements are not a substitute for GAAP measurements, and the manner in which we calculate such metrics may not be identical to the manner in which other companies calculate and present similar metrics. Company management uses these Non-GAAP measurements as aids in monitoring our ongoing financial performance from quarter-to-quarter and year-to-year on a regular basis and for benchmarking against comparable companies.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Sales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reported net sales between periods, specifically those reported prior to and after the Transition, led to situations where we included revenue recognized on the cash basis and the “as-shipped” basis in the same period.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of the unaudited condensed consolidated financial statements for additional details regarding the Transition. Adjusted Net Sales provides comparative assessments of our revenue and assists in evaluating our sales performance. Adjusted Net Sales consists of GAAP net sales less the effects of the revenue transition and allows one to understand the trend in sales irrespective of the change in revenue recognition method.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net sales to Adjusted Net Sales is provided in the table below (in thousands):</w:t>
      </w: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Six Months Ended June 30,</w:t>
            </w:r>
          </w:p>
        </w:tc>
      </w:tr>
      <w:tr>
        <w:trPr>
          <w:trHeight w:val="223"/>
        </w:trPr>
        <w:tc>
          <w:tcPr>
            <w:tcW w:w="4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68,165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53,647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115,383</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change in revenue recognition</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(1,706)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sales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67,852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51,941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109,182</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EBITDA is intended to provide a measure of the Company’s operating performance as it eliminates the effects of financing and capital expenditures.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EBITDA consists of GAAP net loss excluding: (i) depreciation, (ii) amortization of intangibles, (iii) interest expense, net, and (iv) income tax provision.</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is intended to provide an enduring, normalized view of EBITDA and our broader business operations that we expect to experience on an ongoing basis by removing certain non-cash items and items which may be irregular, one-time, or non-recurring from EBITDA; most significantly those expenses related to the Audit Committee Investigation and Restatement. This also includes share-based compensation, which is predominantly settled in shares. This enables us to identify underlying trends in our business that could otherwise be masked by such items.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Adjusted EBITDA consists of GAAP net loss excluding: (i) depreciation, (ii) amortization of intangibles, (iii) interest expense, (iv) income tax provision,</w:t>
      </w:r>
    </w:p>
    <w:p>
      <w:pPr>
        <w:spacing w:after="0" w:line="35" w:lineRule="exact"/>
        <w:rPr>
          <w:sz w:val="20"/>
          <w:szCs w:val="20"/>
          <w:color w:val="auto"/>
        </w:rPr>
      </w:pPr>
    </w:p>
    <w:p>
      <w:pPr>
        <w:ind w:firstLine="8"/>
        <w:spacing w:after="0" w:line="260"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(benefits) costs incurred in connection with Audit Committee Investigation and Restatement, (vi) the effect of the change in revenue recognition on net loss, and (vii) share-based compensation.</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also assesses EBITDA margin and Adjusted EBITDA margin to provide an additional layer of context to the Company’s profitability; indicating our ability to convert our sales into sustainable operating results. EBITDA margin is calculated as EBITDA divided by GAAP net sales. Similarly, Adjusted EBITDA margin is calculated as Adjusted EBITDA divided by GAAP net sales.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 reconciliation of GAAP net loss to EBITDA and Adjusted EBITDA appears in the table below (in thousands):</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75"/>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(8,466)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(10,161)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Net margin</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(7.9)%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(11.5)%</w:t>
            </w: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(11,277)</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line="196" w:lineRule="exact"/>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color w:val="auto"/>
              </w:rPr>
              <w:t>1,108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(4,172)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(4,343)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EBITDA margin</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1.6 %</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Additional Non-GAAP Adjustments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(Benefits) costs incurred in connection with Audit</w:t>
            </w: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11,446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5,134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27,038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Committee Investigation and Restatement</w:t>
            </w:r>
          </w:p>
        </w:tc>
        <w:tc>
          <w:tcPr>
            <w:tcW w:w="3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Effect of change in revenue recognition</w:t>
            </w:r>
          </w:p>
        </w:tc>
        <w:tc>
          <w:tcPr>
            <w:tcW w:w="36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7,304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10,241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7,570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13,355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4.2 %</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19.1 %</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5.9 %</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11.6 %</w:t>
            </w: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Adjusted EBITDA, % of Adjusted Net Sales</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4.2 %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19.7 %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5.9 %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12.2 %</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operations during the six months ended June 30, 2021 decreased approximately $10.3 million to approximately $5.1 million, compared to $15.4 million for the six months ended June 30, 2020. The decrease in cash used was primarily related to decreases in investigation, restatement and related expenses, particularly those incurred with respect to the restatement of our prior period financial information and the indemnification of former officers and directors of the Company. The restatement of our prior period financial information concluded in mid-2020. Other positive effects included year-over-year increases in sales volume and year-over-year decreases in cash interest expense. These effects were offset by the reversal of our efforts to mitigate the Covid-19 Pandemic, which caused a year-over-year increase in selling, general and administrative expense, as well as year-over-year increases in research and development expenses toward the advancement of the filing of our BLAs.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during the six months ended June 30, 2021 was $2.5 million, compared to $1.6 million for the six months ended June 30, 2020. This increase was the result of a $0.9 million year-over-year increase in capital expenditures, incurred to improve our manufacturing facilities toward CGMP compliance. Year-over-year increases in cash paid for patent application costs were offset by principal payments received on our notes receivable.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financing activities decreased $0.7 million to $3.2 million during the six months ended June 30, 2021 compared to $3.9 million during the six months ended June 30, 2020. The change was driven by $1.9 million of principal repayments on our previous term loan agreement during the six months ended June 30, 2020. No principal payments are due on our Term Loan, as defined below, until its maturity in 2025 and we have not made any principal payments during the six months ended June 30, 2021. The decrease was further driven by a year-over-year increase in cash proceeds from the exercise of stock option, offset by a year-over-year increase in cash paid for stock repurchases for tax withholding.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there were no significant changes to the contractual obligations from those disclosed in the section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from Operations</w:t>
      </w:r>
      <w:r>
        <w:rPr>
          <w:rFonts w:ascii="Arial" w:cs="Arial" w:eastAsia="Arial" w:hAnsi="Arial"/>
          <w:sz w:val="18"/>
          <w:szCs w:val="18"/>
          <w:color w:val="auto"/>
        </w:rPr>
        <w:t>” in our 2020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business requires capital for our operating activities, including costs associated with the sale of product through direct and indirect sales channels, the conduct of research and development activities, compliance costs, and legal and consulting fees in connection with ongoing litigation and other matters.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$85.0 million of cash and cash equivalents. We reported total current assets of $147.7 million and total current liabilities of $50.6 million at June 30, 2021, which represents a current ratio of 2.9 as of June 30, 2021.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paying our obligations in the normal course of business. We believe that our anticipated cash from operating activities, inclusive of any potential negative effects from the conclusion of the FDA’s enforcement discretion effective May 31, 2021, and existing cash and cash equivalents will enable us to meet our operational liquidity needs for the 12 months following the issuance of this Quarterly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cash requirements related to the following items within one year of the date of the filing of this Quarterly Report:</w:t>
      </w:r>
    </w:p>
    <w:p>
      <w:pPr>
        <w:spacing w:after="0" w:line="17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and other expenditures required to advance our INDs and BLAs, possibly including expenditures relating to expanded manufacturing facilities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lawsuits or potential settlements for which we are not able to estimate a loss, or for which our ultimate loss exceeds our estimate. In addition, it is uncertain if we would be entitled to indemnification from our insurance providers for such matters;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indemnification agreements involving certain former members of our management team.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analyzed our ability to address aforementioned commitments and potential liabilities for the 12 months extending from the date of the filing of this Quarterly Report, including the full impact of Enforcement Discretion discussed earlier. After completing this analysis, which included a review of updated expectations of revenue, margins, and expenses, we believe it is probable that we will meet all obligations as they come due.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we entered into a Loan Agreement with, among others, Hayfin Services, LLP, (“</w:t>
      </w:r>
      <w:r>
        <w:rPr>
          <w:rFonts w:ascii="Arial" w:cs="Arial" w:eastAsia="Arial" w:hAnsi="Arial"/>
          <w:sz w:val="18"/>
          <w:szCs w:val="18"/>
          <w:b w:val="1"/>
          <w:bCs w:val="1"/>
          <w:i w:val="1"/>
          <w:iCs w:val="1"/>
          <w:color w:val="auto"/>
        </w:rPr>
        <w:t>Hayfin</w:t>
      </w:r>
      <w:r>
        <w:rPr>
          <w:rFonts w:ascii="Arial" w:cs="Arial" w:eastAsia="Arial" w:hAnsi="Arial"/>
          <w:sz w:val="18"/>
          <w:szCs w:val="18"/>
          <w:color w:val="auto"/>
        </w:rPr>
        <w:t>”) an affiliate of Hayfin Capital Management LLP (the “</w:t>
      </w:r>
      <w:r>
        <w:rPr>
          <w:rFonts w:ascii="Arial" w:cs="Arial" w:eastAsia="Arial" w:hAnsi="Arial"/>
          <w:sz w:val="18"/>
          <w:szCs w:val="18"/>
          <w:b w:val="1"/>
          <w:bCs w:val="1"/>
          <w:i w:val="1"/>
          <w:iCs w:val="1"/>
          <w:color w:val="auto"/>
        </w:rPr>
        <w:t>Hayfin Loan Agreement</w:t>
      </w:r>
      <w:r>
        <w:rPr>
          <w:rFonts w:ascii="Arial" w:cs="Arial" w:eastAsia="Arial" w:hAnsi="Arial"/>
          <w:sz w:val="18"/>
          <w:szCs w:val="18"/>
          <w:color w:val="auto"/>
        </w:rPr>
        <w:t>”), which Hayfin funded (the “</w:t>
      </w:r>
      <w:r>
        <w:rPr>
          <w:rFonts w:ascii="Arial" w:cs="Arial" w:eastAsia="Arial" w:hAnsi="Arial"/>
          <w:sz w:val="18"/>
          <w:szCs w:val="18"/>
          <w:b w:val="1"/>
          <w:bCs w:val="1"/>
          <w:i w:val="1"/>
          <w:iCs w:val="1"/>
          <w:color w:val="auto"/>
        </w:rPr>
        <w:t>Hayfin Loan Transaction</w:t>
      </w:r>
      <w:r>
        <w:rPr>
          <w:rFonts w:ascii="Arial" w:cs="Arial" w:eastAsia="Arial" w:hAnsi="Arial"/>
          <w:sz w:val="18"/>
          <w:szCs w:val="18"/>
          <w:color w:val="auto"/>
        </w:rPr>
        <w:t>”) on July 2, 2020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and provided us with a senior secured term loan in an aggregate amount of $50 million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The Term Loan matures on June 30,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Interest is payable on the Term Loan quarterly through the Maturity Date. No principal payments on the Term Loan are due and payable until the Maturity Date.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Hayfin Loan Agreement also provided us with an additional delayed draw term loan (the “</w:t>
      </w:r>
      <w:r>
        <w:rPr>
          <w:rFonts w:ascii="Arial" w:cs="Arial" w:eastAsia="Arial" w:hAnsi="Arial"/>
          <w:sz w:val="18"/>
          <w:szCs w:val="18"/>
          <w:b w:val="1"/>
          <w:bCs w:val="1"/>
          <w:i w:val="1"/>
          <w:iCs w:val="1"/>
          <w:color w:val="auto"/>
        </w:rPr>
        <w:t>DD TL</w:t>
      </w:r>
      <w:r>
        <w:rPr>
          <w:rFonts w:ascii="Arial" w:cs="Arial" w:eastAsia="Arial" w:hAnsi="Arial"/>
          <w:sz w:val="18"/>
          <w:szCs w:val="18"/>
          <w:color w:val="auto"/>
        </w:rPr>
        <w:t>”) in the form of a committed but undrawn facility in an amount not to exceed $25 million. We did not draw upon the DD TL prior to its expiration.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applicable to any borrowings under the Term Loan is equal to LIBOR (subject to a floor of 1.5%) plus a margin of 6.75% per annum. If LIBOR is unavailable, the loan will carry interest at the greatest of the Prime Rate, the Federal Funds Rate plus 0.5% per annum, and 2.5%, plus the margin of 6.75%.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margin on the interest rate is eligible for a reduction; as follows:</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6.75% per annum if the Total Net Leverage Ratio (as defined in the Hayfin Loan Agreement) is greater than 2.0x,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6.5% per annum if the Total Net Leverage Ratio is less than 2.0x but greater than or equal to 1.0x,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6.0% per annum if the Total Net Leverage Ratio is less than 1.0x.</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At June 30, 2021, the Total Net Leverage Ratio was 3.6x. At issuance, and as of June 30, 2021, the Term Loan carried an interest rate of 8.3%.</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If an event of default, as defined by the Hayfin Term Loan Agreement, occurs, an additional 3.0% margin is applied to the interest rate until such event of default is cured. Alternatively, Hayfin may elect to call the loan, requiring us to repay all outstanding principal, applicable prepayment premium, and accrued interest immediately.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Term Loan contains financial covenants requiring the Company, on a consolidated basis, to maintain the following:</w:t>
      </w:r>
    </w:p>
    <w:p>
      <w:pPr>
        <w:spacing w:after="0" w:line="171" w:lineRule="exact"/>
        <w:rPr>
          <w:sz w:val="20"/>
          <w:szCs w:val="20"/>
          <w:color w:val="auto"/>
        </w:rPr>
      </w:pPr>
    </w:p>
    <w:p>
      <w:pPr>
        <w:ind w:left="1300" w:right="2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Maximum Total Net Leverage Ratio of 4.5x through the quarter ending June 30, 2021, further reduced to 4.0x thereafter for the life of the loans, required to be calculated on a quarterly basis.</w:t>
      </w:r>
    </w:p>
    <w:p>
      <w:pPr>
        <w:spacing w:after="0" w:line="116"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Minimum Liquidity (as defined in the Hayfin Term Loan Agreement) of $10 million, an at-all-times financial covenant, tested monthly. As of June 30, 2021, the Company had $85.0 million of cash and cash equivalents.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 Loan specifies that any prepayment of the Term Loan, voluntary or mandatory, as defined in the Term Loan Agreement, would subject us to a prepayment premium applicable as of the date of the prepayment, as follows:</w:t>
      </w:r>
    </w:p>
    <w:p>
      <w:pPr>
        <w:spacing w:after="0" w:line="1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or before the first anniversary of the Closing Date: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make-whole premium, equal to the greater of:</w:t>
      </w:r>
    </w:p>
    <w:p>
      <w:pPr>
        <w:spacing w:after="0" w:line="171" w:lineRule="exact"/>
        <w:rPr>
          <w:rFonts w:ascii="Arial" w:cs="Arial" w:eastAsia="Arial" w:hAnsi="Arial"/>
          <w:sz w:val="18"/>
          <w:szCs w:val="18"/>
          <w:color w:val="auto"/>
        </w:rPr>
      </w:pPr>
    </w:p>
    <w:p>
      <w:pPr>
        <w:ind w:left="1940" w:hanging="312"/>
        <w:spacing w:after="0"/>
        <w:tabs>
          <w:tab w:leader="none" w:pos="19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5% of the principal balance repaid, and</w:t>
      </w:r>
    </w:p>
    <w:p>
      <w:pPr>
        <w:spacing w:after="0" w:line="171" w:lineRule="exact"/>
        <w:rPr>
          <w:rFonts w:ascii="Arial" w:cs="Arial" w:eastAsia="Arial" w:hAnsi="Arial"/>
          <w:sz w:val="18"/>
          <w:szCs w:val="18"/>
          <w:color w:val="auto"/>
        </w:rPr>
      </w:pPr>
    </w:p>
    <w:p>
      <w:pPr>
        <w:ind w:left="1960" w:right="20" w:hanging="332"/>
        <w:spacing w:after="0" w:line="277" w:lineRule="auto"/>
        <w:tabs>
          <w:tab w:leader="none" w:pos="1956" w:val="left"/>
        </w:tabs>
        <w:numPr>
          <w:ilvl w:val="2"/>
          <w:numId w:val="22"/>
        </w:numPr>
        <w:rPr>
          <w:rFonts w:ascii="Arial" w:cs="Arial" w:eastAsia="Arial" w:hAnsi="Arial"/>
          <w:sz w:val="18"/>
          <w:szCs w:val="18"/>
          <w:color w:val="auto"/>
        </w:rPr>
      </w:pPr>
      <w:r>
        <w:rPr>
          <w:rFonts w:ascii="Arial" w:cs="Arial" w:eastAsia="Arial" w:hAnsi="Arial"/>
          <w:sz w:val="18"/>
          <w:szCs w:val="18"/>
          <w:color w:val="auto"/>
        </w:rPr>
        <w:t>102% of the principal balance plus interest that would have been accrued from the repayment date to 12 months following the Closing Date.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After the first anniversary of the Closing Date but on or before the second anniversary of the Closing Date: 2% of the principal balance repaid.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After the second anniversary of the Closing Date but on or before the third anniversary of the Closing Date: 1% of the principal balance repaid.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the third anniversary of the Closing Date: 0% of the principal balance repaid.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Agreement also includes certain negative covenants events of default customary for facilities of this type, and upon the occurrence of such events of default, subject to customary cure rights, all outstanding loans under the Credit Facilities may be accelerated or the lenders’ commitments terminated. The mandatory prepayments are also required in the event of a change in control, incurring other indebtedness, certain proceeds from disposal of assets and insured casualty event.</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Beginning with the fiscal year ending December 31, 2021, we are required to prepay the outstanding loans based on the percentage of Excess Cash Flow (as defined in the Hayfin Loan Agreement), if such is generated, with the percentage determined based on the Total Net Leverage thresholds.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2020, we issued $100 million of our Series B Convertible Preferred Stock, par value $0.001 per share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to an affiliate of EW Healthcare Partners and certain funds managed by Hayfin Capital Management LLP (individually, the “</w:t>
      </w:r>
      <w:r>
        <w:rPr>
          <w:rFonts w:ascii="Arial" w:cs="Arial" w:eastAsia="Arial" w:hAnsi="Arial"/>
          <w:sz w:val="18"/>
          <w:szCs w:val="18"/>
          <w:b w:val="1"/>
          <w:bCs w:val="1"/>
          <w:i w:val="1"/>
          <w:iCs w:val="1"/>
          <w:color w:val="auto"/>
        </w:rPr>
        <w:t>Holde</w:t>
      </w:r>
      <w:r>
        <w:rPr>
          <w:rFonts w:ascii="Arial" w:cs="Arial" w:eastAsia="Arial" w:hAnsi="Arial"/>
          <w:sz w:val="18"/>
          <w:szCs w:val="18"/>
          <w:color w:val="auto"/>
        </w:rPr>
        <w:t>r”,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pursuant to a Securities Purchase Agreement with Falcon Fund 2 Holding Company, L.P., an affiliate of EW Healthcare Partners, and to certain funds managed by Hayfin Capital Management LLP, dated as of June 30, 2020 (the “</w:t>
      </w:r>
      <w:r>
        <w:rPr>
          <w:rFonts w:ascii="Arial" w:cs="Arial" w:eastAsia="Arial" w:hAnsi="Arial"/>
          <w:sz w:val="18"/>
          <w:szCs w:val="18"/>
          <w:b w:val="1"/>
          <w:bCs w:val="1"/>
          <w:i w:val="1"/>
          <w:iCs w:val="1"/>
          <w:color w:val="auto"/>
        </w:rPr>
        <w:t>Securities Purchase Agreement</w:t>
      </w:r>
      <w:r>
        <w:rPr>
          <w:rFonts w:ascii="Arial" w:cs="Arial" w:eastAsia="Arial" w:hAnsi="Arial"/>
          <w:sz w:val="18"/>
          <w:szCs w:val="18"/>
          <w:color w:val="auto"/>
        </w:rPr>
        <w:t>”), for an aggregate purchase price of $100 million.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B Preferred Stock paid a 4.0% cumulative dividend per annum prior to the quarterly dividend payment ending on June 30, 2021, and pays a 6.0% cumulative dividend per annum thereafter. Dividends are declared at the sole discretion of our board of directors. Dividends, if declared, are paid in cash at the end of each quarter based on dividend amounts that accumulate beginning on the last payment date through the day prior to the end of each quarter. In lieu of paying a dividend in cash, we may elect to accrue the dividend owed to shareholders. Dividend balances accumulate at the prevailing dividend rate for each dividend period for which they are outstanding.</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share of Series B Preferred Stock, including any accrued and unpaid dividends, is convertible into our common stock at any time at the option of the Holder at a conversion price of $3.85 per common share, or 259.74 common shares for each share of Series B Preferred Stock prior to any accrued and unpaid dividends. The Series B Preferred Stock, including any accrued and unpaid dividends, automatically converts into common stock at any time after the third anniversary of the issuance date, provided that the common stock has traded at 200% or more of the conversion price (i) for 20 out of 30 consecutive trading days and (ii) on such date of conversion.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jc w:val="both"/>
        <w:spacing w:after="0" w:line="296" w:lineRule="auto"/>
        <w:rPr>
          <w:sz w:val="20"/>
          <w:szCs w:val="20"/>
          <w:color w:val="auto"/>
        </w:rPr>
      </w:pPr>
      <w:r>
        <w:rPr>
          <w:rFonts w:ascii="Arial" w:cs="Arial" w:eastAsia="Arial" w:hAnsi="Arial"/>
          <w:sz w:val="16"/>
          <w:szCs w:val="16"/>
          <w:color w:val="auto"/>
        </w:rPr>
        <w:t>If we undergo a change of control, we will have the option to repurchase some or all of the then-outstanding shares of Series B Preferred Stock for cash in an amount equal to the liquidation preference, subject to the rights of the Holders of the Series B Preferred Stock in connection with such change in control. If we do not exercise such repurchase right, Holders of the Series B Preferred Stock will have the option to (1) require us to repurchase any or all of their then-outstanding shares of Series B Preferred Stock for cash in an amount equal to the liquidation preference or (2) convert their shares of Series B Preferred Stock, including accrued and unpaid dividends into common stock and receive their pro rata consideration thereunder.</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declared or paid any cash dividends on our Series B Convertible Preferred Stock since issuance. Dividends accumulated but not paid as of June 30, 2021 were approximately $4.1 million.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anticipated cash from operating activities, existing cash and cash equivalents will enable us to meet our operational liquidity needs and fund our planned investing activities, as well as any challenges and uncertainties surrounding our operating results which may arise due to the Covid-19 Pandemic, for the 12 months from August 3,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2021, we repurchased 127,046 shares surrendered by employees to satisfy tax withholding obligations upon vesting of restricted stock. Other than these transactions, we did not repurchase any shares of our common stock for the three months ended June 30, 2021. The timing and amount of future repurchases, if any, will depend upon our stock price, economic and market conditions, regulatory requirements, and other corporate considerations. We may initiate, suspend or discontinue purchases at any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our unaudited condensed consolidated financial statements in Part I, Item 1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off-balance sheet arrangements as of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940"/>
        <w:spacing w:after="0" w:line="446" w:lineRule="auto"/>
        <w:rPr>
          <w:sz w:val="20"/>
          <w:szCs w:val="20"/>
          <w:color w:val="auto"/>
        </w:rPr>
      </w:pPr>
      <w:r>
        <w:rPr>
          <w:rFonts w:ascii="Arial" w:cs="Arial" w:eastAsia="Arial" w:hAnsi="Arial"/>
          <w:sz w:val="18"/>
          <w:szCs w:val="18"/>
          <w:color w:val="auto"/>
        </w:rPr>
        <w:t xml:space="preserve">For the effect of recent accounting pronouncements, see Note 2 to the unaudited condensed consolidated financial statements contained herein. </w:t>
      </w:r>
      <w:r>
        <w:rPr>
          <w:rFonts w:ascii="Arial" w:cs="Arial" w:eastAsia="Arial" w:hAnsi="Arial"/>
          <w:sz w:val="18"/>
          <w:szCs w:val="18"/>
          <w:b w:val="1"/>
          <w:bCs w:val="1"/>
          <w:color w:val="auto"/>
        </w:rPr>
        <w:t>Item 3. Quantitative and Qualitative Disclosures about Market Risk</w:t>
      </w:r>
    </w:p>
    <w:p>
      <w:pPr>
        <w:jc w:val="both"/>
        <w:spacing w:after="0" w:line="277" w:lineRule="auto"/>
        <w:rPr>
          <w:sz w:val="20"/>
          <w:szCs w:val="20"/>
          <w:color w:val="auto"/>
        </w:rPr>
      </w:pPr>
      <w:r>
        <w:rPr>
          <w:rFonts w:ascii="Arial" w:cs="Arial" w:eastAsia="Arial" w:hAnsi="Arial"/>
          <w:sz w:val="18"/>
          <w:szCs w:val="18"/>
          <w:color w:val="auto"/>
        </w:rPr>
        <w:t>Based on our lack of market risk sensitive instruments outstanding at June 30, 2021, we have determined that there was no material market risk exposure to our consolidated financial position, results of operations or cash flows as of such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maintains a set of disclosure controls and procedures (as defined in Rules 13a-15(e) and 15d-15(e) under the Securities Exchange Act of 1934, as amended (the “Exchange Act”),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CEO and CFO, to allow for timely decisions regarding required disclosure.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evaluation of the effectiveness of the design and operation of our disclosure controls and procedures was performed under the supervision and with the participation of our management, including our CEO and CFO. As a result of this evaluation, our CEO and CFO concluded that our disclosure controls and procedures were not effective as of June 30, 2021 because of certain material weaknesses in internal control over financial reporting, as described in Item 9A, “Controls and Procedures” of our 2020 10-K.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Exchange Act Rules 13a-15(d) and 15d-15(d), management is required to evaluate, with the participation of our principal executive officer and principal financial officer, any changes in internal control over financial reporting that occurred during each fiscal quarter that materially affected, or are reasonably likely to materially affect, our internal control over financial reporting. As discussed “Management’s Report on Internal Control Over Financial Reporting” in Item 9A, "Controls and Procedures" of our 2020 Form 10-K, we identified unremediated material weaknesses corresponding to the control activities component of internal control as defined by in the Internal Control-Integrated Framework (2013) issued by the Committee of Sponsoring Organizations of the Treadway Commission (the "COSO framework") as of December 31, 2020. Other than as disclosed in the “Remediation Plan and Status” under “Item 9A: Controls and Procedures” in the 2020 Form 10-K, there were no changes in our internal control over financial reporting during our most recent fiscal quarter that have materially affected, or are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internal control over financial reporting in 2021 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The Company and its subsidiaries are parties to numerous claims and lawsuits arising in the normal course of its business activities, some of which involve </w:t>
      </w:r>
      <w:hyperlink w:anchor="page25">
        <w:r>
          <w:rPr>
            <w:rFonts w:ascii="Arial" w:cs="Arial" w:eastAsia="Arial" w:hAnsi="Arial"/>
            <w:sz w:val="18"/>
            <w:szCs w:val="18"/>
            <w:color w:val="auto"/>
          </w:rPr>
          <w:t xml:space="preserve">claims for substantial amounts. The ultimate outcome of these suits cannot be ascertained at this time. For additional information, see </w:t>
        </w:r>
        <w:r>
          <w:rPr>
            <w:rFonts w:ascii="Arial" w:cs="Arial" w:eastAsia="Arial" w:hAnsi="Arial"/>
            <w:sz w:val="18"/>
            <w:szCs w:val="18"/>
            <w:u w:val="single" w:color="auto"/>
            <w:color w:val="0000FF"/>
          </w:rPr>
          <w:t>Note 12,</w:t>
        </w:r>
      </w:hyperlink>
      <w:r>
        <w:rPr>
          <w:rFonts w:ascii="Arial" w:cs="Arial" w:eastAsia="Arial" w:hAnsi="Arial"/>
          <w:sz w:val="18"/>
          <w:szCs w:val="18"/>
          <w:color w:val="auto"/>
        </w:rPr>
        <w:t xml:space="preserve"> </w:t>
      </w:r>
      <w:hyperlink w:anchor="page25">
        <w:r>
          <w:rPr>
            <w:rFonts w:ascii="Arial" w:cs="Arial" w:eastAsia="Arial" w:hAnsi="Arial"/>
            <w:sz w:val="18"/>
            <w:szCs w:val="18"/>
            <w:u w:val="single" w:color="auto"/>
            <w:color w:val="0000FF"/>
          </w:rPr>
          <w:t>“Contractual Commitments and Contingencies,</w:t>
        </w:r>
        <w:r>
          <w:rPr>
            <w:rFonts w:ascii="Arial" w:cs="Arial" w:eastAsia="Arial" w:hAnsi="Arial"/>
            <w:sz w:val="18"/>
            <w:szCs w:val="18"/>
            <w:color w:val="000000"/>
          </w:rPr>
          <w:t>” to the unaudited condensed consolidated financial statements included in Part I, Item 1 of this Quarterly</w:t>
        </w:r>
      </w:hyperlink>
      <w:r>
        <w:rPr>
          <w:rFonts w:ascii="Arial" w:cs="Arial" w:eastAsia="Arial" w:hAnsi="Arial"/>
          <w:sz w:val="18"/>
          <w:szCs w:val="18"/>
          <w:color w:val="0000FF"/>
        </w:rPr>
        <w:t xml:space="preserve"> </w:t>
      </w:r>
      <w:r>
        <w:rPr>
          <w:rFonts w:ascii="Arial" w:cs="Arial" w:eastAsia="Arial" w:hAnsi="Arial"/>
          <w:sz w:val="18"/>
          <w:szCs w:val="18"/>
          <w:color w:val="000000"/>
        </w:rPr>
        <w:t>Report, which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its routine review of its risk factors, the Company has amended four of its risk factors and added two new risk factors in addition to those disclosed under “Risk Factors” in Part I, Item 1A of our 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amended the following risk factors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expansion and operations outside the U.S. expose us to risks associated with international sales and operations.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pursuing further expansion outside the U.S. Managing a global organization is difficult, time consuming and expensive. Our ability to conduct business in foreign markets is affected by many of the same risks we face in our U.S. operations, as well as unique costs and difficulties of managing international operations. Risks inherent in international operations also include, among others, potential adverse tax consequences, greater difficulty in enforcing intellectual property rights, risks associated with the Foreign Corrupt Practices Act and local anti-bribery law compliance, difficulty in obtaining acceptable reimbursement pricing for our products, difficulty building and managing a direct sales force or the relatively greater cost of third-party distributors, and the impact of foreign currency exchange rates and fluctuations. Also, the sale and shipment of our products across international borders, as well as the purchase of components and products from international sources, subject us to extensive U.S. and foreign governmental trade, import and export and customs regulations and laws, including, without limitation,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International regulations may also limit what promotional claims we may make for our products.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these regulations and laws is costly, and failure to comply with applicable legal and regulatory obligations could adversely affect us in a variety of ways that include, without limitation,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 Operating outside of the U.S. also requires significant management attention and financial resources.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June 8, 2021, the Company announced that it had received regulatory approval by the Japanese Ministry of Health, Labour and Welfare (JMHLW) to market EPIFIX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Japan. However, reimbursement pricing approval from the Japanese government remains pending at this time and requires the satisfaction of various conditions; is often subject to detailed rules; and the timing, amount, and final approval decision rests with the JMHLW. Further, successful sales of our products in Japan requires consumer acceptance, which might not be forthcoming.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To the extent our products do not qualify for regulation as human cells, tissues and cellular and tissue-based products solely under Section 361 of the Public Health Service Act (“Section 361”), this will result in removal of the applicable products from the market, would make the introduction of some new tissue products more expensive, and could significantly delay the expansion of our tissue product offerings and subject us to additional post-market regulatory requirements.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products we manufacture and process are derived from human tissue. Amniotic and other birth membrane are generally regulated as Human Cells, Tissues and Cellular and Tissue - Based Products (“</w:t>
      </w:r>
      <w:r>
        <w:rPr>
          <w:rFonts w:ascii="Arial" w:cs="Arial" w:eastAsia="Arial" w:hAnsi="Arial"/>
          <w:sz w:val="18"/>
          <w:szCs w:val="18"/>
          <w:b w:val="1"/>
          <w:bCs w:val="1"/>
          <w:i w:val="1"/>
          <w:iCs w:val="1"/>
          <w:color w:val="auto"/>
        </w:rPr>
        <w:t>HCT/P</w:t>
      </w:r>
      <w:r>
        <w:rPr>
          <w:rFonts w:ascii="Arial" w:cs="Arial" w:eastAsia="Arial" w:hAnsi="Arial"/>
          <w:sz w:val="18"/>
          <w:szCs w:val="18"/>
          <w:color w:val="auto"/>
        </w:rPr>
        <w:t>”) and are therefore eligible to be subject to regulation solely under Section 361 (“</w:t>
      </w:r>
      <w:r>
        <w:rPr>
          <w:rFonts w:ascii="Arial" w:cs="Arial" w:eastAsia="Arial" w:hAnsi="Arial"/>
          <w:sz w:val="18"/>
          <w:szCs w:val="18"/>
          <w:b w:val="1"/>
          <w:bCs w:val="1"/>
          <w:i w:val="1"/>
          <w:iCs w:val="1"/>
          <w:color w:val="auto"/>
        </w:rPr>
        <w:t>Section 361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HCT/P</w:t>
      </w:r>
      <w:r>
        <w:rPr>
          <w:rFonts w:ascii="Arial" w:cs="Arial" w:eastAsia="Arial" w:hAnsi="Arial"/>
          <w:sz w:val="18"/>
          <w:szCs w:val="18"/>
          <w:color w:val="auto"/>
        </w:rPr>
        <w:t>”) depending on whether the specific product at issue and the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claims made for it are consistent with the applicable criteria. HCT/Ps that do not meet these criteria are subject to more extensive regulation as drugs, medical devices, biological products, or combination products. These HCT/Ps must comply with both the FDA’s requirements for HCT/Ps and the requirements applicable to biologics, devices or drugs, including pre-market clearance or approval from the FDA. Obtaining FDA pre-market clearance or approval involves significant time and investment by the Company.</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2017, the FDA released a guidance document entitled “</w:t>
      </w:r>
      <w:r>
        <w:rPr>
          <w:rFonts w:ascii="Arial" w:cs="Arial" w:eastAsia="Arial" w:hAnsi="Arial"/>
          <w:sz w:val="16"/>
          <w:szCs w:val="16"/>
          <w:i w:val="1"/>
          <w:iCs w:val="1"/>
          <w:color w:val="auto"/>
        </w:rPr>
        <w:t>Regulatory Considerations for Human Cells, Tissues, and Cellular and Tissue - Based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Minimal Manipulation and Homologous Use - Guidance for Industry and Food and Drug Administration Staff.</w:t>
      </w:r>
      <w:r>
        <w:rPr>
          <w:rFonts w:ascii="Arial" w:cs="Arial" w:eastAsia="Arial" w:hAnsi="Arial"/>
          <w:sz w:val="16"/>
          <w:szCs w:val="16"/>
          <w:color w:val="auto"/>
        </w:rPr>
        <w:t>” The document confirmed the</w:t>
      </w:r>
    </w:p>
    <w:p>
      <w:pPr>
        <w:jc w:val="both"/>
        <w:spacing w:after="0" w:line="253" w:lineRule="auto"/>
        <w:rPr>
          <w:sz w:val="20"/>
          <w:szCs w:val="20"/>
          <w:color w:val="auto"/>
        </w:rPr>
      </w:pPr>
      <w:r>
        <w:rPr>
          <w:rFonts w:ascii="Arial" w:cs="Arial" w:eastAsia="Arial" w:hAnsi="Arial"/>
          <w:sz w:val="18"/>
          <w:szCs w:val="18"/>
          <w:color w:val="auto"/>
        </w:rPr>
        <w:t>FDA’s stance that all micronized amniotic products require a biologics license to be lawfully marketed in the United States. We also interpret the guidance document as confirming our position that sheet forms of amniotic tissue are appropriately regulated as solely Section 361 HCT/Ps when manufactured in accordance with 21 CFR Part 1271 and intended for use as a barrier or covering. The final guidance also stated that the FDA would exercise enforcement discretion under limited conditions with respect to the IND application and pre-market approval requirements for certain HCT/Ps for a limited period following the date of the Guidance.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2020, the FDA extended its period of enforcement discretion to May 31, 2021. In April 2021, the FDA confirmed that there would be no further extensions to its period of enforcement discretion and that following the period of enforcement discretion under the Guidance, the industry would be required to cease selling products that require pre-approval under applicable biologics or medical device laws and regulations.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MiMedx ceased marketing our micronized and particulate products on May 31, 2021 and requested the return of unused consignment inventory as of that date. At the same time, we are pursuing the BLA pre-market approval process for certain of our micronized products, as more fully discussed under “Business - Government Regulation.” The loss of our ability to market and sell our micronized products will have an adverse impact on our revenues, business, financial condition and results of operations. Our net sales of such products for all uses was $31.7 million in 2020.</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Also, the Company currently markets EPICORD and AMNIOCORD, tissue products derived from human umbilical cord, as providing a protective environment or as a barrier. In warning letters to several companies marketing human umbilical cord derived products for a variety of uses, the FDA has stated that those products fail to meet the homologous use criterion, as “the product is not intended to perform the same basic function or functions of umbilical cord in the recipient as in the donor, such as serving as a conduit.” If the FDA takes the position that there is a single basic function of umbilical cord and that cord products may only serve in a conduit function, this may impact MiMedx’s marketing of human umbilical cord products. To our knowledge, the FDA has not indicated this publicly or to MiMedx. If the FDA were to determine that EPICORD and AMNIOCORD do not meet the requirements for regulation solely under Section 361, then FDA pre-market clearance or approval would be required. The loss of our ability to market and sell our umbilical cord derived products would have an adverse impact on our revenues, business, financial condition and results of operations. Included in net sales were sales of umbilical cord derived products totaling $16.6 million, $17.9 million, and $14.7 million, respectively, in 2020, 2019, and 2018.</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regulatory changes could have adverse consequences for us and make it more difficult or expensive for us to conduct our business by requiring pre-market clearance or approval and compliance with additional post-market regulatory requirements with respect to those products. Moreover, increased regulatory scrutiny within the industry in which we operate could lead to increased regulation of HCT/Ps, including Section 361 HCT/Ps, which could ultimately increase our costs and adversely impact our business, results of operations and financial condition. If the FDA approves the BLAs we seek, we will incur increased compliance costs on an ongoing basis. See “</w:t>
      </w:r>
      <w:r>
        <w:rPr>
          <w:rFonts w:ascii="Arial" w:cs="Arial" w:eastAsia="Arial" w:hAnsi="Arial"/>
          <w:sz w:val="17"/>
          <w:szCs w:val="17"/>
          <w:i w:val="1"/>
          <w:iCs w:val="1"/>
          <w:color w:val="auto"/>
        </w:rPr>
        <w:t>If any of the BLAs are approved, the Company would be subject to additional regulation</w:t>
      </w:r>
      <w:r>
        <w:rPr>
          <w:rFonts w:ascii="Arial" w:cs="Arial" w:eastAsia="Arial" w:hAnsi="Arial"/>
          <w:sz w:val="17"/>
          <w:szCs w:val="17"/>
          <w:color w:val="auto"/>
        </w:rPr>
        <w:t xml:space="preserve"> </w:t>
      </w:r>
      <w:r>
        <w:rPr>
          <w:rFonts w:ascii="Arial" w:cs="Arial" w:eastAsia="Arial" w:hAnsi="Arial"/>
          <w:sz w:val="17"/>
          <w:szCs w:val="17"/>
          <w:i w:val="1"/>
          <w:iCs w:val="1"/>
          <w:color w:val="auto"/>
        </w:rPr>
        <w:t>which will increase costs and could result in adverse sanctions for non-compliance</w:t>
      </w:r>
      <w:r>
        <w:rPr>
          <w:rFonts w:ascii="Arial" w:cs="Arial" w:eastAsia="Arial" w:hAnsi="Arial"/>
          <w:sz w:val="17"/>
          <w:szCs w:val="17"/>
          <w:color w:val="auto"/>
        </w:rPr>
        <w:t>.”</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Obtaining and maintaining the necessary regulatory approvals for certain of our products will be expensive and time consuming and may impede our ability to fully exploit our technologies</w:t>
      </w:r>
      <w:r>
        <w:rPr>
          <w:rFonts w:ascii="Arial" w:cs="Arial" w:eastAsia="Arial" w:hAnsi="Arial"/>
          <w:sz w:val="18"/>
          <w:szCs w:val="18"/>
          <w:color w:val="auto"/>
        </w:rPr>
        <w: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process of obtaining regulatory clearances or approvals to market a biological product or medical device from the FDA or similar regulatory authorities outside of the U.S. may be costly and time consuming, and such clearances or approvals may not be granted on a timely basis, or at all. We are pursuing approval of BLAs for certain of our micronized products, but have not yet submitted a BLA for review. Additionally, the FDA may take the position that some of the other products that we currently market require a BLA as well. Some of the future products and enhancements to our current products that we expect to develop or may acquire and market may require marketing clearance or approval from the FDA. However, clearance or approval may not be granted with respect to any of our products or enhancements and further FDA review may add delays that could adversely affect our ability to market such products or enhancements.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process of obtaining an approved BLA, including clinical trial development and execution as well as manufacturing processes, requires the expenditure of substantial time, effort and financial resources and may take years to complete.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jc w:val="both"/>
        <w:spacing w:after="0" w:line="237" w:lineRule="auto"/>
        <w:rPr>
          <w:sz w:val="20"/>
          <w:szCs w:val="20"/>
          <w:color w:val="auto"/>
        </w:rPr>
      </w:pPr>
      <w:r>
        <w:rPr>
          <w:rFonts w:ascii="Arial" w:cs="Arial" w:eastAsia="Arial" w:hAnsi="Arial"/>
          <w:sz w:val="17"/>
          <w:szCs w:val="17"/>
          <w:color w:val="auto"/>
        </w:rPr>
        <w:t>Additionally, there are significant costs associated with clinical trials that can be difficult to estimate accurately until a BLA is approved. Clinical trials may not be successful or may return results that do not support approval. Moreover, data obtained from clinical trials are not always conclusive and may be susceptible to varying interpretations, which could delay, limit or prevent regulatory approval. The FDA may not grant approval of our BLA on a timely basis, or at all, or we may decide not to pursue a BLA for certain products or indications, or may need to conduct additional trials for a given indication. Additionally, the FDA may limit the indications for use, dosages, or place other conditions on any approvals that could restrict the commercial application of the products. If we do receive approval, some types of changes to the approved product, such as adding new indications or doses, manufacturing changes and additional labeling claims, are subject to further testing requirements and FDA review and approval. Our revenues will be adversely affected if we fail to obtain BLA approvals on a timely basis or at all, or if the FDA limits the indications for use or requires other conditions that restrict the commercial application of our products. In addition, the fee for filing a BLA and program fees payable with respect to any establishment that manufactures biologics are substantial.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analysts may elect not to report on our common stock or may issue negative reports that adversely affect the stock price.</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conducted extensive investor relations outreach to the investment analysts community with the goal of attracting analyst coverage. However, at this time, only three securities analysts provide coverage on us, and one of these firms is compensated by us. There can be no assurance that any other analysts will cover our stock or, if they do, that they will continue to report on our common stock or that additional analysts will initiate reporting on our common stock.</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fail to attract the coverage from securities analysts, or if securities analysts discontinue covering our common stock, the lack of research coverage may adversely affect the actual and potential market price of our common stock. The trading market for our common stock may be affected in part by the research and reports that industry participants, industry analysts or financial analysts publish about our business. If one or more analysts elect to cover us and then downgrade the stock, the stock price would likely decline rapidly. If one or more of these analysts cease coverage of us, we could lose visibility in the market, which in turn could cause our stock price to decline.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also added two new risk factors</w:t>
      </w:r>
      <w:r>
        <w:rPr>
          <w:rFonts w:ascii="Arial" w:cs="Arial" w:eastAsia="Arial" w:hAnsi="Arial"/>
          <w:sz w:val="18"/>
          <w:szCs w:val="18"/>
          <w:color w:val="auto"/>
        </w:rPr>
        <w:t>:</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trials will be necessary to support future BLA submissions and potential product approvals by the FDA. The clinical trial process is lengthy and expensive with uncertain outcomes, and often requires the enrollment of large numbers of patients, and suitable patients may be difficult to identify and recruit. Delays or failures in our clinical trials could prevent us from commercializing any modified or new products and will adversely affect our business, operating results and prospects.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results of early clinical trials are not necessarily predictive of future results, and any product we advance into clinical trials may not have favorable results in later clinical trials. Our interpretation of data and results from our clinical trials does not ensure that we will achieve similar results in future clinical trials. In addition, clinical data are often susceptible to various interpretations and analyses, and many companies that have believed their products performed satisfactorily in earlier clinical trials or retrospective studies have nonetheless failed to replicate results in later clinical trials. Products in later stages of clinical trials may fail to show the desired safety and efficacy despite having progressed through nonclinical studies and earlier clinical trials and retrospective studies, and such failures can occur at any stage of clinical testing. Our clinical studies may produce negative or inconclusive results, and we may decide, or regulators may require us, to conduct additional clinical and non-clinical testing in addition to those we have planned. For example, preliminary results from our Phase 3 trial of mdHACM for the treatment of Achilles tendonitis suggest that the trial may not have been designed to allow sufficient confidence in the efficacy of the therapy.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initiation and completion of a trial may be prevented, delayed, or halted for numerous reasons, including, but not limited to, the following:</w:t>
      </w:r>
    </w:p>
    <w:p>
      <w:pPr>
        <w:spacing w:after="0" w:line="23" w:lineRule="exact"/>
        <w:rPr>
          <w:sz w:val="20"/>
          <w:szCs w:val="20"/>
          <w:color w:val="auto"/>
        </w:rPr>
      </w:pPr>
    </w:p>
    <w:p>
      <w:pPr>
        <w:ind w:left="660" w:right="20" w:hanging="328"/>
        <w:spacing w:after="0" w:line="205"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regulatory authorities do not approve a clinical study protocol, force us to modify a previously approved protocol, or place a clinical study on hold;</w:t>
      </w:r>
    </w:p>
    <w:p>
      <w:pPr>
        <w:spacing w:after="0" w:line="1" w:lineRule="exact"/>
        <w:rPr>
          <w:rFonts w:ascii="Arial" w:cs="Arial" w:eastAsia="Arial" w:hAnsi="Arial"/>
          <w:sz w:val="22"/>
          <w:szCs w:val="22"/>
          <w:color w:val="auto"/>
        </w:rPr>
      </w:pPr>
    </w:p>
    <w:p>
      <w:pPr>
        <w:jc w:val="both"/>
        <w:ind w:left="6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patients do not enroll in, or enroll at a lower rate than we expect or need, or do not complete a clinical study. During 2020, the time necessary to complete our studies was longer than expected as a result of access restrictions at hospitals and health care provider facilities as a result of the Covid-19 Pandemic;</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patients or investigators do not comply with study protocols;</w:t>
      </w:r>
    </w:p>
    <w:p>
      <w:pPr>
        <w:ind w:left="6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require us to submit data on a greater number of patients than we originally anticipated and/or for a longer follow-up period or change the data collection requirements or data analysis applicable to our clinical trials;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patients do not return for post-treatment follow-up at the expected rate;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3" w:name="page44"/>
    <w:bookmarkEnd w:id="43"/>
    <w:p>
      <w:pPr>
        <w:ind w:left="660" w:hanging="328"/>
        <w:spacing w:after="0" w:line="22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patients may experience serious or unexpected adverse side effects for a variety of reasons that may or may not be related to our product causing a clinical trial study to be put on hold;</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sites;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sites participating in an ongoing clinical study withdraw, requiring us to engage new sites;</w:t>
      </w:r>
    </w:p>
    <w:p>
      <w:pPr>
        <w:ind w:left="660" w:hanging="328"/>
        <w:spacing w:after="0" w:line="232"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third-party clinical investigators decline to participate in our clinical studies, do not perform the clinical studies on the anticipated schedule, or act in ways inconsistent with the investigator agreement, clinical study protocol, good clinical practices, and other regulatory requirements;</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entities do not perform data collection and analysis in a timely or accurate manner;</w:t>
      </w:r>
    </w:p>
    <w:p>
      <w:pPr>
        <w:ind w:left="660" w:hanging="328"/>
        <w:spacing w:after="0" w:line="21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to amend clinical trial protocols or conduct additional studies to reflect changes in regulatory requirements or guidance, which we may be required to submit to regulatory authorities for approval;</w:t>
      </w: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 and</w:t>
      </w:r>
    </w:p>
    <w:p>
      <w:pPr>
        <w:jc w:val="both"/>
        <w:ind w:left="660" w:hanging="328"/>
        <w:spacing w:after="0" w:line="22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other reviewing bodies may fail to approve or subsequently find fault with our manufacturing processes or facilities, the supply of materials necessary to conduct clinical trials may be insufficient, inadequate or not available at an acceptable cost, or we may experience interruptions in supply.</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certification or regulatory approval of our product candidates.</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ability to consistently and reliably manufacture our biologic products will be key to the marketing of any future Section 351 products. Also, our current manufacturing facilities may be inadequate to produce sufficient quantities if all of our planned BLAs are approved.</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manufacture of biologic products requires significant expertise and capital investment, including the development of advanced manufacturing techniques and process controls, and the approval of BLAs require one to demonstrate the ability to manufacture pursuant to specified chemistry and manufacturing controls. Manufacturers of biologic products often encounter difficulties in production, particularly in scaling up initial production as would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 the case at any new facility. These problems can include difficulties with production costs and yields, quality control (including stability of the product candidate and quality assurance testing), shortages of qualified personnel, and compliance with strictly enforced federal, state and foreign regulations. If we were to encounter any of these difficulties, or otherwise fail to comply with our obligations under applicable regulations, then our ability to provide product candidates to patients in our clinical trials or commercially would be jeopardized, and any delay or interruption in the supply of product could delay the commercial launch of the product or impair our ability to meet demand for the product.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products can be manufactured only in a facility that has undergone a satisfactory inspection by the FDA and other relevant regulatory authorities. While we currently possess redundant manufacturing capacity, we may not be able to replace manufacturing capacity for our products quickly if we were unable to use manufacturing facilities as a result of a fire, natural disaster (including an earthquake), equipment failure, or other difficulty, or if such facilities were deemed not in compliance with the regulatory requirements and such non-compliance could not be rapidly rectified. An inability or reduced capacity to manufacture our products could have a material adverse effect on our business, financial condition, and results of operations.</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existing manufacturing facilities have been adequate but may become inadequate if our planned BLA for knee osteoarthritis is approved. Therefore, we have begun planning for additional manufacturing capacity. Failure to adequately expand capacity could delay commercialization of our current or future product candidates, depriving us of potential product revenue. Any manufacturing problem could be disruptive to our operations and result in lost sales.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333333"/>
        </w:rPr>
      </w:pPr>
      <w:r>
        <w:rPr>
          <w:rFonts w:ascii="Arial" w:cs="Arial" w:eastAsia="Arial" w:hAnsi="Arial"/>
          <w:sz w:val="18"/>
          <w:szCs w:val="18"/>
          <w:color w:val="333333"/>
        </w:rPr>
        <w:t>None.</w:t>
      </w:r>
    </w:p>
    <w:p>
      <w:pPr>
        <w:spacing w:after="0" w:line="252" w:lineRule="exact"/>
        <w:rPr>
          <w:rFonts w:ascii="Arial" w:cs="Arial" w:eastAsia="Arial" w:hAnsi="Arial"/>
          <w:sz w:val="18"/>
          <w:szCs w:val="18"/>
          <w:color w:val="333333"/>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right="20" w:firstLine="8"/>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table sets forth information regarding the purchases of the Company’s equity securities made by or on behalf of the Company or any affiliated purchaser (as defined in Exchange Act Rule 10b-18) during the three month period ended June 30, 2021:</w:t>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68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 number</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ind w:left="500"/>
              <w:spacing w:after="0"/>
              <w:rPr>
                <w:sz w:val="20"/>
                <w:szCs w:val="20"/>
                <w:color w:val="auto"/>
              </w:rPr>
            </w:pPr>
            <w:r>
              <w:rPr>
                <w:rFonts w:ascii="Arial" w:cs="Arial" w:eastAsia="Arial" w:hAnsi="Arial"/>
                <w:sz w:val="18"/>
                <w:szCs w:val="18"/>
                <w:color w:val="auto"/>
              </w:rPr>
              <w:t>Total number</w:t>
            </w:r>
          </w:p>
        </w:tc>
        <w:tc>
          <w:tcPr>
            <w:tcW w:w="2060" w:type="dxa"/>
            <w:vAlign w:val="bottom"/>
            <w:gridSpan w:val="2"/>
          </w:tcPr>
          <w:p>
            <w:pPr>
              <w:ind w:left="520"/>
              <w:spacing w:after="0"/>
              <w:rPr>
                <w:sz w:val="20"/>
                <w:szCs w:val="20"/>
                <w:color w:val="auto"/>
              </w:rPr>
            </w:pPr>
            <w:r>
              <w:rPr>
                <w:rFonts w:ascii="Arial" w:cs="Arial" w:eastAsia="Arial" w:hAnsi="Arial"/>
                <w:sz w:val="18"/>
                <w:szCs w:val="18"/>
                <w:color w:val="auto"/>
                <w:w w:val="99"/>
              </w:rPr>
              <w:t>Approximate Dollar</w:t>
            </w: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100" w:type="dxa"/>
            <w:vAlign w:val="bottom"/>
            <w:gridSpan w:val="3"/>
            <w:vMerge w:val="restart"/>
          </w:tcPr>
          <w:p>
            <w:pPr>
              <w:ind w:left="520"/>
              <w:spacing w:after="0"/>
              <w:rPr>
                <w:sz w:val="20"/>
                <w:szCs w:val="20"/>
                <w:color w:val="auto"/>
              </w:rPr>
            </w:pPr>
            <w:r>
              <w:rPr>
                <w:rFonts w:ascii="Arial" w:cs="Arial" w:eastAsia="Arial" w:hAnsi="Arial"/>
                <w:sz w:val="18"/>
                <w:szCs w:val="18"/>
                <w:color w:val="auto"/>
              </w:rPr>
              <w:t>Average price paid</w:t>
            </w:r>
          </w:p>
        </w:tc>
        <w:tc>
          <w:tcPr>
            <w:tcW w:w="16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7"/>
              </w:rPr>
              <w:t>of shares purchased</w:t>
            </w:r>
          </w:p>
        </w:tc>
        <w:tc>
          <w:tcPr>
            <w:tcW w:w="20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Value of Shares that May</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16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rPr>
              <w:t>of</w:t>
            </w:r>
          </w:p>
        </w:tc>
        <w:tc>
          <w:tcPr>
            <w:tcW w:w="2100" w:type="dxa"/>
            <w:vAlign w:val="bottom"/>
            <w:gridSpan w:val="3"/>
            <w:vMerge w:val="continue"/>
          </w:tcPr>
          <w:p>
            <w:pPr>
              <w:spacing w:after="0"/>
              <w:rPr>
                <w:sz w:val="15"/>
                <w:szCs w:val="15"/>
                <w:color w:val="auto"/>
              </w:rPr>
            </w:pPr>
          </w:p>
        </w:tc>
        <w:tc>
          <w:tcPr>
            <w:tcW w:w="16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under publicly</w:t>
            </w:r>
          </w:p>
        </w:tc>
        <w:tc>
          <w:tcPr>
            <w:tcW w:w="20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Yet Be Purchased Under</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1680" w:type="dxa"/>
            <w:vAlign w:val="bottom"/>
            <w:gridSpan w:val="2"/>
          </w:tcPr>
          <w:p>
            <w:pPr>
              <w:jc w:val="center"/>
              <w:ind w:right="160"/>
              <w:spacing w:after="0" w:line="216" w:lineRule="exact"/>
              <w:rPr>
                <w:sz w:val="20"/>
                <w:szCs w:val="20"/>
                <w:color w:val="auto"/>
              </w:rPr>
            </w:pPr>
            <w:r>
              <w:rPr>
                <w:rFonts w:ascii="Arial" w:cs="Arial" w:eastAsia="Arial" w:hAnsi="Arial"/>
                <w:sz w:val="18"/>
                <w:szCs w:val="18"/>
                <w:color w:val="auto"/>
                <w:w w:val="84"/>
              </w:rPr>
              <w:t>shares purchased</w:t>
            </w:r>
            <w:r>
              <w:rPr>
                <w:rFonts w:ascii="Arial" w:cs="Arial" w:eastAsia="Arial" w:hAnsi="Arial"/>
                <w:sz w:val="23"/>
                <w:szCs w:val="23"/>
                <w:color w:val="auto"/>
                <w:w w:val="84"/>
                <w:vertAlign w:val="superscript"/>
              </w:rPr>
              <w:t>(a)</w:t>
            </w:r>
          </w:p>
        </w:tc>
        <w:tc>
          <w:tcPr>
            <w:tcW w:w="62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per share</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announced plan</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88"/>
              </w:rPr>
              <w:t>Plans or Programs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top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April 1 - April 30,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121,613</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jc w:val="right"/>
              <w:ind w:right="690"/>
              <w:spacing w:after="0"/>
              <w:rPr>
                <w:sz w:val="20"/>
                <w:szCs w:val="20"/>
                <w:color w:val="auto"/>
              </w:rPr>
            </w:pPr>
            <w:r>
              <w:rPr>
                <w:rFonts w:ascii="Arial" w:cs="Arial" w:eastAsia="Arial" w:hAnsi="Arial"/>
                <w:sz w:val="18"/>
                <w:szCs w:val="18"/>
                <w:color w:val="auto"/>
              </w:rPr>
              <w:t>May 1 - May 31, 2021</w:t>
            </w:r>
          </w:p>
        </w:tc>
        <w:tc>
          <w:tcPr>
            <w:tcW w:w="1540" w:type="dxa"/>
            <w:vAlign w:val="bottom"/>
          </w:tcPr>
          <w:p>
            <w:pPr>
              <w:jc w:val="right"/>
              <w:spacing w:after="0"/>
              <w:rPr>
                <w:sz w:val="20"/>
                <w:szCs w:val="20"/>
                <w:color w:val="auto"/>
              </w:rPr>
            </w:pPr>
            <w:r>
              <w:rPr>
                <w:rFonts w:ascii="Arial" w:cs="Arial" w:eastAsia="Arial" w:hAnsi="Arial"/>
                <w:sz w:val="18"/>
                <w:szCs w:val="18"/>
                <w:color w:val="auto"/>
              </w:rPr>
              <w:t>5,433</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9"/>
                <w:szCs w:val="19"/>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June 1 - June 30, 2021</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tcPr>
          <w:p>
            <w:pPr>
              <w:jc w:val="right"/>
              <w:ind w:right="690"/>
              <w:spacing w:after="0"/>
              <w:rPr>
                <w:sz w:val="20"/>
                <w:szCs w:val="20"/>
                <w:color w:val="auto"/>
              </w:rPr>
            </w:pPr>
            <w:r>
              <w:rPr>
                <w:rFonts w:ascii="Arial" w:cs="Arial" w:eastAsia="Arial" w:hAnsi="Arial"/>
                <w:sz w:val="18"/>
                <w:szCs w:val="18"/>
                <w:color w:val="auto"/>
              </w:rPr>
              <w:t>Total for the quarter</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127,046</w:t>
            </w: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19"/>
                <w:szCs w:val="19"/>
                <w:color w:val="auto"/>
              </w:rPr>
            </w:pPr>
          </w:p>
        </w:tc>
        <w:tc>
          <w:tcPr>
            <w:tcW w:w="150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Shares repurchased during the quarter include shares surrendered by employees to satisfy tax withholding obligations upon vesting of restricted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firstLine="8"/>
        <w:spacing w:after="0" w:line="308" w:lineRule="auto"/>
        <w:tabs>
          <w:tab w:leader="none" w:pos="28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Arrearages. As of June 30, 2021, the Company calculated accumulated dividends of $4,054,921 in respect of the outstanding shares of Series B Preferred Stock. In accordance with the terms thereof, the Company elected to accumulate, rather than pay, such accumulated dividends.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ind w:firstLine="8"/>
        <w:spacing w:after="0" w:line="252" w:lineRule="auto"/>
        <w:tabs>
          <w:tab w:leader="none" w:pos="26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Proxy Access. </w:t>
      </w:r>
      <w:r>
        <w:rPr>
          <w:rFonts w:ascii="Arial" w:cs="Arial" w:eastAsia="Arial" w:hAnsi="Arial"/>
          <w:sz w:val="16"/>
          <w:szCs w:val="16"/>
          <w:color w:val="auto"/>
        </w:rPr>
        <w:t>On May 27, 2021, the Shareholders approved an amendment to the Company’s Bylaws to provide for proxy access, which will allow</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shareholders (as defined in the Proxy Access Bylaw) who comply with the requirements set forth in the Bylaws to include their own nominees for director in the Company’s proxy materials along with the candidates nominated by the Board. A shareholder or group of up to 20 shareholders (such shareholder or shareholder group, an “</w:t>
      </w:r>
      <w:r>
        <w:rPr>
          <w:rFonts w:ascii="Arial" w:cs="Arial" w:eastAsia="Arial" w:hAnsi="Arial"/>
          <w:sz w:val="16"/>
          <w:szCs w:val="16"/>
          <w:b w:val="1"/>
          <w:bCs w:val="1"/>
          <w:i w:val="1"/>
          <w:iCs w:val="1"/>
          <w:color w:val="auto"/>
        </w:rPr>
        <w:t>Eligible Shareholder</w:t>
      </w:r>
      <w:r>
        <w:rPr>
          <w:rFonts w:ascii="Arial" w:cs="Arial" w:eastAsia="Arial" w:hAnsi="Arial"/>
          <w:sz w:val="16"/>
          <w:szCs w:val="16"/>
          <w:color w:val="auto"/>
        </w:rPr>
        <w:t>”) that has maintained continuous qualifying ownership of at least 3% of the issued and outstanding Company common stock for at least the previous three years would be permitted to nominate and include up to a specified number of proxy access nominees in the Company’s proxy materials for its annual meeting of shareholders provided that the Eligible Shareholder and proxy access nominee(s) satisfy the requirements of the Proxy Access Amendments. The maximum number of proxy access nominees that the Company would be required to include in its proxy materials would not exceed the greater of (i) two (2) or (ii) 20% of the directors in office on the last day on which a nomination could be submitted (rounded down to the nearest whole number). Each Eligible Shareholder seeking to include a proxy access nominee in the Company’s proxy materials would be required to provide certain information to the Company specified in the Proxy Access Bylaw. The foregoing summary of the Proxy Access Bylaw is qualified in its entirety by reference to the full text of the Bylaws which are filed as Exhibit 3.2 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15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3"/>
              </w:rPr>
              <w:t>Item 6. Exhibits</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3"/>
              </w:rPr>
              <w:t>Exhibit</w:t>
            </w:r>
          </w:p>
        </w:tc>
        <w:tc>
          <w:tcPr>
            <w:tcW w:w="970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82"/>
              </w:rPr>
              <w:t>Number</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70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95"/>
              </w:rPr>
              <w:t>3.1</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700" w:type="dxa"/>
            <w:vAlign w:val="bottom"/>
            <w:tcBorders>
              <w:right w:val="single" w:sz="8" w:color="BFE4FF"/>
            </w:tcBorders>
            <w:gridSpan w:val="17"/>
            <w:shd w:val="clear" w:color="auto" w:fill="BFE4FF"/>
          </w:tcPr>
          <w:p>
            <w:pPr>
              <w:spacing w:after="0" w:line="189" w:lineRule="exact"/>
              <w:rPr>
                <w:rFonts w:ascii="Arial" w:cs="Arial" w:eastAsia="Arial" w:hAnsi="Arial"/>
                <w:sz w:val="18"/>
                <w:szCs w:val="18"/>
                <w:color w:val="auto"/>
                <w:w w:val="99"/>
              </w:rPr>
            </w:pPr>
            <w:hyperlink r:id="rId69">
              <w:r>
                <w:rPr>
                  <w:rFonts w:ascii="Arial" w:cs="Arial" w:eastAsia="Arial" w:hAnsi="Arial"/>
                  <w:sz w:val="18"/>
                  <w:szCs w:val="18"/>
                  <w:color w:val="auto"/>
                  <w:w w:val="99"/>
                </w:rPr>
                <w:t>Restated Articles of Incorporation of MiMedx Group, Inc., adopted March 4, 2021, effective March 5, 2021 (</w:t>
              </w:r>
              <w:r>
                <w:rPr>
                  <w:rFonts w:ascii="Arial" w:cs="Arial" w:eastAsia="Arial" w:hAnsi="Arial"/>
                  <w:sz w:val="18"/>
                  <w:szCs w:val="18"/>
                  <w:color w:val="0000FF"/>
                  <w:w w:val="99"/>
                </w:rPr>
                <w:t>incorporated by</w:t>
              </w:r>
            </w:hyperlink>
          </w:p>
        </w:tc>
        <w:tc>
          <w:tcPr>
            <w:tcW w:w="0" w:type="dxa"/>
            <w:vAlign w:val="bottom"/>
          </w:tcPr>
          <w:p>
            <w:pPr>
              <w:spacing w:after="0"/>
              <w:rPr>
                <w:sz w:val="1"/>
                <w:szCs w:val="1"/>
                <w:color w:val="auto"/>
              </w:rPr>
            </w:pPr>
          </w:p>
        </w:tc>
      </w:tr>
      <w:tr>
        <w:trPr>
          <w:trHeight w:val="20"/>
        </w:trPr>
        <w:tc>
          <w:tcPr>
            <w:tcW w:w="30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56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60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1680" w:type="dxa"/>
            <w:vAlign w:val="bottom"/>
            <w:gridSpan w:val="2"/>
            <w:shd w:val="clear" w:color="auto" w:fill="BFE4FF"/>
          </w:tcPr>
          <w:p>
            <w:pPr>
              <w:spacing w:after="0" w:line="20" w:lineRule="exact"/>
              <w:rPr>
                <w:sz w:val="1"/>
                <w:szCs w:val="1"/>
                <w:color w:val="auto"/>
              </w:rPr>
            </w:pPr>
          </w:p>
        </w:tc>
        <w:tc>
          <w:tcPr>
            <w:tcW w:w="108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520" w:type="dxa"/>
            <w:vAlign w:val="bottom"/>
            <w:shd w:val="clear" w:color="auto" w:fill="BFE4FF"/>
          </w:tcPr>
          <w:p>
            <w:pPr>
              <w:spacing w:after="0" w:line="20" w:lineRule="exact"/>
              <w:rPr>
                <w:sz w:val="1"/>
                <w:szCs w:val="1"/>
                <w:color w:val="auto"/>
              </w:rPr>
            </w:pPr>
          </w:p>
        </w:tc>
        <w:tc>
          <w:tcPr>
            <w:tcW w:w="180" w:type="dxa"/>
            <w:vAlign w:val="bottom"/>
            <w:shd w:val="clear" w:color="auto" w:fill="BFE4FF"/>
          </w:tcPr>
          <w:p>
            <w:pPr>
              <w:spacing w:after="0" w:line="20" w:lineRule="exact"/>
              <w:rPr>
                <w:sz w:val="1"/>
                <w:szCs w:val="1"/>
                <w:color w:val="auto"/>
              </w:rPr>
            </w:pPr>
          </w:p>
        </w:tc>
        <w:tc>
          <w:tcPr>
            <w:tcW w:w="2160" w:type="dxa"/>
            <w:vAlign w:val="bottom"/>
            <w:shd w:val="clear" w:color="auto" w:fill="BFE4FF"/>
          </w:tcPr>
          <w:p>
            <w:pPr>
              <w:spacing w:after="0" w:line="20" w:lineRule="exact"/>
              <w:rPr>
                <w:sz w:val="1"/>
                <w:szCs w:val="1"/>
                <w:color w:val="auto"/>
              </w:rPr>
            </w:pPr>
          </w:p>
        </w:tc>
        <w:tc>
          <w:tcPr>
            <w:tcW w:w="360" w:type="dxa"/>
            <w:vAlign w:val="bottom"/>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460" w:type="dxa"/>
            <w:vAlign w:val="bottom"/>
            <w:shd w:val="clear" w:color="auto" w:fill="BFE4FF"/>
          </w:tcPr>
          <w:p>
            <w:pPr>
              <w:spacing w:after="0" w:line="20" w:lineRule="exact"/>
              <w:rPr>
                <w:sz w:val="1"/>
                <w:szCs w:val="1"/>
                <w:color w:val="auto"/>
              </w:rPr>
            </w:pPr>
          </w:p>
        </w:tc>
        <w:tc>
          <w:tcPr>
            <w:tcW w:w="320" w:type="dxa"/>
            <w:vAlign w:val="bottom"/>
            <w:shd w:val="clear" w:color="auto" w:fill="BFE4FF"/>
          </w:tcPr>
          <w:p>
            <w:pPr>
              <w:spacing w:after="0" w:line="20" w:lineRule="exact"/>
              <w:rPr>
                <w:sz w:val="1"/>
                <w:szCs w:val="1"/>
                <w:color w:val="auto"/>
              </w:rPr>
            </w:pPr>
          </w:p>
        </w:tc>
        <w:tc>
          <w:tcPr>
            <w:tcW w:w="400" w:type="dxa"/>
            <w:vAlign w:val="bottom"/>
            <w:shd w:val="clear" w:color="auto" w:fill="BFE4FF"/>
          </w:tcPr>
          <w:p>
            <w:pPr>
              <w:spacing w:after="0" w:line="20" w:lineRule="exact"/>
              <w:rPr>
                <w:sz w:val="1"/>
                <w:szCs w:val="1"/>
                <w:color w:val="auto"/>
              </w:rPr>
            </w:pPr>
          </w:p>
        </w:tc>
        <w:tc>
          <w:tcPr>
            <w:tcW w:w="480" w:type="dxa"/>
            <w:vAlign w:val="bottom"/>
            <w:shd w:val="clear" w:color="auto" w:fill="BFE4FF"/>
          </w:tcPr>
          <w:p>
            <w:pPr>
              <w:spacing w:after="0" w:line="20" w:lineRule="exact"/>
              <w:rPr>
                <w:sz w:val="1"/>
                <w:szCs w:val="1"/>
                <w:color w:val="auto"/>
              </w:rPr>
            </w:pPr>
          </w:p>
        </w:tc>
        <w:tc>
          <w:tcPr>
            <w:tcW w:w="440" w:type="dxa"/>
            <w:vAlign w:val="bottom"/>
            <w:shd w:val="clear" w:color="auto" w:fill="BFE4FF"/>
          </w:tcPr>
          <w:p>
            <w:pPr>
              <w:spacing w:after="0" w:line="20" w:lineRule="exact"/>
              <w:rPr>
                <w:sz w:val="1"/>
                <w:szCs w:val="1"/>
                <w:color w:val="auto"/>
              </w:rPr>
            </w:pPr>
          </w:p>
        </w:tc>
        <w:tc>
          <w:tcPr>
            <w:tcW w:w="280" w:type="dxa"/>
            <w:vAlign w:val="bottom"/>
            <w:tcBorders>
              <w:right w:val="single" w:sz="8" w:color="0000FF"/>
            </w:tcBorders>
            <w:shd w:val="clear" w:color="auto" w:fill="BFE4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56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600" w:type="dxa"/>
            <w:vAlign w:val="bottom"/>
            <w:shd w:val="clear" w:color="auto" w:fill="BFE4FF"/>
          </w:tcPr>
          <w:p>
            <w:pPr>
              <w:spacing w:after="0"/>
              <w:rPr>
                <w:sz w:val="13"/>
                <w:szCs w:val="13"/>
                <w:color w:val="auto"/>
              </w:rPr>
            </w:pPr>
          </w:p>
        </w:tc>
        <w:tc>
          <w:tcPr>
            <w:tcW w:w="9700" w:type="dxa"/>
            <w:vAlign w:val="bottom"/>
            <w:tcBorders>
              <w:right w:val="single" w:sz="8" w:color="BFE4FF"/>
            </w:tcBorders>
            <w:gridSpan w:val="17"/>
            <w:shd w:val="clear" w:color="auto" w:fill="BFE4FF"/>
          </w:tcPr>
          <w:p>
            <w:pPr>
              <w:spacing w:after="0" w:line="15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reference to Exhibit 3.1 to the Registrant’s Form 10-K filed March 8, 2021</w:t>
              </w:r>
              <w:r>
                <w:rPr>
                  <w:rFonts w:ascii="Arial" w:cs="Arial" w:eastAsia="Arial" w:hAnsi="Arial"/>
                  <w:sz w:val="18"/>
                  <w:szCs w:val="18"/>
                  <w:color w:val="000000"/>
                  <w:w w:val="98"/>
                </w:rPr>
                <w:t>), together with Articles of Amendment to Restated</w:t>
              </w:r>
            </w:hyperlink>
          </w:p>
        </w:tc>
        <w:tc>
          <w:tcPr>
            <w:tcW w:w="0" w:type="dxa"/>
            <w:vAlign w:val="bottom"/>
          </w:tcPr>
          <w:p>
            <w:pPr>
              <w:spacing w:after="0"/>
              <w:rPr>
                <w:sz w:val="1"/>
                <w:szCs w:val="1"/>
                <w:color w:val="auto"/>
              </w:rPr>
            </w:pPr>
          </w:p>
        </w:tc>
      </w:tr>
      <w:tr>
        <w:trPr>
          <w:trHeight w:val="156"/>
        </w:trPr>
        <w:tc>
          <w:tcPr>
            <w:tcW w:w="30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shd w:val="clear" w:color="auto" w:fill="BFE4FF"/>
          </w:tcPr>
          <w:p>
            <w:pPr>
              <w:spacing w:after="0"/>
              <w:rPr>
                <w:sz w:val="13"/>
                <w:szCs w:val="13"/>
                <w:color w:val="auto"/>
              </w:rPr>
            </w:pPr>
          </w:p>
        </w:tc>
        <w:tc>
          <w:tcPr>
            <w:tcW w:w="56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shd w:val="clear" w:color="auto" w:fill="BFE4FF"/>
          </w:tcPr>
          <w:p>
            <w:pPr>
              <w:spacing w:after="0"/>
              <w:rPr>
                <w:sz w:val="13"/>
                <w:szCs w:val="13"/>
                <w:color w:val="auto"/>
              </w:rPr>
            </w:pPr>
          </w:p>
        </w:tc>
        <w:tc>
          <w:tcPr>
            <w:tcW w:w="600" w:type="dxa"/>
            <w:vAlign w:val="bottom"/>
            <w:tcBorders>
              <w:top w:val="single" w:sz="8" w:color="BFE4FF"/>
            </w:tcBorders>
            <w:shd w:val="clear" w:color="auto" w:fill="BFE4FF"/>
          </w:tcPr>
          <w:p>
            <w:pPr>
              <w:spacing w:after="0"/>
              <w:rPr>
                <w:sz w:val="13"/>
                <w:szCs w:val="13"/>
                <w:color w:val="auto"/>
              </w:rPr>
            </w:pPr>
          </w:p>
        </w:tc>
        <w:tc>
          <w:tcPr>
            <w:tcW w:w="5740" w:type="dxa"/>
            <w:vAlign w:val="bottom"/>
            <w:tcBorders>
              <w:top w:val="single" w:sz="8" w:color="0000FF"/>
            </w:tcBorders>
            <w:gridSpan w:val="8"/>
            <w:shd w:val="clear" w:color="auto" w:fill="BFE4FF"/>
          </w:tcPr>
          <w:p>
            <w:pPr>
              <w:spacing w:after="0" w:line="156" w:lineRule="exact"/>
              <w:rPr>
                <w:rFonts w:ascii="Arial" w:cs="Arial" w:eastAsia="Arial" w:hAnsi="Arial"/>
                <w:sz w:val="18"/>
                <w:szCs w:val="18"/>
                <w:color w:val="auto"/>
                <w:w w:val="93"/>
              </w:rPr>
            </w:pPr>
            <w:hyperlink r:id="rId70">
              <w:r>
                <w:rPr>
                  <w:rFonts w:ascii="Arial" w:cs="Arial" w:eastAsia="Arial" w:hAnsi="Arial"/>
                  <w:sz w:val="18"/>
                  <w:szCs w:val="18"/>
                  <w:color w:val="auto"/>
                  <w:w w:val="93"/>
                </w:rPr>
                <w:t>Articles of Incorporation, effective June 3, 2021 (</w:t>
              </w:r>
              <w:r>
                <w:rPr>
                  <w:rFonts w:ascii="Arial" w:cs="Arial" w:eastAsia="Arial" w:hAnsi="Arial"/>
                  <w:sz w:val="18"/>
                  <w:szCs w:val="18"/>
                  <w:color w:val="0000FF"/>
                  <w:w w:val="93"/>
                </w:rPr>
                <w:t>incorporated by reference to</w:t>
              </w:r>
            </w:hyperlink>
          </w:p>
        </w:tc>
        <w:tc>
          <w:tcPr>
            <w:tcW w:w="3960" w:type="dxa"/>
            <w:vAlign w:val="bottom"/>
            <w:tcBorders>
              <w:top w:val="single" w:sz="8" w:color="BFE4FF"/>
              <w:right w:val="single" w:sz="8" w:color="BFE4FF"/>
            </w:tcBorders>
            <w:gridSpan w:val="9"/>
            <w:shd w:val="clear" w:color="auto" w:fill="BFE4FF"/>
          </w:tcPr>
          <w:p>
            <w:pPr>
              <w:jc w:val="right"/>
              <w:ind w:right="60"/>
              <w:spacing w:after="0" w:line="15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Exhibit 3.1 to the Registrant’s Current Report on Form</w:t>
              </w:r>
            </w:hyperlink>
          </w:p>
        </w:tc>
        <w:tc>
          <w:tcPr>
            <w:tcW w:w="0" w:type="dxa"/>
            <w:vAlign w:val="bottom"/>
          </w:tcPr>
          <w:p>
            <w:pPr>
              <w:spacing w:after="0"/>
              <w:rPr>
                <w:sz w:val="1"/>
                <w:szCs w:val="1"/>
                <w:color w:val="auto"/>
              </w:rPr>
            </w:pPr>
          </w:p>
        </w:tc>
      </w:tr>
      <w:tr>
        <w:trPr>
          <w:trHeight w:val="20"/>
        </w:trPr>
        <w:tc>
          <w:tcPr>
            <w:tcW w:w="30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56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60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1680" w:type="dxa"/>
            <w:vAlign w:val="bottom"/>
            <w:gridSpan w:val="2"/>
            <w:shd w:val="clear" w:color="auto" w:fill="BFE4FF"/>
          </w:tcPr>
          <w:p>
            <w:pPr>
              <w:spacing w:after="0" w:line="20" w:lineRule="exact"/>
              <w:rPr>
                <w:sz w:val="1"/>
                <w:szCs w:val="1"/>
                <w:color w:val="auto"/>
              </w:rPr>
            </w:pPr>
          </w:p>
        </w:tc>
        <w:tc>
          <w:tcPr>
            <w:tcW w:w="108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520" w:type="dxa"/>
            <w:vAlign w:val="bottom"/>
            <w:shd w:val="clear" w:color="auto" w:fill="BFE4FF"/>
          </w:tcPr>
          <w:p>
            <w:pPr>
              <w:spacing w:after="0" w:line="20" w:lineRule="exact"/>
              <w:rPr>
                <w:sz w:val="1"/>
                <w:szCs w:val="1"/>
                <w:color w:val="auto"/>
              </w:rPr>
            </w:pPr>
          </w:p>
        </w:tc>
        <w:tc>
          <w:tcPr>
            <w:tcW w:w="180" w:type="dxa"/>
            <w:vAlign w:val="bottom"/>
            <w:shd w:val="clear" w:color="auto" w:fill="BFE4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BFE4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56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600" w:type="dxa"/>
            <w:vAlign w:val="bottom"/>
            <w:shd w:val="clear" w:color="auto" w:fill="BFE4FF"/>
          </w:tcPr>
          <w:p>
            <w:pPr>
              <w:spacing w:after="0"/>
              <w:rPr>
                <w:sz w:val="13"/>
                <w:szCs w:val="13"/>
                <w:color w:val="auto"/>
              </w:rPr>
            </w:pPr>
          </w:p>
        </w:tc>
        <w:tc>
          <w:tcPr>
            <w:tcW w:w="9700" w:type="dxa"/>
            <w:vAlign w:val="bottom"/>
            <w:tcBorders>
              <w:right w:val="single" w:sz="8" w:color="BFE4FF"/>
            </w:tcBorders>
            <w:gridSpan w:val="17"/>
            <w:shd w:val="clear" w:color="auto" w:fill="BFE4FF"/>
          </w:tcPr>
          <w:p>
            <w:pPr>
              <w:spacing w:after="0" w:line="15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8-K filed June 10, 2021</w:t>
              </w:r>
              <w:r>
                <w:rPr>
                  <w:rFonts w:ascii="Arial" w:cs="Arial" w:eastAsia="Arial" w:hAnsi="Arial"/>
                  <w:sz w:val="18"/>
                  <w:szCs w:val="18"/>
                  <w:color w:val="000000"/>
                  <w:w w:val="94"/>
                </w:rPr>
                <w:t>) and Articles of Amendment to Restated Articles of Incorporation, effective June 3, 2021 (</w:t>
              </w:r>
              <w:r>
                <w:rPr>
                  <w:rFonts w:ascii="Arial" w:cs="Arial" w:eastAsia="Arial" w:hAnsi="Arial"/>
                  <w:sz w:val="18"/>
                  <w:szCs w:val="18"/>
                  <w:color w:val="0000FF"/>
                  <w:w w:val="94"/>
                </w:rPr>
                <w:t>incorporated by</w:t>
              </w:r>
            </w:hyperlink>
          </w:p>
        </w:tc>
        <w:tc>
          <w:tcPr>
            <w:tcW w:w="0" w:type="dxa"/>
            <w:vAlign w:val="bottom"/>
          </w:tcPr>
          <w:p>
            <w:pPr>
              <w:spacing w:after="0"/>
              <w:rPr>
                <w:sz w:val="1"/>
                <w:szCs w:val="1"/>
                <w:color w:val="auto"/>
              </w:rPr>
            </w:pPr>
          </w:p>
        </w:tc>
      </w:tr>
      <w:tr>
        <w:trPr>
          <w:trHeight w:val="155"/>
        </w:trPr>
        <w:tc>
          <w:tcPr>
            <w:tcW w:w="30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shd w:val="clear" w:color="auto" w:fill="BFE4FF"/>
          </w:tcPr>
          <w:p>
            <w:pPr>
              <w:spacing w:after="0"/>
              <w:rPr>
                <w:sz w:val="13"/>
                <w:szCs w:val="13"/>
                <w:color w:val="auto"/>
              </w:rPr>
            </w:pPr>
          </w:p>
        </w:tc>
        <w:tc>
          <w:tcPr>
            <w:tcW w:w="56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shd w:val="clear" w:color="auto" w:fill="BFE4FF"/>
          </w:tcPr>
          <w:p>
            <w:pPr>
              <w:spacing w:after="0"/>
              <w:rPr>
                <w:sz w:val="13"/>
                <w:szCs w:val="13"/>
                <w:color w:val="auto"/>
              </w:rPr>
            </w:pPr>
          </w:p>
        </w:tc>
        <w:tc>
          <w:tcPr>
            <w:tcW w:w="600" w:type="dxa"/>
            <w:vAlign w:val="bottom"/>
            <w:tcBorders>
              <w:top w:val="single" w:sz="8" w:color="BFE4FF"/>
            </w:tcBorders>
            <w:shd w:val="clear" w:color="auto" w:fill="BFE4FF"/>
          </w:tcPr>
          <w:p>
            <w:pPr>
              <w:spacing w:after="0"/>
              <w:rPr>
                <w:sz w:val="13"/>
                <w:szCs w:val="13"/>
                <w:color w:val="auto"/>
              </w:rPr>
            </w:pPr>
          </w:p>
        </w:tc>
        <w:tc>
          <w:tcPr>
            <w:tcW w:w="1740" w:type="dxa"/>
            <w:vAlign w:val="bottom"/>
            <w:tcBorders>
              <w:top w:val="single" w:sz="8" w:color="0000FF"/>
            </w:tcBorders>
            <w:gridSpan w:val="3"/>
            <w:shd w:val="clear" w:color="auto" w:fill="BFE4FF"/>
          </w:tcPr>
          <w:p>
            <w:pPr>
              <w:spacing w:after="0" w:line="15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reference to Exhibit 3.2</w:t>
              </w:r>
            </w:hyperlink>
          </w:p>
        </w:tc>
        <w:tc>
          <w:tcPr>
            <w:tcW w:w="6760" w:type="dxa"/>
            <w:vAlign w:val="bottom"/>
            <w:tcBorders>
              <w:top w:val="single" w:sz="8" w:color="BFE4FF"/>
              <w:right w:val="single" w:sz="8" w:color="BFE4FF"/>
            </w:tcBorders>
            <w:gridSpan w:val="13"/>
            <w:shd w:val="clear" w:color="auto" w:fill="BFE4FF"/>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to the Registrant’s Current Report on Form 8-K filed June 10, 2021</w:t>
              </w:r>
              <w:r>
                <w:rPr>
                  <w:rFonts w:ascii="Arial" w:cs="Arial" w:eastAsia="Arial" w:hAnsi="Arial"/>
                  <w:sz w:val="18"/>
                  <w:szCs w:val="18"/>
                  <w:color w:val="000000"/>
                </w:rPr>
                <w:t>).</w:t>
              </w:r>
            </w:hyperlink>
          </w:p>
        </w:tc>
        <w:tc>
          <w:tcPr>
            <w:tcW w:w="1200" w:type="dxa"/>
            <w:vAlign w:val="bottom"/>
            <w:tcBorders>
              <w:top w:val="single" w:sz="8" w:color="0000FF"/>
              <w:right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860" w:type="dxa"/>
            <w:vAlign w:val="bottom"/>
            <w:tcBorders>
              <w:top w:val="single" w:sz="8" w:color="0000FF"/>
            </w:tcBorders>
            <w:shd w:val="clear" w:color="auto" w:fill="BFE4FF"/>
          </w:tcPr>
          <w:p>
            <w:pPr>
              <w:spacing w:after="0" w:line="20" w:lineRule="exact"/>
              <w:rPr>
                <w:sz w:val="1"/>
                <w:szCs w:val="1"/>
                <w:color w:val="auto"/>
              </w:rPr>
            </w:pPr>
          </w:p>
        </w:tc>
        <w:tc>
          <w:tcPr>
            <w:tcW w:w="10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216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6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2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95"/>
              </w:rPr>
              <w:t>3.2</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gridSpan w:val="17"/>
          </w:tcPr>
          <w:p>
            <w:pPr>
              <w:spacing w:after="0" w:line="189" w:lineRule="exact"/>
              <w:rPr>
                <w:rFonts w:ascii="Arial" w:cs="Arial" w:eastAsia="Arial" w:hAnsi="Arial"/>
                <w:sz w:val="18"/>
                <w:szCs w:val="18"/>
                <w:color w:val="auto"/>
                <w:w w:val="97"/>
              </w:rPr>
            </w:pPr>
            <w:hyperlink r:id="rId72">
              <w:r>
                <w:rPr>
                  <w:rFonts w:ascii="Arial" w:cs="Arial" w:eastAsia="Arial" w:hAnsi="Arial"/>
                  <w:sz w:val="18"/>
                  <w:szCs w:val="18"/>
                  <w:color w:val="auto"/>
                  <w:w w:val="97"/>
                </w:rPr>
                <w:t>Bylaws of MiMedx Group, Inc., as amended and restated as of April 19, 2021 (</w:t>
              </w:r>
              <w:r>
                <w:rPr>
                  <w:rFonts w:ascii="Arial" w:cs="Arial" w:eastAsia="Arial" w:hAnsi="Arial"/>
                  <w:sz w:val="18"/>
                  <w:szCs w:val="18"/>
                  <w:color w:val="0000FF"/>
                  <w:w w:val="97"/>
                </w:rPr>
                <w:t>incorporated by reference to Exhibit 3.1 to the</w:t>
              </w:r>
            </w:hyperlink>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120" w:type="dxa"/>
            <w:vAlign w:val="bottom"/>
            <w:gridSpan w:val="10"/>
          </w:tcPr>
          <w:p>
            <w:pPr>
              <w:spacing w:after="0" w:line="15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Registrant’s Form 8-K filed on April 21, 2021</w:t>
              </w:r>
              <w:r>
                <w:rPr>
                  <w:rFonts w:ascii="Arial" w:cs="Arial" w:eastAsia="Arial" w:hAnsi="Arial"/>
                  <w:sz w:val="18"/>
                  <w:szCs w:val="18"/>
                  <w:color w:val="000000"/>
                  <w:w w:val="94"/>
                </w:rPr>
                <w:t>), together with Amendment No. 1 to</w:t>
              </w:r>
            </w:hyperlink>
          </w:p>
        </w:tc>
        <w:tc>
          <w:tcPr>
            <w:tcW w:w="3580" w:type="dxa"/>
            <w:vAlign w:val="bottom"/>
            <w:tcBorders>
              <w:top w:val="single" w:sz="8" w:color="0000FF"/>
            </w:tcBorders>
            <w:gridSpan w:val="7"/>
          </w:tcPr>
          <w:p>
            <w:pPr>
              <w:jc w:val="right"/>
              <w:ind w:right="60"/>
              <w:spacing w:after="0" w:line="156" w:lineRule="exact"/>
              <w:rPr>
                <w:rFonts w:ascii="Arial" w:cs="Arial" w:eastAsia="Arial" w:hAnsi="Arial"/>
                <w:sz w:val="18"/>
                <w:szCs w:val="18"/>
                <w:color w:val="auto"/>
                <w:w w:val="95"/>
              </w:rPr>
            </w:pPr>
            <w:hyperlink r:id="rId72">
              <w:r>
                <w:rPr>
                  <w:rFonts w:ascii="Arial" w:cs="Arial" w:eastAsia="Arial" w:hAnsi="Arial"/>
                  <w:sz w:val="18"/>
                  <w:szCs w:val="18"/>
                  <w:color w:val="auto"/>
                  <w:w w:val="95"/>
                </w:rPr>
                <w:t>the Company’s Bylaws effective May 27, 2021</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0" w:type="dxa"/>
            <w:vAlign w:val="bottom"/>
            <w:tcBorders>
              <w:top w:val="single" w:sz="8" w:color="0000FF"/>
            </w:tcBorders>
            <w:gridSpan w:val="6"/>
          </w:tcPr>
          <w:p>
            <w:pPr>
              <w:spacing w:after="0" w:line="156" w:lineRule="exact"/>
              <w:rPr>
                <w:rFonts w:ascii="Arial" w:cs="Arial" w:eastAsia="Arial" w:hAnsi="Arial"/>
                <w:sz w:val="18"/>
                <w:szCs w:val="18"/>
                <w:color w:val="auto"/>
                <w:w w:val="91"/>
              </w:rPr>
            </w:pPr>
            <w:r>
              <w:rPr>
                <w:rFonts w:ascii="Arial" w:cs="Arial" w:eastAsia="Arial" w:hAnsi="Arial"/>
                <w:sz w:val="18"/>
                <w:szCs w:val="18"/>
                <w:color w:val="auto"/>
                <w:w w:val="91"/>
              </w:rPr>
              <w:t>(</w:t>
            </w:r>
            <w:hyperlink r:id="rId73">
              <w:r>
                <w:rPr>
                  <w:rFonts w:ascii="Arial" w:cs="Arial" w:eastAsia="Arial" w:hAnsi="Arial"/>
                  <w:sz w:val="18"/>
                  <w:szCs w:val="18"/>
                  <w:color w:val="0000FF"/>
                  <w:w w:val="91"/>
                </w:rPr>
                <w:t xml:space="preserve">incorporated by reference to </w:t>
              </w:r>
            </w:hyperlink>
            <w:r>
              <w:rPr>
                <w:rFonts w:ascii="Arial" w:cs="Arial" w:eastAsia="Arial" w:hAnsi="Arial"/>
                <w:sz w:val="18"/>
                <w:szCs w:val="18"/>
                <w:color w:val="auto"/>
                <w:w w:val="91"/>
              </w:rPr>
              <w:t xml:space="preserve">Exhibit </w:t>
            </w:r>
            <w:hyperlink r:id="rId73">
              <w:r>
                <w:rPr>
                  <w:rFonts w:ascii="Arial" w:cs="Arial" w:eastAsia="Arial" w:hAnsi="Arial"/>
                  <w:sz w:val="18"/>
                  <w:szCs w:val="18"/>
                  <w:color w:val="0000FF"/>
                  <w:w w:val="91"/>
                </w:rPr>
                <w:t>3.1 to the</w:t>
              </w:r>
            </w:hyperlink>
          </w:p>
        </w:tc>
        <w:tc>
          <w:tcPr>
            <w:tcW w:w="6300" w:type="dxa"/>
            <w:vAlign w:val="bottom"/>
            <w:gridSpan w:val="11"/>
          </w:tcPr>
          <w:p>
            <w:pPr>
              <w:jc w:val="right"/>
              <w:ind w:right="1800"/>
              <w:spacing w:after="0" w:line="156" w:lineRule="exact"/>
              <w:rPr>
                <w:rFonts w:ascii="Arial" w:cs="Arial" w:eastAsia="Arial" w:hAnsi="Arial"/>
                <w:sz w:val="18"/>
                <w:szCs w:val="18"/>
                <w:color w:val="0000FF"/>
                <w:w w:val="91"/>
              </w:rPr>
            </w:pPr>
            <w:r>
              <w:rPr>
                <w:rFonts w:ascii="Arial" w:cs="Arial" w:eastAsia="Arial" w:hAnsi="Arial"/>
                <w:sz w:val="18"/>
                <w:szCs w:val="18"/>
                <w:color w:val="0000FF"/>
                <w:w w:val="91"/>
              </w:rPr>
              <w:t xml:space="preserve">Registrant’s </w:t>
            </w:r>
            <w:hyperlink r:id="rId73">
              <w:r>
                <w:rPr>
                  <w:rFonts w:ascii="Arial" w:cs="Arial" w:eastAsia="Arial" w:hAnsi="Arial"/>
                  <w:sz w:val="18"/>
                  <w:szCs w:val="18"/>
                  <w:color w:val="0000FF"/>
                  <w:w w:val="91"/>
                </w:rPr>
                <w:t xml:space="preserve">Current Report on Form 8-K </w:t>
              </w:r>
            </w:hyperlink>
            <w:r>
              <w:rPr>
                <w:rFonts w:ascii="Arial" w:cs="Arial" w:eastAsia="Arial" w:hAnsi="Arial"/>
                <w:sz w:val="18"/>
                <w:szCs w:val="18"/>
                <w:color w:val="0000FF"/>
                <w:w w:val="91"/>
              </w:rPr>
              <w:t xml:space="preserve">Filed </w:t>
            </w:r>
            <w:hyperlink r:id="rId73">
              <w:r>
                <w:rPr>
                  <w:rFonts w:ascii="Arial" w:cs="Arial" w:eastAsia="Arial" w:hAnsi="Arial"/>
                  <w:sz w:val="18"/>
                  <w:szCs w:val="18"/>
                  <w:color w:val="0000FF"/>
                  <w:w w:val="91"/>
                </w:rPr>
                <w:t>June 3, 2021</w:t>
              </w:r>
            </w:hyperlink>
            <w:r>
              <w:rPr>
                <w:rFonts w:ascii="Arial" w:cs="Arial" w:eastAsia="Arial" w:hAnsi="Arial"/>
                <w:sz w:val="18"/>
                <w:szCs w:val="18"/>
                <w:color w:val="000000"/>
                <w:w w:val="91"/>
              </w:rPr>
              <w:t>).</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88"/>
              </w:rPr>
              <w:t>10.1#</w:t>
            </w:r>
          </w:p>
        </w:tc>
        <w:tc>
          <w:tcPr>
            <w:tcW w:w="40" w:type="dxa"/>
            <w:vAlign w:val="bottom"/>
            <w:shd w:val="clear" w:color="auto" w:fill="BFE4FF"/>
          </w:tcPr>
          <w:p>
            <w:pPr>
              <w:spacing w:after="0"/>
              <w:rPr>
                <w:sz w:val="18"/>
                <w:szCs w:val="18"/>
                <w:color w:val="auto"/>
              </w:rPr>
            </w:pPr>
          </w:p>
        </w:tc>
        <w:tc>
          <w:tcPr>
            <w:tcW w:w="600" w:type="dxa"/>
            <w:vAlign w:val="bottom"/>
            <w:shd w:val="clear" w:color="auto" w:fill="BFE4FF"/>
          </w:tcPr>
          <w:p>
            <w:pPr>
              <w:spacing w:after="0"/>
              <w:rPr>
                <w:sz w:val="18"/>
                <w:szCs w:val="18"/>
                <w:color w:val="auto"/>
              </w:rPr>
            </w:pPr>
          </w:p>
        </w:tc>
        <w:tc>
          <w:tcPr>
            <w:tcW w:w="9700" w:type="dxa"/>
            <w:vAlign w:val="bottom"/>
            <w:tcBorders>
              <w:right w:val="single" w:sz="8" w:color="BFE4FF"/>
            </w:tcBorders>
            <w:gridSpan w:val="17"/>
            <w:shd w:val="clear" w:color="auto" w:fill="BFE4FF"/>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Employment Offer Letter between the Company and Peter M. Carlson, as amended and restated on June 30, 2021.</w:t>
              </w:r>
            </w:hyperlink>
          </w:p>
        </w:tc>
        <w:tc>
          <w:tcPr>
            <w:tcW w:w="0" w:type="dxa"/>
            <w:vAlign w:val="bottom"/>
          </w:tcPr>
          <w:p>
            <w:pPr>
              <w:spacing w:after="0"/>
              <w:rPr>
                <w:sz w:val="1"/>
                <w:szCs w:val="1"/>
                <w:color w:val="auto"/>
              </w:rPr>
            </w:pPr>
          </w:p>
        </w:tc>
      </w:tr>
      <w:tr>
        <w:trPr>
          <w:trHeight w:val="189"/>
        </w:trPr>
        <w:tc>
          <w:tcPr>
            <w:tcW w:w="900" w:type="dxa"/>
            <w:vAlign w:val="bottom"/>
            <w:tcBorders>
              <w:top w:val="single" w:sz="8" w:color="BFE4FF"/>
            </w:tcBorders>
            <w:gridSpan w:val="3"/>
          </w:tcPr>
          <w:p>
            <w:pPr>
              <w:jc w:val="center"/>
              <w:ind w:left="250"/>
              <w:spacing w:after="0" w:line="189" w:lineRule="exact"/>
              <w:rPr>
                <w:sz w:val="20"/>
                <w:szCs w:val="20"/>
                <w:color w:val="auto"/>
              </w:rPr>
            </w:pPr>
            <w:r>
              <w:rPr>
                <w:rFonts w:ascii="Arial" w:cs="Arial" w:eastAsia="Arial" w:hAnsi="Arial"/>
                <w:sz w:val="18"/>
                <w:szCs w:val="18"/>
                <w:color w:val="auto"/>
                <w:w w:val="88"/>
              </w:rPr>
              <w:t>10.2#</w:t>
            </w:r>
          </w:p>
        </w:tc>
        <w:tc>
          <w:tcPr>
            <w:tcW w:w="40" w:type="dxa"/>
            <w:vAlign w:val="bottom"/>
            <w:tcBorders>
              <w:top w:val="single" w:sz="8" w:color="BFE4FF"/>
            </w:tcBorders>
          </w:tcPr>
          <w:p>
            <w:pPr>
              <w:spacing w:after="0"/>
              <w:rPr>
                <w:sz w:val="16"/>
                <w:szCs w:val="16"/>
                <w:color w:val="auto"/>
              </w:rPr>
            </w:pPr>
          </w:p>
        </w:tc>
        <w:tc>
          <w:tcPr>
            <w:tcW w:w="600" w:type="dxa"/>
            <w:vAlign w:val="bottom"/>
            <w:tcBorders>
              <w:top w:val="single" w:sz="8" w:color="BFE4FF"/>
            </w:tcBorders>
          </w:tcPr>
          <w:p>
            <w:pPr>
              <w:spacing w:after="0"/>
              <w:rPr>
                <w:sz w:val="16"/>
                <w:szCs w:val="16"/>
                <w:color w:val="auto"/>
              </w:rPr>
            </w:pPr>
          </w:p>
        </w:tc>
        <w:tc>
          <w:tcPr>
            <w:tcW w:w="8220" w:type="dxa"/>
            <w:vAlign w:val="bottom"/>
            <w:tcBorders>
              <w:top w:val="single" w:sz="8" w:color="0000FF"/>
            </w:tcBorders>
            <w:gridSpan w:val="15"/>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Form of Director Restricted Stock Unit Award Agreement (Type I - Initial Grant, Full Amount).</w:t>
              </w:r>
            </w:hyperlink>
          </w:p>
        </w:tc>
        <w:tc>
          <w:tcPr>
            <w:tcW w:w="1480" w:type="dxa"/>
            <w:vAlign w:val="bottom"/>
            <w:tcBorders>
              <w:top w:val="single" w:sz="8" w:color="BFE4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Borders>
              <w:bottom w:val="single" w:sz="8" w:color="BFE4FF"/>
            </w:tcBorders>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88"/>
              </w:rPr>
              <w:t>10.3#</w:t>
            </w:r>
          </w:p>
        </w:tc>
        <w:tc>
          <w:tcPr>
            <w:tcW w:w="40" w:type="dxa"/>
            <w:vAlign w:val="bottom"/>
            <w:tcBorders>
              <w:bottom w:val="single" w:sz="8" w:color="BFE4FF"/>
            </w:tcBorders>
            <w:shd w:val="clear" w:color="auto" w:fill="BFE4FF"/>
          </w:tcPr>
          <w:p>
            <w:pPr>
              <w:spacing w:after="0"/>
              <w:rPr>
                <w:sz w:val="18"/>
                <w:szCs w:val="18"/>
                <w:color w:val="auto"/>
              </w:rPr>
            </w:pPr>
          </w:p>
        </w:tc>
        <w:tc>
          <w:tcPr>
            <w:tcW w:w="600" w:type="dxa"/>
            <w:vAlign w:val="bottom"/>
            <w:tcBorders>
              <w:bottom w:val="single" w:sz="8" w:color="BFE4FF"/>
            </w:tcBorders>
            <w:shd w:val="clear" w:color="auto" w:fill="BFE4FF"/>
          </w:tcPr>
          <w:p>
            <w:pPr>
              <w:spacing w:after="0"/>
              <w:rPr>
                <w:sz w:val="18"/>
                <w:szCs w:val="18"/>
                <w:color w:val="auto"/>
              </w:rPr>
            </w:pPr>
          </w:p>
        </w:tc>
        <w:tc>
          <w:tcPr>
            <w:tcW w:w="7300" w:type="dxa"/>
            <w:vAlign w:val="bottom"/>
            <w:tcBorders>
              <w:bottom w:val="single" w:sz="8" w:color="0000FF"/>
            </w:tcBorders>
            <w:gridSpan w:val="13"/>
            <w:shd w:val="clear" w:color="auto" w:fill="BFE4FF"/>
          </w:tcPr>
          <w:p>
            <w:pPr>
              <w:spacing w:after="0" w:line="189"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Form of Director Restricted Stock Unit Award Agreement (Type II - Initial Grant, Pro Rata Amount).</w:t>
              </w:r>
            </w:hyperlink>
          </w:p>
        </w:tc>
        <w:tc>
          <w:tcPr>
            <w:tcW w:w="2400" w:type="dxa"/>
            <w:vAlign w:val="bottom"/>
            <w:tcBorders>
              <w:bottom w:val="single" w:sz="8" w:color="BFE4FF"/>
              <w:right w:val="single" w:sz="8" w:color="BFE4FF"/>
            </w:tcBorders>
            <w:gridSpan w:val="4"/>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0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88"/>
              </w:rPr>
              <w:t>10.4#</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gridSpan w:val="17"/>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Form of Director Restricted Stock Unit Award Agreement (Type III - Annual Grant).</w:t>
              </w:r>
            </w:hyperlink>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87"/>
              </w:rPr>
              <w:t>31.1 #</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700" w:type="dxa"/>
            <w:vAlign w:val="bottom"/>
            <w:tcBorders>
              <w:right w:val="single" w:sz="8" w:color="BFE4FF"/>
            </w:tcBorders>
            <w:gridSpan w:val="17"/>
            <w:shd w:val="clear" w:color="auto" w:fill="BFE4FF"/>
          </w:tcPr>
          <w:p>
            <w:pPr>
              <w:spacing w:after="0" w:line="189" w:lineRule="exact"/>
              <w:rPr>
                <w:rFonts w:ascii="Arial" w:cs="Arial" w:eastAsia="Arial" w:hAnsi="Arial"/>
                <w:sz w:val="18"/>
                <w:szCs w:val="18"/>
                <w:color w:val="0000FF"/>
              </w:rPr>
            </w:pPr>
            <w:hyperlink w:anchor="page64">
              <w:r>
                <w:rPr>
                  <w:rFonts w:ascii="Arial" w:cs="Arial" w:eastAsia="Arial" w:hAnsi="Arial"/>
                  <w:sz w:val="18"/>
                  <w:szCs w:val="18"/>
                  <w:color w:val="0000FF"/>
                </w:rPr>
                <w:t xml:space="preserve">Certification of Chief Executive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302 of the Sarbanes-Oxley Act of 2002.</w:t>
            </w:r>
          </w:p>
        </w:tc>
        <w:tc>
          <w:tcPr>
            <w:tcW w:w="0" w:type="dxa"/>
            <w:vAlign w:val="bottom"/>
          </w:tcPr>
          <w:p>
            <w:pPr>
              <w:spacing w:after="0"/>
              <w:rPr>
                <w:sz w:val="1"/>
                <w:szCs w:val="1"/>
                <w:color w:val="auto"/>
              </w:rPr>
            </w:pPr>
          </w:p>
        </w:tc>
      </w:tr>
      <w:tr>
        <w:trPr>
          <w:trHeight w:val="20"/>
        </w:trPr>
        <w:tc>
          <w:tcPr>
            <w:tcW w:w="30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860" w:type="dxa"/>
            <w:vAlign w:val="bottom"/>
            <w:tcBorders>
              <w:top w:val="single" w:sz="8" w:color="0000FF"/>
            </w:tcBorders>
            <w:shd w:val="clear" w:color="auto" w:fill="BFE4FF"/>
          </w:tcPr>
          <w:p>
            <w:pPr>
              <w:spacing w:after="0" w:line="20" w:lineRule="exact"/>
              <w:rPr>
                <w:sz w:val="1"/>
                <w:szCs w:val="1"/>
                <w:color w:val="auto"/>
              </w:rPr>
            </w:pPr>
          </w:p>
        </w:tc>
        <w:tc>
          <w:tcPr>
            <w:tcW w:w="10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16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6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2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87"/>
              </w:rPr>
              <w:t>31.2 #</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gridSpan w:val="17"/>
          </w:tcPr>
          <w:p>
            <w:pPr>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 xml:space="preserve">Certification of Chief Financial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302 of the Sarbanes-Oxley Act of 2002.</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87"/>
              </w:rPr>
              <w:t>32.1 #</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700" w:type="dxa"/>
            <w:vAlign w:val="bottom"/>
            <w:tcBorders>
              <w:right w:val="single" w:sz="8" w:color="BFE4FF"/>
            </w:tcBorders>
            <w:gridSpan w:val="17"/>
            <w:shd w:val="clear" w:color="auto" w:fill="BFE4FF"/>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 xml:space="preserve">Certification of Chief Executive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906 of the Sarbanes-Oxley Act of 2002.</w:t>
            </w:r>
          </w:p>
        </w:tc>
        <w:tc>
          <w:tcPr>
            <w:tcW w:w="0" w:type="dxa"/>
            <w:vAlign w:val="bottom"/>
          </w:tcPr>
          <w:p>
            <w:pPr>
              <w:spacing w:after="0"/>
              <w:rPr>
                <w:sz w:val="1"/>
                <w:szCs w:val="1"/>
                <w:color w:val="auto"/>
              </w:rPr>
            </w:pPr>
          </w:p>
        </w:tc>
      </w:tr>
      <w:tr>
        <w:trPr>
          <w:trHeight w:val="21"/>
        </w:trPr>
        <w:tc>
          <w:tcPr>
            <w:tcW w:w="30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860" w:type="dxa"/>
            <w:vAlign w:val="bottom"/>
            <w:tcBorders>
              <w:top w:val="single" w:sz="8" w:color="0000FF"/>
            </w:tcBorders>
            <w:shd w:val="clear" w:color="auto" w:fill="BFE4FF"/>
          </w:tcPr>
          <w:p>
            <w:pPr>
              <w:spacing w:after="0" w:line="20" w:lineRule="exact"/>
              <w:rPr>
                <w:sz w:val="1"/>
                <w:szCs w:val="1"/>
                <w:color w:val="auto"/>
              </w:rPr>
            </w:pPr>
          </w:p>
        </w:tc>
        <w:tc>
          <w:tcPr>
            <w:tcW w:w="10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16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6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2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87"/>
              </w:rPr>
              <w:t>32.2 #</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gridSpan w:val="17"/>
          </w:tcPr>
          <w:p>
            <w:pPr>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 xml:space="preserve">Certification of Chief Financial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906 of the Sarbanes-Oxley Act of 2002.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40" w:type="dxa"/>
            <w:vAlign w:val="bottom"/>
            <w:gridSpan w:val="5"/>
            <w:shd w:val="clear" w:color="auto" w:fill="BFE4FF"/>
          </w:tcPr>
          <w:p>
            <w:pPr>
              <w:jc w:val="center"/>
              <w:ind w:right="280"/>
              <w:spacing w:after="0"/>
              <w:rPr>
                <w:sz w:val="20"/>
                <w:szCs w:val="20"/>
                <w:color w:val="auto"/>
              </w:rPr>
            </w:pPr>
            <w:r>
              <w:rPr>
                <w:rFonts w:ascii="Arial" w:cs="Arial" w:eastAsia="Arial" w:hAnsi="Arial"/>
                <w:sz w:val="18"/>
                <w:szCs w:val="18"/>
                <w:color w:val="auto"/>
                <w:w w:val="92"/>
              </w:rPr>
              <w:t>101.INS #</w:t>
            </w:r>
          </w:p>
        </w:tc>
        <w:tc>
          <w:tcPr>
            <w:tcW w:w="9700" w:type="dxa"/>
            <w:vAlign w:val="bottom"/>
            <w:tcBorders>
              <w:right w:val="single" w:sz="8" w:color="BFE4FF"/>
            </w:tcBorders>
            <w:gridSpan w:val="17"/>
            <w:shd w:val="clear" w:color="auto" w:fill="BFE4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154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101.SCH #</w:t>
            </w: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540" w:type="dxa"/>
            <w:vAlign w:val="bottom"/>
            <w:gridSpan w:val="5"/>
            <w:shd w:val="clear" w:color="auto" w:fill="BFE4FF"/>
          </w:tcPr>
          <w:p>
            <w:pPr>
              <w:jc w:val="center"/>
              <w:ind w:right="300"/>
              <w:spacing w:after="0"/>
              <w:rPr>
                <w:sz w:val="20"/>
                <w:szCs w:val="20"/>
                <w:color w:val="auto"/>
              </w:rPr>
            </w:pPr>
            <w:r>
              <w:rPr>
                <w:rFonts w:ascii="Arial" w:cs="Arial" w:eastAsia="Arial" w:hAnsi="Arial"/>
                <w:sz w:val="18"/>
                <w:szCs w:val="18"/>
                <w:color w:val="auto"/>
                <w:w w:val="94"/>
              </w:rPr>
              <w:t>101.CAL #</w:t>
            </w:r>
          </w:p>
        </w:tc>
        <w:tc>
          <w:tcPr>
            <w:tcW w:w="9700" w:type="dxa"/>
            <w:vAlign w:val="bottom"/>
            <w:tcBorders>
              <w:right w:val="single" w:sz="8" w:color="BFE4FF"/>
            </w:tcBorders>
            <w:gridSpan w:val="17"/>
            <w:shd w:val="clear" w:color="auto" w:fill="BFE4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54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101.DEF #</w:t>
            </w: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540" w:type="dxa"/>
            <w:vAlign w:val="bottom"/>
            <w:gridSpan w:val="5"/>
            <w:shd w:val="clear" w:color="auto" w:fill="BFE4FF"/>
          </w:tcPr>
          <w:p>
            <w:pPr>
              <w:jc w:val="center"/>
              <w:ind w:right="300"/>
              <w:spacing w:after="0"/>
              <w:rPr>
                <w:sz w:val="20"/>
                <w:szCs w:val="20"/>
                <w:color w:val="auto"/>
              </w:rPr>
            </w:pPr>
            <w:r>
              <w:rPr>
                <w:rFonts w:ascii="Arial" w:cs="Arial" w:eastAsia="Arial" w:hAnsi="Arial"/>
                <w:sz w:val="18"/>
                <w:szCs w:val="18"/>
                <w:color w:val="auto"/>
                <w:w w:val="95"/>
              </w:rPr>
              <w:t>101.LAB #</w:t>
            </w:r>
          </w:p>
        </w:tc>
        <w:tc>
          <w:tcPr>
            <w:tcW w:w="9700" w:type="dxa"/>
            <w:vAlign w:val="bottom"/>
            <w:tcBorders>
              <w:right w:val="single" w:sz="8" w:color="BFE4FF"/>
            </w:tcBorders>
            <w:gridSpan w:val="17"/>
            <w:shd w:val="clear" w:color="auto" w:fill="BFE4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540" w:type="dxa"/>
            <w:vAlign w:val="bottom"/>
            <w:gridSpan w:val="5"/>
          </w:tcPr>
          <w:p>
            <w:pPr>
              <w:jc w:val="center"/>
              <w:ind w:right="280"/>
              <w:spacing w:after="0"/>
              <w:rPr>
                <w:sz w:val="20"/>
                <w:szCs w:val="20"/>
                <w:color w:val="auto"/>
              </w:rPr>
            </w:pPr>
            <w:r>
              <w:rPr>
                <w:rFonts w:ascii="Arial" w:cs="Arial" w:eastAsia="Arial" w:hAnsi="Arial"/>
                <w:sz w:val="18"/>
                <w:szCs w:val="18"/>
                <w:color w:val="auto"/>
                <w:w w:val="89"/>
              </w:rPr>
              <w:t>101.PRE #</w:t>
            </w: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27171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580" w:hanging="554"/>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6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August 3, 2021</w:t>
      </w:r>
      <w:r>
        <w:rPr>
          <w:sz w:val="20"/>
          <w:szCs w:val="20"/>
          <w:color w:val="auto"/>
        </w:rPr>
        <w:tab/>
      </w:r>
      <w:r>
        <w:rPr>
          <w:rFonts w:ascii="Arial" w:cs="Arial" w:eastAsia="Arial" w:hAnsi="Arial"/>
          <w:sz w:val="17"/>
          <w:szCs w:val="17"/>
          <w:color w:val="auto"/>
        </w:rPr>
        <w:t>MIMEDX GROUP, INC.</w:t>
      </w:r>
    </w:p>
    <w:p>
      <w:pPr>
        <w:spacing w:after="0" w:line="252" w:lineRule="exact"/>
        <w:rPr>
          <w:sz w:val="20"/>
          <w:szCs w:val="20"/>
          <w:color w:val="auto"/>
        </w:rPr>
      </w:pPr>
    </w:p>
    <w:p>
      <w:pPr>
        <w:ind w:left="5520"/>
        <w:spacing w:after="0"/>
        <w:tabs>
          <w:tab w:leader="none" w:pos="6020" w:val="left"/>
        </w:tabs>
        <w:rPr>
          <w:sz w:val="20"/>
          <w:szCs w:val="20"/>
          <w:color w:val="auto"/>
        </w:rPr>
      </w:pPr>
      <w:r>
        <w:rPr>
          <w:rFonts w:ascii="Arial" w:cs="Arial" w:eastAsia="Arial" w:hAnsi="Arial"/>
          <w:sz w:val="18"/>
          <w:szCs w:val="18"/>
          <w:color w:val="auto"/>
        </w:rPr>
        <w:t>By:</w:t>
        <w:tab/>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Peter M. Carlson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053" w:right="359" w:bottom="1440" w:gutter="0" w:footer="0" w:header="0"/>
        </w:sectPr>
      </w:pPr>
    </w:p>
    <w:bookmarkStart w:id="46" w:name="page47"/>
    <w:bookmarkEnd w:id="46"/>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41148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as of June 30,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Mr. Peter M. Carlson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Pete,</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am pleased to confirm our offer of employment to you for the position of Chief Financial Officer on behalf of MiMedx Group, Inc. (“MiMedx” or “Company”), which employment is to commence on or around December 16, 2019. In this position, you will report directly to Timothy R. Wright, Chief Executive Officer.</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Upon commencement of employment with the Company, you shall have the title “Senior Vice President - Finance.” However, during the period commencing on the first date of employment with the Company and ending on the first business day after the Company files with the Securities and Exchange Commission the Company’s annual report on Form 10-K for the fiscal years ended December 31, 2018 (the “</w:t>
      </w:r>
      <w:r>
        <w:rPr>
          <w:rFonts w:ascii="Arial" w:cs="Arial" w:eastAsia="Arial" w:hAnsi="Arial"/>
          <w:sz w:val="19"/>
          <w:szCs w:val="19"/>
          <w:b w:val="1"/>
          <w:bCs w:val="1"/>
          <w:color w:val="auto"/>
        </w:rPr>
        <w:t>Transition Period</w:t>
      </w:r>
      <w:r>
        <w:rPr>
          <w:rFonts w:ascii="Arial" w:cs="Arial" w:eastAsia="Arial" w:hAnsi="Arial"/>
          <w:sz w:val="19"/>
          <w:szCs w:val="19"/>
          <w:color w:val="auto"/>
        </w:rPr>
        <w:t>”), the Company currently intends that Ed Borkowski (“Borkowski”) shall remain principal financial and accounting officer of the Company and perform all functions commensurate with that role. During the Transition Period, you shall not enter into any agreement that creates any binding obligation on behalf of Company without the express prior written consent of the Company’s Chief Executive Officer. During the Transition Period, Borkowski will perform the duties of the Company’s principal financial and accounting officer and execute and deliver to Company the signatures and certifications required in connection with the filing of the Super 10-K with the SEC in his capacity as principal financial officer and principal accounting officer of Company.</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the filing of the Form 10-K for the year ended December 31, 2018, the Company expects that you will assume the role of principal financial and accounting officer.</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Your initial base salary will be $20,192 (gross before deductions) per biweekly pay period, which is equivalent to the gross amount of $525,000 on an annualized basis. Your salary will be payable on a biweekly basis. Your future salary adjustments will be in accordance with Company policy and based upon individual and Company performance.</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an incentive to enter into the employ of the Company, you will be eligible to receive a one-time bonus payment in the amount of $50,000 (gross before deductions). This amount will be payable within forty-five (45) days following the commencement of your employment with MiMedx. You must be an active employee with the Company on the date of payment in order to remain eligible for the above referenced one-time bonus. In accordance with Company policy, should you voluntarily elect to discontinue employment with MiMedx within twelve (12) months following the date that the above-described one-time bonus was paid, you agree to repay to MiMedx the full amount of the one-time bonus paid to you.</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You will be eligible to participate in the MiMedx Group Management Incentive Plan (“MIP”) with an annual target bonus amount equal to fifty-five percent (55%) of the base salary paid to you in accordance with the terms of such program in effect from time-to-time. You will be eligible to begin participating in the MIP effective January 1, 2020. Your 2020 MIP incentive will be calculated based on the achievement of MiMedx financial targets and your individual objectives. The individual objectives will be comprised of one or more key operational measures and/or outcomes that are specific to your position and directly influenced by your performance. In the 2020 MIP, specified portions of your above-referenced target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5A5A5A"/>
        </w:rPr>
        <w:t xml:space="preserve">MiMedx Group, Inc. </w:t>
      </w:r>
      <w:r>
        <w:rPr>
          <w:rFonts w:ascii="Arial" w:cs="Arial" w:eastAsia="Arial" w:hAnsi="Arial"/>
          <w:sz w:val="14"/>
          <w:szCs w:val="14"/>
          <w:color w:val="005A9B"/>
        </w:rPr>
        <w:t>|</w:t>
      </w:r>
      <w:r>
        <w:rPr>
          <w:rFonts w:ascii="Arial" w:cs="Arial" w:eastAsia="Arial" w:hAnsi="Arial"/>
          <w:sz w:val="14"/>
          <w:szCs w:val="14"/>
          <w:color w:val="5A5A5A"/>
        </w:rPr>
        <w:t xml:space="preserve"> 1775 West Oak Commons Ct NE </w:t>
      </w:r>
      <w:r>
        <w:rPr>
          <w:rFonts w:ascii="Arial" w:cs="Arial" w:eastAsia="Arial" w:hAnsi="Arial"/>
          <w:sz w:val="14"/>
          <w:szCs w:val="14"/>
          <w:color w:val="005A9B"/>
        </w:rPr>
        <w:t>|</w:t>
      </w:r>
      <w:r>
        <w:rPr>
          <w:rFonts w:ascii="Arial" w:cs="Arial" w:eastAsia="Arial" w:hAnsi="Arial"/>
          <w:sz w:val="14"/>
          <w:szCs w:val="14"/>
          <w:color w:val="5A5A5A"/>
        </w:rPr>
        <w:t xml:space="preserve"> Marietta, GA 30062 </w:t>
      </w:r>
      <w:r>
        <w:rPr>
          <w:rFonts w:ascii="Arial" w:cs="Arial" w:eastAsia="Arial" w:hAnsi="Arial"/>
          <w:sz w:val="14"/>
          <w:szCs w:val="14"/>
          <w:color w:val="005A9B"/>
        </w:rPr>
        <w:t>|</w:t>
      </w:r>
      <w:r>
        <w:rPr>
          <w:rFonts w:ascii="Arial" w:cs="Arial" w:eastAsia="Arial" w:hAnsi="Arial"/>
          <w:sz w:val="14"/>
          <w:szCs w:val="14"/>
          <w:color w:val="5A5A5A"/>
        </w:rPr>
        <w:t xml:space="preserve"> 770.651.9100 </w:t>
      </w:r>
      <w:r>
        <w:rPr>
          <w:rFonts w:ascii="Arial" w:cs="Arial" w:eastAsia="Arial" w:hAnsi="Arial"/>
          <w:sz w:val="14"/>
          <w:szCs w:val="14"/>
          <w:color w:val="005A9B"/>
        </w:rPr>
        <w:t>|</w:t>
      </w:r>
      <w:r>
        <w:rPr>
          <w:rFonts w:ascii="Arial" w:cs="Arial" w:eastAsia="Arial" w:hAnsi="Arial"/>
          <w:sz w:val="14"/>
          <w:szCs w:val="14"/>
          <w:color w:val="5A5A5A"/>
        </w:rPr>
        <w:t xml:space="preserve"> Fax 770.590.3550 </w:t>
      </w:r>
      <w:r>
        <w:rPr>
          <w:rFonts w:ascii="Arial" w:cs="Arial" w:eastAsia="Arial" w:hAnsi="Arial"/>
          <w:sz w:val="14"/>
          <w:szCs w:val="14"/>
          <w:color w:val="005A9B"/>
        </w:rPr>
        <w:t>|</w:t>
      </w:r>
      <w:r>
        <w:rPr>
          <w:rFonts w:ascii="Arial" w:cs="Arial" w:eastAsia="Arial" w:hAnsi="Arial"/>
          <w:sz w:val="14"/>
          <w:szCs w:val="14"/>
          <w:color w:val="5A5A5A"/>
        </w:rPr>
        <w:t xml:space="preserve"> </w:t>
      </w:r>
      <w:r>
        <w:rPr>
          <w:rFonts w:ascii="Arial" w:cs="Arial" w:eastAsia="Arial" w:hAnsi="Arial"/>
          <w:sz w:val="19"/>
          <w:szCs w:val="19"/>
          <w:u w:val="single" w:color="auto"/>
          <w:color w:val="5A5A5A"/>
        </w:rPr>
        <w:t>www.mimedx.com</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bonus are expected to be allocated to a) MiMedx revenue performance, b) MiMedx Adjusted Earnings Before Interest, Taxes, Depreciation and Amortization (“Adjusted EBITDA”) and c) your performance in the attainment of your 2020 individual objectives. Following the final approval of the 2020 MIP by the MiMedx Board of Directors, you will receive further confirmation of the details of the 2020 MIP.</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Based on the Company’s analysis of competitive data, the Company has established a target annual long-term incentive value for each position eligible to participate in the Company’s stock incentive program. This target is expressed as a percentage of the participant’s annual base salary, and is used as a guide by which to measure the appropriate and competitive value of the annual equity grant to be proposed by the Company for approval by the Compensation committee. In your position, your target annual long-term incentive value is two hundred percent (200%) of your annual base salary.</w:t>
      </w:r>
    </w:p>
    <w:p>
      <w:pPr>
        <w:spacing w:after="0" w:line="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an incentive to enter into employ of the Company, you will be eligible for a restricted stock grant with a value of $350,000 dollars; the grant is contingent upon approval of the Board of Directors, but the Company agrees to recommend the grant to the Board no later than the next meeting of the Board. The grant will be made on later of the date your employment commences or the date the Board approves the grant (the “Grant Date”). The award will vest pro rata annually over three years, provided that you continue to be employed by the Company on each vesting date. The number of shares granted will be equal to such value divided by our closing stock price on the Grant Date.</w:t>
      </w:r>
    </w:p>
    <w:p>
      <w:pPr>
        <w:spacing w:after="0" w:line="5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an additional incentive to enter into employ of the Company, you will be eligible for an additional restricted stock grant with a value of $1 million dollars. The grant is contingent upon approval of the Board of Directors, but the Company agrees to recommend the grant to the Board no later than the next meeting of the Board. The grant will be made on later of the date your employment commences or the date the Board approves the grant (the “Grant Date”). The number of shares granted will be equal to such value divided by our closing stock price on the Grant Date. One quarter of the shares granted will vest upon the achievement of each of the following milestones:</w:t>
      </w:r>
    </w:p>
    <w:p>
      <w:pPr>
        <w:spacing w:after="0" w:line="192" w:lineRule="exact"/>
        <w:rPr>
          <w:sz w:val="20"/>
          <w:szCs w:val="20"/>
          <w:color w:val="auto"/>
        </w:rPr>
      </w:pPr>
    </w:p>
    <w:p>
      <w:pPr>
        <w:ind w:left="660" w:hanging="328"/>
        <w:spacing w:after="0" w:line="247"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Company files its annual report on Form 10-K for the year ended December 31, 2019 no later than 100 days following the date it filed its annual report on Form 10-K for the year ended December 31, 2018;</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MiMedx is relisted on either the NASDAQ or NYSE no later than 6 months following the filing of the 2019 Form 10-K;</w:t>
      </w:r>
    </w:p>
    <w:p>
      <w:pPr>
        <w:ind w:left="660" w:hanging="328"/>
        <w:spacing w:after="0" w:line="239"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With the consent of the Company’s independent registered accountants, the Company transitions from cash accounting to accrual based accounting no later than October 1, 2020;</w:t>
      </w: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You submit an ERM plan which is approved in full by the Board of Directors no later than July 31, 2021.</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will not require your relocation to the Marietta, Georgia area, but rather allow you to commute on a weekly basis from your residence in Charlotte, North Carolina to Marietta, Georgia. During this time, you will be expected to primarily work from the Company’s Marietta, Georgia office and maintain a schedule averaging no less than four and one-half (4.5) days per week working from the Marietta office or traveling on Company business, unless otherwise agreed between you and the CEO of MiMedx.</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MiMedx Board of Directors will review your full compensation package as you are expected to be a Section 16 officer. The terms of your offer include the specific compensation arrangements described above as well as a Change of Control Severance and Restrictive Covenant Agreement. This Agreement will be equal to one times your annual base compensation and one times your annual target bonus. The Company has retained a compensation consultant, which is, among other things, reviewing the Company’s severance plan(s) for executives. The consultant will make a formal recommendation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5A5A5A"/>
        </w:rPr>
        <w:t xml:space="preserve">MiMedx Group, Inc. </w:t>
      </w:r>
      <w:r>
        <w:rPr>
          <w:rFonts w:ascii="Arial" w:cs="Arial" w:eastAsia="Arial" w:hAnsi="Arial"/>
          <w:sz w:val="14"/>
          <w:szCs w:val="14"/>
          <w:color w:val="005A9B"/>
        </w:rPr>
        <w:t>|</w:t>
      </w:r>
      <w:r>
        <w:rPr>
          <w:rFonts w:ascii="Arial" w:cs="Arial" w:eastAsia="Arial" w:hAnsi="Arial"/>
          <w:sz w:val="14"/>
          <w:szCs w:val="14"/>
          <w:color w:val="5A5A5A"/>
        </w:rPr>
        <w:t xml:space="preserve"> 1775 West Oak Commons Ct NE </w:t>
      </w:r>
      <w:r>
        <w:rPr>
          <w:rFonts w:ascii="Arial" w:cs="Arial" w:eastAsia="Arial" w:hAnsi="Arial"/>
          <w:sz w:val="14"/>
          <w:szCs w:val="14"/>
          <w:color w:val="005A9B"/>
        </w:rPr>
        <w:t>|</w:t>
      </w:r>
      <w:r>
        <w:rPr>
          <w:rFonts w:ascii="Arial" w:cs="Arial" w:eastAsia="Arial" w:hAnsi="Arial"/>
          <w:sz w:val="14"/>
          <w:szCs w:val="14"/>
          <w:color w:val="5A5A5A"/>
        </w:rPr>
        <w:t xml:space="preserve"> Marietta, GA 30062 </w:t>
      </w:r>
      <w:r>
        <w:rPr>
          <w:rFonts w:ascii="Arial" w:cs="Arial" w:eastAsia="Arial" w:hAnsi="Arial"/>
          <w:sz w:val="14"/>
          <w:szCs w:val="14"/>
          <w:color w:val="005A9B"/>
        </w:rPr>
        <w:t>|</w:t>
      </w:r>
      <w:r>
        <w:rPr>
          <w:rFonts w:ascii="Arial" w:cs="Arial" w:eastAsia="Arial" w:hAnsi="Arial"/>
          <w:sz w:val="14"/>
          <w:szCs w:val="14"/>
          <w:color w:val="5A5A5A"/>
        </w:rPr>
        <w:t xml:space="preserve"> 770.651.9100 </w:t>
      </w:r>
      <w:r>
        <w:rPr>
          <w:rFonts w:ascii="Arial" w:cs="Arial" w:eastAsia="Arial" w:hAnsi="Arial"/>
          <w:sz w:val="14"/>
          <w:szCs w:val="14"/>
          <w:color w:val="005A9B"/>
        </w:rPr>
        <w:t>|</w:t>
      </w:r>
      <w:r>
        <w:rPr>
          <w:rFonts w:ascii="Arial" w:cs="Arial" w:eastAsia="Arial" w:hAnsi="Arial"/>
          <w:sz w:val="14"/>
          <w:szCs w:val="14"/>
          <w:color w:val="5A5A5A"/>
        </w:rPr>
        <w:t xml:space="preserve"> Fax 770.590.3550 </w:t>
      </w:r>
      <w:r>
        <w:rPr>
          <w:rFonts w:ascii="Arial" w:cs="Arial" w:eastAsia="Arial" w:hAnsi="Arial"/>
          <w:sz w:val="14"/>
          <w:szCs w:val="14"/>
          <w:color w:val="005A9B"/>
        </w:rPr>
        <w:t>|</w:t>
      </w:r>
      <w:r>
        <w:rPr>
          <w:rFonts w:ascii="Arial" w:cs="Arial" w:eastAsia="Arial" w:hAnsi="Arial"/>
          <w:sz w:val="14"/>
          <w:szCs w:val="14"/>
          <w:color w:val="5A5A5A"/>
        </w:rPr>
        <w:t xml:space="preserve"> </w:t>
      </w:r>
      <w:r>
        <w:rPr>
          <w:rFonts w:ascii="Arial" w:cs="Arial" w:eastAsia="Arial" w:hAnsi="Arial"/>
          <w:sz w:val="19"/>
          <w:szCs w:val="19"/>
          <w:u w:val="single" w:color="auto"/>
          <w:color w:val="5A5A5A"/>
        </w:rPr>
        <w:t>www.mimedx.com</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Compensation Committee of the Board of Directors. You will be entitled to the severance benefits approved by the Compensation Committee for non-CEO executives and will be presented a retention agreement once such benefits are approved.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will be eligible to participate in the Company’s medical, dental, vision, life insurance, and disability benefits programs the first day of the month following the date of your employment. You will be eligible to participate in the MiMedx Group 401(k) Plan effective the first day of the month following your employment.</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such benefit shall be provided in accordance with the terms of the applicable benefit plans, which may be revised at any time at the Company’s discretion. A summary of the Company’s benefits is enclosed for your review. More detailed benefits eligibility and enrollment information will be sent to you shortly after you begin employment.</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This offer is contingent upon a favorable background investigation and a pre-employment drug screen result. You will receive an email to complete the application process on ADP which includes the background authorization form. You must sign and complete the form before the background investigation and drug screen can commence. Once we receive the executed </w:t>
      </w:r>
      <w:r>
        <w:rPr>
          <w:rFonts w:ascii="Arial" w:cs="Arial" w:eastAsia="Arial" w:hAnsi="Arial"/>
          <w:sz w:val="18"/>
          <w:szCs w:val="18"/>
          <w:i w:val="1"/>
          <w:iCs w:val="1"/>
          <w:color w:val="auto"/>
        </w:rPr>
        <w:t>Background Authorization</w:t>
      </w:r>
      <w:r>
        <w:rPr>
          <w:rFonts w:ascii="Arial" w:cs="Arial" w:eastAsia="Arial" w:hAnsi="Arial"/>
          <w:sz w:val="18"/>
          <w:szCs w:val="18"/>
          <w:color w:val="auto"/>
        </w:rPr>
        <w:t xml:space="preserve"> form, you will receive an email from Pembrooke with instructions for the drug screen process and a Chain of Custody ID number for specimen collection.</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To find the nearest LabCorp location, please go online to </w:t>
      </w:r>
      <w:r>
        <w:rPr>
          <w:rFonts w:ascii="Arial" w:cs="Arial" w:eastAsia="Arial" w:hAnsi="Arial"/>
          <w:sz w:val="16"/>
          <w:szCs w:val="16"/>
          <w:color w:val="auto"/>
        </w:rPr>
        <w:t>www.labcorp.com</w:t>
      </w:r>
      <w:r>
        <w:rPr>
          <w:rFonts w:ascii="Arial" w:cs="Arial" w:eastAsia="Arial" w:hAnsi="Arial"/>
          <w:sz w:val="19"/>
          <w:szCs w:val="19"/>
          <w:color w:val="auto"/>
        </w:rPr>
        <w:t>, go to the “I am a Patient” locator tab, and click on “Find a lab”. Type in your street address, city, state and zip code and make sure the testing service selection is “Routine clinical laboratory collections”, then click “Search”. The lab locations in proximity to your address will be shown. No appointments are necessary. Please make sure that you bring the Chain of Custody ID number and photo identification, such as your driver’s license. If you cannot find a location that is close to you, please call 1-800-247-0717, Monday – Friday from 6am to midnight (CST).</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is committed to the highest standards of integrity and to treating its customers, employees, fellow workers, business partners and competitors in good faith and fair dealing. We expect employees to share the same standard and values. By accepting this offer, you agree that throughout your employment, you will observe all of the Company's rules governing conduct of its business and employees, including its policies protecting employees from illegal discrimination and harassment, as those rules and policies may be amended from time to time.</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an employee of MiMedx, you are prohibited from the use or disclosure of confidential information or trade secrets obtained from your past employers. If you have any such documents in your possession, you are expected to return them to the respective organization, and during the course of your employment with the Company, not bring onto MiMedx premises or utilize in any manner such documents, confidential information or trade secrets. While you have not made the Company aware of any such information in your possession, we urge you to abide by this prohibition if such information is currently in your possession.</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offer of employment is contingent on the absence of any restrictive covenants that would prevent you from conducting the duties and responsibilities of your position with MiMedx. By your acceptance of this offer, you represent that you are not a party to any non-disclosure, restrictive covenant or invention assignment agreements currently in effect. If you become aware of any such agreements to which you are a party, by your acceptance of this offer, you agree to provide us with a copy of such additional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5A5A5A"/>
        </w:rPr>
        <w:t xml:space="preserve">MiMedx Group, Inc. </w:t>
      </w:r>
      <w:r>
        <w:rPr>
          <w:rFonts w:ascii="Arial" w:cs="Arial" w:eastAsia="Arial" w:hAnsi="Arial"/>
          <w:sz w:val="14"/>
          <w:szCs w:val="14"/>
          <w:color w:val="005A9B"/>
        </w:rPr>
        <w:t>|</w:t>
      </w:r>
      <w:r>
        <w:rPr>
          <w:rFonts w:ascii="Arial" w:cs="Arial" w:eastAsia="Arial" w:hAnsi="Arial"/>
          <w:sz w:val="14"/>
          <w:szCs w:val="14"/>
          <w:color w:val="5A5A5A"/>
        </w:rPr>
        <w:t xml:space="preserve"> 1775 West Oak Commons Ct NE </w:t>
      </w:r>
      <w:r>
        <w:rPr>
          <w:rFonts w:ascii="Arial" w:cs="Arial" w:eastAsia="Arial" w:hAnsi="Arial"/>
          <w:sz w:val="14"/>
          <w:szCs w:val="14"/>
          <w:color w:val="005A9B"/>
        </w:rPr>
        <w:t>|</w:t>
      </w:r>
      <w:r>
        <w:rPr>
          <w:rFonts w:ascii="Arial" w:cs="Arial" w:eastAsia="Arial" w:hAnsi="Arial"/>
          <w:sz w:val="14"/>
          <w:szCs w:val="14"/>
          <w:color w:val="5A5A5A"/>
        </w:rPr>
        <w:t xml:space="preserve"> Marietta, GA 30062 </w:t>
      </w:r>
      <w:r>
        <w:rPr>
          <w:rFonts w:ascii="Arial" w:cs="Arial" w:eastAsia="Arial" w:hAnsi="Arial"/>
          <w:sz w:val="14"/>
          <w:szCs w:val="14"/>
          <w:color w:val="005A9B"/>
        </w:rPr>
        <w:t>|</w:t>
      </w:r>
      <w:r>
        <w:rPr>
          <w:rFonts w:ascii="Arial" w:cs="Arial" w:eastAsia="Arial" w:hAnsi="Arial"/>
          <w:sz w:val="14"/>
          <w:szCs w:val="14"/>
          <w:color w:val="5A5A5A"/>
        </w:rPr>
        <w:t xml:space="preserve"> 770.651.9100 </w:t>
      </w:r>
      <w:r>
        <w:rPr>
          <w:rFonts w:ascii="Arial" w:cs="Arial" w:eastAsia="Arial" w:hAnsi="Arial"/>
          <w:sz w:val="14"/>
          <w:szCs w:val="14"/>
          <w:color w:val="005A9B"/>
        </w:rPr>
        <w:t>|</w:t>
      </w:r>
      <w:r>
        <w:rPr>
          <w:rFonts w:ascii="Arial" w:cs="Arial" w:eastAsia="Arial" w:hAnsi="Arial"/>
          <w:sz w:val="14"/>
          <w:szCs w:val="14"/>
          <w:color w:val="5A5A5A"/>
        </w:rPr>
        <w:t xml:space="preserve"> Fax 770.590.3550 </w:t>
      </w:r>
      <w:r>
        <w:rPr>
          <w:rFonts w:ascii="Arial" w:cs="Arial" w:eastAsia="Arial" w:hAnsi="Arial"/>
          <w:sz w:val="14"/>
          <w:szCs w:val="14"/>
          <w:color w:val="005A9B"/>
        </w:rPr>
        <w:t>|</w:t>
      </w:r>
      <w:r>
        <w:rPr>
          <w:rFonts w:ascii="Arial" w:cs="Arial" w:eastAsia="Arial" w:hAnsi="Arial"/>
          <w:sz w:val="14"/>
          <w:szCs w:val="14"/>
          <w:color w:val="5A5A5A"/>
        </w:rPr>
        <w:t xml:space="preserve"> </w:t>
      </w:r>
      <w:r>
        <w:rPr>
          <w:rFonts w:ascii="Arial" w:cs="Arial" w:eastAsia="Arial" w:hAnsi="Arial"/>
          <w:sz w:val="19"/>
          <w:szCs w:val="19"/>
          <w:u w:val="single" w:color="auto"/>
          <w:color w:val="5A5A5A"/>
        </w:rPr>
        <w:t>www.mimedx.com</w:t>
      </w:r>
    </w:p>
    <w:p>
      <w:pPr>
        <w:sectPr>
          <w:pgSz w:w="11900" w:h="16838" w:orient="portrait"/>
          <w:cols w:equalWidth="0" w:num="1">
            <w:col w:w="11240"/>
          </w:cols>
          <w:pgMar w:left="320" w:top="1440" w:right="339" w:bottom="1440" w:gutter="0" w:footer="0" w:header="0"/>
        </w:sectPr>
      </w:pPr>
    </w:p>
    <w:bookmarkStart w:id="49" w:name="page50"/>
    <w:bookmarkEnd w:id="49"/>
    <w:p>
      <w:pPr>
        <w:spacing w:after="0" w:line="3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a condition of your employment, you will be required to sign and comply with the enclosed MiMedx Confidentiality and Non-Solicitation Agreement, MiMedx Employee Inventions Assignment Agreement, and MiMedx Non-Competition Agreement. If the provisions of this offer are agreeable to you, please sign this letter to indicate your acceptance and return one copy along with the above-referenced agreements in the enclosed self-addressed envelope.</w:t>
      </w:r>
    </w:p>
    <w:p>
      <w:pPr>
        <w:spacing w:after="0" w:line="21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Pete, I am delighted to extend this offer to you and look forward to an exciting and mutually rewarding business association. We look forward to your joining MiMedx. Please feel free to contact me via email or on my cell phone at 404-796-5670 if you have any questions.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Lee Ann Lawson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Lee Ann Lawson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Human Resources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cc: Timothy R. Wright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ACCEPTANCE</w:t>
      </w:r>
    </w:p>
    <w:p>
      <w:pPr>
        <w:jc w:val="both"/>
        <w:spacing w:after="0" w:line="241" w:lineRule="auto"/>
        <w:rPr>
          <w:sz w:val="20"/>
          <w:szCs w:val="20"/>
          <w:color w:val="auto"/>
        </w:rPr>
      </w:pPr>
      <w:r>
        <w:rPr>
          <w:rFonts w:ascii="Arial" w:cs="Arial" w:eastAsia="Arial" w:hAnsi="Arial"/>
          <w:sz w:val="20"/>
          <w:szCs w:val="20"/>
          <w:i w:val="1"/>
          <w:iCs w:val="1"/>
          <w:color w:val="auto"/>
        </w:rPr>
        <w:t>I have read and understand the foregoing which constitutes the entire and exclusive agreement between the Company and the undersigned and supersedes all prior or contemporaneous proposals, promises, understandings, representations, conditions, oral or written, relating to the subject matter of this agreement. I understand and agree that my employment is at-will and is subject to the terms and conditions contained herein.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Peter M. Carlson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5A5A5A"/>
        </w:rPr>
        <w:t xml:space="preserve">MiMedx Group, Inc. </w:t>
      </w:r>
      <w:r>
        <w:rPr>
          <w:rFonts w:ascii="Arial" w:cs="Arial" w:eastAsia="Arial" w:hAnsi="Arial"/>
          <w:sz w:val="14"/>
          <w:szCs w:val="14"/>
          <w:color w:val="005A9B"/>
        </w:rPr>
        <w:t>|</w:t>
      </w:r>
      <w:r>
        <w:rPr>
          <w:rFonts w:ascii="Arial" w:cs="Arial" w:eastAsia="Arial" w:hAnsi="Arial"/>
          <w:sz w:val="14"/>
          <w:szCs w:val="14"/>
          <w:color w:val="5A5A5A"/>
        </w:rPr>
        <w:t xml:space="preserve"> 1775 West Oak Commons Ct NE </w:t>
      </w:r>
      <w:r>
        <w:rPr>
          <w:rFonts w:ascii="Arial" w:cs="Arial" w:eastAsia="Arial" w:hAnsi="Arial"/>
          <w:sz w:val="14"/>
          <w:szCs w:val="14"/>
          <w:color w:val="005A9B"/>
        </w:rPr>
        <w:t>|</w:t>
      </w:r>
      <w:r>
        <w:rPr>
          <w:rFonts w:ascii="Arial" w:cs="Arial" w:eastAsia="Arial" w:hAnsi="Arial"/>
          <w:sz w:val="14"/>
          <w:szCs w:val="14"/>
          <w:color w:val="5A5A5A"/>
        </w:rPr>
        <w:t xml:space="preserve"> Marietta, GA 30062 </w:t>
      </w:r>
      <w:r>
        <w:rPr>
          <w:rFonts w:ascii="Arial" w:cs="Arial" w:eastAsia="Arial" w:hAnsi="Arial"/>
          <w:sz w:val="14"/>
          <w:szCs w:val="14"/>
          <w:color w:val="005A9B"/>
        </w:rPr>
        <w:t>|</w:t>
      </w:r>
      <w:r>
        <w:rPr>
          <w:rFonts w:ascii="Arial" w:cs="Arial" w:eastAsia="Arial" w:hAnsi="Arial"/>
          <w:sz w:val="14"/>
          <w:szCs w:val="14"/>
          <w:color w:val="5A5A5A"/>
        </w:rPr>
        <w:t xml:space="preserve"> 770.651.9100 </w:t>
      </w:r>
      <w:r>
        <w:rPr>
          <w:rFonts w:ascii="Arial" w:cs="Arial" w:eastAsia="Arial" w:hAnsi="Arial"/>
          <w:sz w:val="14"/>
          <w:szCs w:val="14"/>
          <w:color w:val="005A9B"/>
        </w:rPr>
        <w:t>|</w:t>
      </w:r>
      <w:r>
        <w:rPr>
          <w:rFonts w:ascii="Arial" w:cs="Arial" w:eastAsia="Arial" w:hAnsi="Arial"/>
          <w:sz w:val="14"/>
          <w:szCs w:val="14"/>
          <w:color w:val="5A5A5A"/>
        </w:rPr>
        <w:t xml:space="preserve"> Fax 770.590.3550 </w:t>
      </w:r>
      <w:r>
        <w:rPr>
          <w:rFonts w:ascii="Arial" w:cs="Arial" w:eastAsia="Arial" w:hAnsi="Arial"/>
          <w:sz w:val="14"/>
          <w:szCs w:val="14"/>
          <w:color w:val="005A9B"/>
        </w:rPr>
        <w:t>|</w:t>
      </w:r>
      <w:r>
        <w:rPr>
          <w:rFonts w:ascii="Arial" w:cs="Arial" w:eastAsia="Arial" w:hAnsi="Arial"/>
          <w:sz w:val="14"/>
          <w:szCs w:val="14"/>
          <w:color w:val="5A5A5A"/>
        </w:rPr>
        <w:t xml:space="preserve"> </w:t>
      </w:r>
      <w:r>
        <w:rPr>
          <w:rFonts w:ascii="Arial" w:cs="Arial" w:eastAsia="Arial" w:hAnsi="Arial"/>
          <w:sz w:val="19"/>
          <w:szCs w:val="19"/>
          <w:u w:val="single" w:color="auto"/>
          <w:color w:val="5A5A5A"/>
        </w:rPr>
        <w:t>www.mimedx.com</w:t>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i w:val="1"/>
          <w:iCs w:val="1"/>
          <w:color w:val="auto"/>
        </w:rPr>
        <w:t>Proposed Form of Initial Director RSU – three year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MIMEDX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AND CASH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Restricted Stock Unit Agreement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RESTRICTED STOCK UNIT AGREEMENT (this "Agreement") dated as of the ____ day of ____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6800215</wp:posOffset>
            </wp:positionH>
            <wp:positionV relativeFrom="paragraph">
              <wp:posOffset>-27305</wp:posOffset>
            </wp:positionV>
            <wp:extent cx="114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(the “Grant Date”), between MiMedx Group, Inc. (the "Company") and _________________ (the "Participant"), is</w:t>
      </w:r>
    </w:p>
    <w:p>
      <w:pPr>
        <w:spacing w:after="0" w:line="4"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made pursuant and subject to the provisions of the Company's 2016 Equity and Cash Incentive Plan, amended and restated through October 2, 2020 (the "Plan"), a copy of which is attached hereto. All terms used herein that are defined in the Plan shall have the same meaning given them in the Plan.</w:t>
      </w:r>
    </w:p>
    <w:p>
      <w:pPr>
        <w:spacing w:after="0" w:line="186" w:lineRule="exact"/>
        <w:rPr>
          <w:sz w:val="20"/>
          <w:szCs w:val="20"/>
          <w:color w:val="auto"/>
        </w:rPr>
      </w:pPr>
    </w:p>
    <w:p>
      <w:pPr>
        <w:ind w:right="280" w:firstLine="656"/>
        <w:spacing w:after="0" w:line="250" w:lineRule="auto"/>
        <w:tabs>
          <w:tab w:leader="none" w:pos="1301" w:val="left"/>
        </w:tabs>
        <w:numPr>
          <w:ilvl w:val="0"/>
          <w:numId w:val="30"/>
        </w:numPr>
        <w:rPr>
          <w:rFonts w:ascii="Arial" w:cs="Arial" w:eastAsia="Arial" w:hAnsi="Arial"/>
          <w:sz w:val="22"/>
          <w:szCs w:val="22"/>
          <w:i w:val="1"/>
          <w:iCs w:val="1"/>
          <w:color w:val="auto"/>
        </w:rPr>
      </w:pPr>
      <w:r>
        <w:rPr>
          <w:rFonts w:ascii="Arial" w:cs="Arial" w:eastAsia="Arial" w:hAnsi="Arial"/>
          <w:sz w:val="22"/>
          <w:szCs w:val="22"/>
          <w:i w:val="1"/>
          <w:iCs w:val="1"/>
          <w:color w:val="auto"/>
        </w:rPr>
        <w:t>Grant of Restricted Stock Units. Pursuant to the Plan, the Company, on the Grant Date granted to the Participant, subject to the terms and conditions of the Plan and subject further to the terms and conditions set forth herein, this Restricted Stock Unit Award for ______ stock units (“RSUs”). Each RSU represents the right to receive one share of Common Stock (a “Share”) of the Company. The RSUs will vest as set forth in Section 2, below and, upon vesting, will be settled in Shares as set forth in Section 3 below.</w:t>
      </w:r>
    </w:p>
    <w:p>
      <w:pPr>
        <w:spacing w:after="0" w:line="180" w:lineRule="exact"/>
        <w:rPr>
          <w:rFonts w:ascii="Arial" w:cs="Arial" w:eastAsia="Arial" w:hAnsi="Arial"/>
          <w:sz w:val="22"/>
          <w:szCs w:val="22"/>
          <w:i w:val="1"/>
          <w:iCs w:val="1"/>
          <w:color w:val="auto"/>
        </w:rPr>
      </w:pPr>
    </w:p>
    <w:p>
      <w:pPr>
        <w:ind w:right="640" w:firstLine="656"/>
        <w:spacing w:after="0" w:line="270" w:lineRule="auto"/>
        <w:tabs>
          <w:tab w:leader="none" w:pos="1301" w:val="left"/>
        </w:tabs>
        <w:numPr>
          <w:ilvl w:val="0"/>
          <w:numId w:val="30"/>
        </w:numPr>
        <w:rPr>
          <w:rFonts w:ascii="Arial" w:cs="Arial" w:eastAsia="Arial" w:hAnsi="Arial"/>
          <w:sz w:val="22"/>
          <w:szCs w:val="22"/>
          <w:i w:val="1"/>
          <w:iCs w:val="1"/>
          <w:color w:val="auto"/>
        </w:rPr>
      </w:pPr>
      <w:r>
        <w:rPr>
          <w:rFonts w:ascii="Arial" w:cs="Arial" w:eastAsia="Arial" w:hAnsi="Arial"/>
          <w:sz w:val="22"/>
          <w:szCs w:val="22"/>
          <w:i w:val="1"/>
          <w:iCs w:val="1"/>
          <w:color w:val="auto"/>
        </w:rPr>
        <w:t>Vesting of the RSUs. Subject to earlier expiration or termination as provided herein, the RSUs will become vested (each date upon which the RSUs vest, a “Vesting Date”) as follows:</w:t>
      </w:r>
    </w:p>
    <w:p>
      <w:pPr>
        <w:spacing w:after="0" w:line="159" w:lineRule="exact"/>
        <w:rPr>
          <w:rFonts w:ascii="Arial" w:cs="Arial" w:eastAsia="Arial" w:hAnsi="Arial"/>
          <w:sz w:val="22"/>
          <w:szCs w:val="22"/>
          <w:i w:val="1"/>
          <w:iCs w:val="1"/>
          <w:color w:val="auto"/>
        </w:rPr>
      </w:pPr>
    </w:p>
    <w:p>
      <w:pPr>
        <w:ind w:right="20" w:firstLine="737"/>
        <w:spacing w:after="0" w:line="268" w:lineRule="auto"/>
        <w:tabs>
          <w:tab w:leader="none" w:pos="1317" w:val="left"/>
        </w:tabs>
        <w:numPr>
          <w:ilvl w:val="1"/>
          <w:numId w:val="30"/>
        </w:numPr>
        <w:rPr>
          <w:rFonts w:ascii="Arial" w:cs="Arial" w:eastAsia="Arial" w:hAnsi="Arial"/>
          <w:sz w:val="21"/>
          <w:szCs w:val="21"/>
          <w:color w:val="auto"/>
        </w:rPr>
      </w:pPr>
      <w:r>
        <w:rPr>
          <w:rFonts w:ascii="Arial" w:cs="Arial" w:eastAsia="Arial" w:hAnsi="Arial"/>
          <w:sz w:val="21"/>
          <w:szCs w:val="21"/>
          <w:i w:val="1"/>
          <w:iCs w:val="1"/>
          <w:color w:val="auto"/>
        </w:rPr>
        <w:t>Time-Based Vesting</w:t>
      </w:r>
      <w:r>
        <w:rPr>
          <w:rFonts w:ascii="Arial" w:cs="Arial" w:eastAsia="Arial" w:hAnsi="Arial"/>
          <w:sz w:val="21"/>
          <w:szCs w:val="21"/>
          <w:color w:val="auto"/>
        </w:rPr>
        <w:t>. The RSUs will become vested with respect to one-third (1/3) of the RSUs</w:t>
      </w:r>
      <w:r>
        <w:rPr>
          <w:rFonts w:ascii="Arial" w:cs="Arial" w:eastAsia="Arial" w:hAnsi="Arial"/>
          <w:sz w:val="21"/>
          <w:szCs w:val="21"/>
          <w:i w:val="1"/>
          <w:iCs w:val="1"/>
          <w:color w:val="auto"/>
        </w:rPr>
        <w:t xml:space="preserve"> </w:t>
      </w:r>
      <w:r>
        <w:rPr>
          <w:rFonts w:ascii="Arial" w:cs="Arial" w:eastAsia="Arial" w:hAnsi="Arial"/>
          <w:sz w:val="21"/>
          <w:szCs w:val="21"/>
          <w:color w:val="auto"/>
        </w:rPr>
        <w:t>(rounded to the nearest whole RSU) on each of the first and second anniversaries of the Date of Grant, and with respect to the remaining RSUs on the third anniversary of the Date of Grant, provided the Participant has been continuously providing services as a non-employee director of the Company from the Date of Grant until such time(s).</w:t>
      </w:r>
    </w:p>
    <w:p>
      <w:pPr>
        <w:spacing w:after="0" w:line="163" w:lineRule="exact"/>
        <w:rPr>
          <w:rFonts w:ascii="Arial" w:cs="Arial" w:eastAsia="Arial" w:hAnsi="Arial"/>
          <w:sz w:val="21"/>
          <w:szCs w:val="21"/>
          <w:color w:val="auto"/>
        </w:rPr>
      </w:pPr>
    </w:p>
    <w:p>
      <w:pPr>
        <w:jc w:val="both"/>
        <w:ind w:right="20" w:firstLine="737"/>
        <w:spacing w:after="0" w:line="252" w:lineRule="auto"/>
        <w:tabs>
          <w:tab w:leader="none" w:pos="1303" w:val="left"/>
        </w:tabs>
        <w:numPr>
          <w:ilvl w:val="1"/>
          <w:numId w:val="30"/>
        </w:numPr>
        <w:rPr>
          <w:rFonts w:ascii="Arial" w:cs="Arial" w:eastAsia="Arial" w:hAnsi="Arial"/>
          <w:sz w:val="22"/>
          <w:szCs w:val="22"/>
          <w:color w:val="auto"/>
        </w:rPr>
      </w:pPr>
      <w:r>
        <w:rPr>
          <w:rFonts w:ascii="Arial" w:cs="Arial" w:eastAsia="Arial" w:hAnsi="Arial"/>
          <w:sz w:val="22"/>
          <w:szCs w:val="22"/>
          <w:i w:val="1"/>
          <w:iCs w:val="1"/>
          <w:color w:val="auto"/>
        </w:rPr>
        <w:t>Change in Control</w:t>
      </w:r>
      <w:r>
        <w:rPr>
          <w:rFonts w:ascii="Arial" w:cs="Arial" w:eastAsia="Arial" w:hAnsi="Arial"/>
          <w:sz w:val="22"/>
          <w:szCs w:val="22"/>
          <w:color w:val="auto"/>
        </w:rPr>
        <w:t>. Notwithstanding the foregoing, upon the occurrence of a Change in Control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the end of the applicable vesting period, any outstanding RSUs shall be treated in accordance with and governed by Section 14.05 of the Plan, provided that references to termination of employment shall mean termination of service as a non-employee director.</w:t>
      </w:r>
    </w:p>
    <w:p>
      <w:pPr>
        <w:spacing w:after="0" w:line="179" w:lineRule="exact"/>
        <w:rPr>
          <w:rFonts w:ascii="Arial" w:cs="Arial" w:eastAsia="Arial" w:hAnsi="Arial"/>
          <w:sz w:val="22"/>
          <w:szCs w:val="22"/>
          <w:color w:val="auto"/>
        </w:rPr>
      </w:pPr>
    </w:p>
    <w:p>
      <w:pPr>
        <w:ind w:right="140" w:firstLine="737"/>
        <w:spacing w:after="0" w:line="252" w:lineRule="auto"/>
        <w:tabs>
          <w:tab w:leader="none" w:pos="1318" w:val="left"/>
        </w:tabs>
        <w:numPr>
          <w:ilvl w:val="1"/>
          <w:numId w:val="30"/>
        </w:numPr>
        <w:rPr>
          <w:rFonts w:ascii="Arial" w:cs="Arial" w:eastAsia="Arial" w:hAnsi="Arial"/>
          <w:sz w:val="22"/>
          <w:szCs w:val="22"/>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Notwithstanding the foregoing,, if the Participant's service as a non-employee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of the Company is terminated on account of the Participant's death or Disability prior to the end of the applicable vesting period, the RSUs shall become fully vested upon termination of the Participant's service as a non-employee director of the Company on account of the Participant's death or Disability.</w:t>
      </w:r>
    </w:p>
    <w:p>
      <w:pPr>
        <w:spacing w:after="0" w:line="179" w:lineRule="exact"/>
        <w:rPr>
          <w:rFonts w:ascii="Arial" w:cs="Arial" w:eastAsia="Arial" w:hAnsi="Arial"/>
          <w:sz w:val="22"/>
          <w:szCs w:val="22"/>
          <w:color w:val="auto"/>
        </w:rPr>
      </w:pPr>
    </w:p>
    <w:p>
      <w:pPr>
        <w:ind w:right="20" w:firstLine="656"/>
        <w:spacing w:after="0" w:line="256" w:lineRule="auto"/>
        <w:tabs>
          <w:tab w:leader="none" w:pos="1301" w:val="left"/>
        </w:tabs>
        <w:numPr>
          <w:ilvl w:val="0"/>
          <w:numId w:val="30"/>
        </w:numPr>
        <w:rPr>
          <w:rFonts w:ascii="Arial" w:cs="Arial" w:eastAsia="Arial" w:hAnsi="Arial"/>
          <w:sz w:val="22"/>
          <w:szCs w:val="22"/>
          <w:i w:val="1"/>
          <w:iCs w:val="1"/>
          <w:color w:val="auto"/>
        </w:rPr>
      </w:pPr>
      <w:r>
        <w:rPr>
          <w:rFonts w:ascii="Arial" w:cs="Arial" w:eastAsia="Arial" w:hAnsi="Arial"/>
          <w:sz w:val="22"/>
          <w:szCs w:val="22"/>
          <w:i w:val="1"/>
          <w:iCs w:val="1"/>
          <w:color w:val="auto"/>
        </w:rPr>
        <w:t>Settlement of RSUs. Except as otherwise required by applicable law or as set forth below or in the Plan, the Company shall cause one Share to be issued to Participant for each RSU that vests upon a Vesting Date, with such Shares to be delivered to Participant upon the Vesting Date.</w:t>
      </w:r>
    </w:p>
    <w:p>
      <w:pPr>
        <w:sectPr>
          <w:pgSz w:w="11900" w:h="16838" w:orient="portrait"/>
          <w:cols w:equalWidth="0" w:num="1">
            <w:col w:w="11240"/>
          </w:cols>
          <w:pgMar w:left="320" w:top="112" w:right="339" w:bottom="1440" w:gutter="0" w:footer="0" w:header="0"/>
        </w:sectPr>
      </w:pPr>
    </w:p>
    <w:bookmarkStart w:id="51" w:name="page52"/>
    <w:bookmarkEnd w:id="51"/>
    <w:p>
      <w:pPr>
        <w:jc w:val="both"/>
        <w:ind w:left="-40" w:right="180" w:firstLine="656"/>
        <w:spacing w:after="0" w:line="252" w:lineRule="auto"/>
        <w:tabs>
          <w:tab w:leader="none" w:pos="1261" w:val="left"/>
        </w:tabs>
        <w:numPr>
          <w:ilvl w:val="0"/>
          <w:numId w:val="31"/>
        </w:numPr>
        <w:rPr>
          <w:rFonts w:ascii="Arial" w:cs="Arial" w:eastAsia="Arial" w:hAnsi="Arial"/>
          <w:sz w:val="22"/>
          <w:szCs w:val="22"/>
          <w:i w:val="1"/>
          <w:iCs w:val="1"/>
          <w:color w:val="auto"/>
        </w:rPr>
      </w:pPr>
      <w:r>
        <w:rPr>
          <w:rFonts w:ascii="Arial" w:cs="Arial" w:eastAsia="Arial" w:hAnsi="Arial"/>
          <w:sz w:val="22"/>
          <w:szCs w:val="22"/>
          <w:i w:val="1"/>
          <w:iCs w:val="1"/>
          <w:color w:val="auto"/>
        </w:rPr>
        <w:t>Forfeiture of the RSUs. RSUs that are not vested pursuant to Sections 2(a), (b) or (c) as of the date of termination of Participant’s service as a non-employee director of the Company will be forfeited automatically at the close of business on that date (or immediately upon notice of termination for Cause). In no event may the RSUs become vested, in whole or in part, after forfeiture pursuant to this Section 4.</w:t>
      </w:r>
    </w:p>
    <w:p>
      <w:pPr>
        <w:spacing w:after="0" w:line="179" w:lineRule="exact"/>
        <w:rPr>
          <w:rFonts w:ascii="Arial" w:cs="Arial" w:eastAsia="Arial" w:hAnsi="Arial"/>
          <w:sz w:val="22"/>
          <w:szCs w:val="22"/>
          <w:i w:val="1"/>
          <w:iCs w:val="1"/>
          <w:color w:val="auto"/>
        </w:rPr>
      </w:pPr>
    </w:p>
    <w:p>
      <w:pPr>
        <w:ind w:left="-40" w:right="220" w:firstLine="656"/>
        <w:spacing w:after="0" w:line="250" w:lineRule="auto"/>
        <w:tabs>
          <w:tab w:leader="none" w:pos="1261" w:val="left"/>
        </w:tabs>
        <w:numPr>
          <w:ilvl w:val="0"/>
          <w:numId w:val="31"/>
        </w:numPr>
        <w:rPr>
          <w:rFonts w:ascii="Arial" w:cs="Arial" w:eastAsia="Arial" w:hAnsi="Arial"/>
          <w:sz w:val="22"/>
          <w:szCs w:val="22"/>
          <w:i w:val="1"/>
          <w:iCs w:val="1"/>
          <w:color w:val="auto"/>
        </w:rPr>
      </w:pPr>
      <w:r>
        <w:rPr>
          <w:rFonts w:ascii="Arial" w:cs="Arial" w:eastAsia="Arial" w:hAnsi="Arial"/>
          <w:sz w:val="22"/>
          <w:szCs w:val="22"/>
          <w:i w:val="1"/>
          <w:iCs w:val="1"/>
          <w:color w:val="auto"/>
        </w:rPr>
        <w:t>Agreement to Terms of the Plan and this Agreement. The Participant has received a copy of the Plan, has read and understands the terms of the Plan and this Agreement, and agrees to be bound by their terms and conditions. All decisions and interpretations made by the Company or the Committee with regard to any question arising under this Agreement will be binding and conclusive on the Company and Participant and any other person who has any rights under this Agreement.</w:t>
      </w:r>
    </w:p>
    <w:p>
      <w:pPr>
        <w:spacing w:after="0" w:line="180" w:lineRule="exact"/>
        <w:rPr>
          <w:rFonts w:ascii="Arial" w:cs="Arial" w:eastAsia="Arial" w:hAnsi="Arial"/>
          <w:sz w:val="22"/>
          <w:szCs w:val="22"/>
          <w:i w:val="1"/>
          <w:iCs w:val="1"/>
          <w:color w:val="auto"/>
        </w:rPr>
      </w:pPr>
    </w:p>
    <w:p>
      <w:pPr>
        <w:ind w:left="-40" w:right="40" w:firstLine="656"/>
        <w:spacing w:after="0" w:line="261" w:lineRule="auto"/>
        <w:tabs>
          <w:tab w:leader="none" w:pos="1261" w:val="left"/>
        </w:tabs>
        <w:numPr>
          <w:ilvl w:val="0"/>
          <w:numId w:val="31"/>
        </w:numPr>
        <w:rPr>
          <w:rFonts w:ascii="Arial" w:cs="Arial" w:eastAsia="Arial" w:hAnsi="Arial"/>
          <w:sz w:val="21"/>
          <w:szCs w:val="21"/>
          <w:i w:val="1"/>
          <w:iCs w:val="1"/>
          <w:color w:val="auto"/>
        </w:rPr>
      </w:pPr>
      <w:r>
        <w:rPr>
          <w:rFonts w:ascii="Arial" w:cs="Arial" w:eastAsia="Arial" w:hAnsi="Arial"/>
          <w:sz w:val="21"/>
          <w:szCs w:val="21"/>
          <w:i w:val="1"/>
          <w:iCs w:val="1"/>
          <w:color w:val="auto"/>
        </w:rPr>
        <w:t>Tax Consequences. The Participant acknowledges (i) that there may be adverse tax consequences upon acquisition or disposition of the Shares or, if applicable, cash payment that may be received upon vesting of the RSUs and (ii) that Participant should consult a tax adviser prior to such acquisition or disposition. The Participant is solely responsible for determining the tax consequences of the Restricted Stock Unit Award and for satisfying the Participant’s tax obligations with respect to the Restricted Stock Unit Award (including, but not limited to, any income or excise tax as resulting from the application of Code Sections 409A or 4999 or related interest and penalties), and the Company and its Affiliates shall not be liable if this grant is subject to Code Sections 409A, 280G or 4999.</w:t>
      </w:r>
    </w:p>
    <w:p>
      <w:pPr>
        <w:spacing w:after="0" w:line="173" w:lineRule="exact"/>
        <w:rPr>
          <w:rFonts w:ascii="Arial" w:cs="Arial" w:eastAsia="Arial" w:hAnsi="Arial"/>
          <w:sz w:val="21"/>
          <w:szCs w:val="21"/>
          <w:i w:val="1"/>
          <w:iCs w:val="1"/>
          <w:color w:val="auto"/>
        </w:rPr>
      </w:pPr>
    </w:p>
    <w:p>
      <w:pPr>
        <w:ind w:left="-40" w:right="280" w:firstLine="656"/>
        <w:spacing w:after="0" w:line="270" w:lineRule="auto"/>
        <w:tabs>
          <w:tab w:leader="none" w:pos="1261" w:val="left"/>
        </w:tabs>
        <w:numPr>
          <w:ilvl w:val="0"/>
          <w:numId w:val="31"/>
        </w:numPr>
        <w:rPr>
          <w:rFonts w:ascii="Arial" w:cs="Arial" w:eastAsia="Arial" w:hAnsi="Arial"/>
          <w:sz w:val="22"/>
          <w:szCs w:val="22"/>
          <w:i w:val="1"/>
          <w:iCs w:val="1"/>
          <w:color w:val="auto"/>
        </w:rPr>
      </w:pPr>
      <w:r>
        <w:rPr>
          <w:rFonts w:ascii="Arial" w:cs="Arial" w:eastAsia="Arial" w:hAnsi="Arial"/>
          <w:sz w:val="22"/>
          <w:szCs w:val="22"/>
          <w:i w:val="1"/>
          <w:iCs w:val="1"/>
          <w:color w:val="auto"/>
        </w:rPr>
        <w:t>Fractional Shares. Fractional Shares shall not be issuable hereunder, and when any provision hereof may entitle the Participant to a fractional Share such fractional Share shall be disregarded.</w:t>
      </w:r>
    </w:p>
    <w:p>
      <w:pPr>
        <w:spacing w:after="0" w:line="159" w:lineRule="exact"/>
        <w:rPr>
          <w:rFonts w:ascii="Arial" w:cs="Arial" w:eastAsia="Arial" w:hAnsi="Arial"/>
          <w:sz w:val="22"/>
          <w:szCs w:val="22"/>
          <w:i w:val="1"/>
          <w:iCs w:val="1"/>
          <w:color w:val="auto"/>
        </w:rPr>
      </w:pPr>
    </w:p>
    <w:p>
      <w:pPr>
        <w:ind w:left="-40" w:right="180" w:firstLine="656"/>
        <w:spacing w:after="0" w:line="274" w:lineRule="auto"/>
        <w:tabs>
          <w:tab w:leader="none" w:pos="1261" w:val="left"/>
        </w:tabs>
        <w:numPr>
          <w:ilvl w:val="0"/>
          <w:numId w:val="31"/>
        </w:numPr>
        <w:rPr>
          <w:rFonts w:ascii="Arial" w:cs="Arial" w:eastAsia="Arial" w:hAnsi="Arial"/>
          <w:sz w:val="21"/>
          <w:szCs w:val="21"/>
          <w:i w:val="1"/>
          <w:iCs w:val="1"/>
          <w:color w:val="auto"/>
        </w:rPr>
      </w:pPr>
      <w:r>
        <w:rPr>
          <w:rFonts w:ascii="Arial" w:cs="Arial" w:eastAsia="Arial" w:hAnsi="Arial"/>
          <w:sz w:val="21"/>
          <w:szCs w:val="21"/>
          <w:i w:val="1"/>
          <w:iCs w:val="1"/>
          <w:color w:val="auto"/>
        </w:rPr>
        <w:t>Change in Capital Structure. The RSUs shall be adjusted in accordance with the terms and conditions of the Plan as the Committee determines is equitably required in the event the Company effects one or more stock dividends, stock splits, subdivisions or consolidations of shares or other similar changes in capitalization.</w:t>
      </w:r>
    </w:p>
    <w:p>
      <w:pPr>
        <w:spacing w:after="0" w:line="158" w:lineRule="exact"/>
        <w:rPr>
          <w:rFonts w:ascii="Arial" w:cs="Arial" w:eastAsia="Arial" w:hAnsi="Arial"/>
          <w:sz w:val="21"/>
          <w:szCs w:val="21"/>
          <w:i w:val="1"/>
          <w:iCs w:val="1"/>
          <w:color w:val="auto"/>
        </w:rPr>
      </w:pPr>
    </w:p>
    <w:p>
      <w:pPr>
        <w:ind w:left="-40" w:firstLine="656"/>
        <w:spacing w:after="0" w:line="256" w:lineRule="auto"/>
        <w:tabs>
          <w:tab w:leader="none" w:pos="1261" w:val="left"/>
        </w:tabs>
        <w:numPr>
          <w:ilvl w:val="0"/>
          <w:numId w:val="31"/>
        </w:numPr>
        <w:rPr>
          <w:rFonts w:ascii="Arial" w:cs="Arial" w:eastAsia="Arial" w:hAnsi="Arial"/>
          <w:sz w:val="22"/>
          <w:szCs w:val="22"/>
          <w:i w:val="1"/>
          <w:iCs w:val="1"/>
          <w:color w:val="auto"/>
        </w:rPr>
      </w:pPr>
      <w:r>
        <w:rPr>
          <w:rFonts w:ascii="Arial" w:cs="Arial" w:eastAsia="Arial" w:hAnsi="Arial"/>
          <w:sz w:val="22"/>
          <w:szCs w:val="22"/>
          <w:i w:val="1"/>
          <w:iCs w:val="1"/>
          <w:color w:val="auto"/>
        </w:rPr>
        <w:t>Notice. Any notice or other communication given pursuant to this Agreement, or in any way with respect to the RSUs, shall be in writing and shall be personally delivered or mailed by United States registered or certified mail, postage prepaid, return receipt requested, to the following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60" w:top="1421" w:right="379" w:bottom="1440" w:gutter="0" w:footer="0" w:header="0"/>
        </w:sectPr>
      </w:pPr>
    </w:p>
    <w:bookmarkStart w:id="52" w:name="page53"/>
    <w:bookmarkEnd w:id="52"/>
    <w:p>
      <w:pPr>
        <w:spacing w:after="0" w:line="3" w:lineRule="exact"/>
        <w:rPr>
          <w:sz w:val="20"/>
          <w:szCs w:val="20"/>
          <w:color w:val="auto"/>
        </w:rPr>
      </w:pPr>
    </w:p>
    <w:p>
      <w:pPr>
        <w:ind w:left="1180"/>
        <w:spacing w:after="0"/>
        <w:tabs>
          <w:tab w:leader="none" w:pos="316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21"/>
          <w:szCs w:val="21"/>
          <w:color w:val="auto"/>
        </w:rPr>
        <w:t>MiMedx Group, Inc.</w:t>
      </w:r>
    </w:p>
    <w:p>
      <w:pPr>
        <w:spacing w:after="0" w:line="4"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1775 West Oak Commons Ct. NE</w:t>
      </w:r>
    </w:p>
    <w:p>
      <w:pPr>
        <w:spacing w:after="0" w:line="4"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Marietta, Georgia 30062</w:t>
      </w:r>
    </w:p>
    <w:p>
      <w:pPr>
        <w:spacing w:after="0" w:line="4"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Attn: General Counsel</w:t>
      </w:r>
    </w:p>
    <w:p>
      <w:pPr>
        <w:spacing w:after="0" w:line="247"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If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-27305</wp:posOffset>
            </wp:positionV>
            <wp:extent cx="152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152400" cy="8255"/>
                    </a:xfrm>
                    <a:prstGeom prst="rect">
                      <a:avLst/>
                    </a:prstGeom>
                    <a:noFill/>
                  </pic:spPr>
                </pic:pic>
              </a:graphicData>
            </a:graphic>
          </wp:anchor>
        </w:drawing>
        <w:drawing>
          <wp:anchor simplePos="0" relativeHeight="251657728" behindDoc="1" locked="0" layoutInCell="0" allowOverlap="1">
            <wp:simplePos x="0" y="0"/>
            <wp:positionH relativeFrom="column">
              <wp:posOffset>904240</wp:posOffset>
            </wp:positionH>
            <wp:positionV relativeFrom="paragraph">
              <wp:posOffset>135255</wp:posOffset>
            </wp:positionV>
            <wp:extent cx="152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52400" cy="8255"/>
                    </a:xfrm>
                    <a:prstGeom prst="rect">
                      <a:avLst/>
                    </a:prstGeom>
                    <a:noFill/>
                  </pic:spPr>
                </pic:pic>
              </a:graphicData>
            </a:graphic>
          </wp:anchor>
        </w:drawing>
        <w:drawing>
          <wp:anchor simplePos="0" relativeHeight="251657728" behindDoc="1" locked="0" layoutInCell="0" allowOverlap="1">
            <wp:simplePos x="0" y="0"/>
            <wp:positionH relativeFrom="column">
              <wp:posOffset>904240</wp:posOffset>
            </wp:positionH>
            <wp:positionV relativeFrom="paragraph">
              <wp:posOffset>297815</wp:posOffset>
            </wp:positionV>
            <wp:extent cx="152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20" w:firstLine="656"/>
        <w:spacing w:after="0" w:line="259" w:lineRule="auto"/>
        <w:tabs>
          <w:tab w:leader="none" w:pos="1193" w:val="left"/>
        </w:tabs>
        <w:numPr>
          <w:ilvl w:val="0"/>
          <w:numId w:val="32"/>
        </w:numPr>
        <w:rPr>
          <w:rFonts w:ascii="Arial" w:cs="Arial" w:eastAsia="Arial" w:hAnsi="Arial"/>
          <w:sz w:val="21"/>
          <w:szCs w:val="21"/>
          <w:i w:val="1"/>
          <w:iCs w:val="1"/>
          <w:color w:val="auto"/>
        </w:rPr>
      </w:pPr>
      <w:r>
        <w:rPr>
          <w:rFonts w:ascii="Arial" w:cs="Arial" w:eastAsia="Arial" w:hAnsi="Arial"/>
          <w:sz w:val="21"/>
          <w:szCs w:val="21"/>
          <w:i w:val="1"/>
          <w:iCs w:val="1"/>
          <w:color w:val="auto"/>
        </w:rPr>
        <w:t>Shareholder Rights. Except as provided below, Participant shall have no rights as a shareholder of the Company with respect to Shares underlying the RSUs unless and until Shares are delivered to Participant in respect of such RSUs upon vesting. The RSUs will be entitled to accrue Dividend Equivalents, which will be subject to all conditions and restrictions applicable to the underlying RSUs to which they relate, and which may not be paid until and unless the underlying RSUs have vested. Dividend Equivalents will accrue prior to the issuance of Shares with respect to the RSUs or their earlier forfeiture. Dividend Equivalents will be earned only for RSUs that are earned or deemed earned under this Agreement. With respect to RSUs that are not earned (because the applicable vesting restrictions do not lapse or otherwise), Dividend Equivalents that were accrued for those RSUs will be cancelled and forfeited along with the RSUs and underlying Shares, without payment therefor by the Company or any Affiliate. Dividend Equivalents will be paid at such time as the underlying RSUs to which they relate are paid.</w:t>
      </w:r>
    </w:p>
    <w:p>
      <w:pPr>
        <w:spacing w:after="0" w:line="175" w:lineRule="exact"/>
        <w:rPr>
          <w:rFonts w:ascii="Arial" w:cs="Arial" w:eastAsia="Arial" w:hAnsi="Arial"/>
          <w:sz w:val="21"/>
          <w:szCs w:val="21"/>
          <w:i w:val="1"/>
          <w:iCs w:val="1"/>
          <w:color w:val="auto"/>
        </w:rPr>
      </w:pPr>
    </w:p>
    <w:p>
      <w:pPr>
        <w:jc w:val="both"/>
        <w:ind w:left="-120" w:firstLine="656"/>
        <w:spacing w:after="0" w:line="252" w:lineRule="auto"/>
        <w:tabs>
          <w:tab w:leader="none" w:pos="1193"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No Right to Continued Service. Neither the Plan, the granting of the RSUs nor any other action taken pursuant to the Plan or this Agreement constitutes or is evidence of any agreement or understanding, expressed or implied, that the Company or any Affiliate shall retain the Participant as a service provider for any period of time or at any particular rate of compensation.</w:t>
      </w:r>
    </w:p>
    <w:p>
      <w:pPr>
        <w:spacing w:after="0" w:line="179" w:lineRule="exact"/>
        <w:rPr>
          <w:rFonts w:ascii="Arial" w:cs="Arial" w:eastAsia="Arial" w:hAnsi="Arial"/>
          <w:sz w:val="22"/>
          <w:szCs w:val="22"/>
          <w:i w:val="1"/>
          <w:iCs w:val="1"/>
          <w:color w:val="auto"/>
        </w:rPr>
      </w:pPr>
    </w:p>
    <w:p>
      <w:pPr>
        <w:ind w:left="-120" w:right="80" w:firstLine="656"/>
        <w:spacing w:after="0" w:line="256" w:lineRule="auto"/>
        <w:tabs>
          <w:tab w:leader="none" w:pos="1193"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Binding Effect. Subject to the limitations stated above and in the Plan, this Agreement shall be binding upon and inure to the benefit of the legatees, distributees, and personal representatives of the Participant and the successors of the Company.</w:t>
      </w:r>
    </w:p>
    <w:p>
      <w:pPr>
        <w:spacing w:after="0" w:line="176" w:lineRule="exact"/>
        <w:rPr>
          <w:rFonts w:ascii="Arial" w:cs="Arial" w:eastAsia="Arial" w:hAnsi="Arial"/>
          <w:sz w:val="22"/>
          <w:szCs w:val="22"/>
          <w:i w:val="1"/>
          <w:iCs w:val="1"/>
          <w:color w:val="auto"/>
        </w:rPr>
      </w:pPr>
    </w:p>
    <w:p>
      <w:pPr>
        <w:ind w:left="-120" w:right="40" w:firstLine="656"/>
        <w:spacing w:after="0" w:line="256" w:lineRule="auto"/>
        <w:tabs>
          <w:tab w:leader="none" w:pos="1193"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Conflicts. In the event of any conflict between the provisions of the Plan and the provisions of this Agreement, the provisions of the Plan shall govern. All references herein to the Plan shall mean the Plan as in effect on the date hereof.</w:t>
      </w:r>
    </w:p>
    <w:p>
      <w:pPr>
        <w:spacing w:after="0" w:line="176" w:lineRule="exact"/>
        <w:rPr>
          <w:rFonts w:ascii="Arial" w:cs="Arial" w:eastAsia="Arial" w:hAnsi="Arial"/>
          <w:sz w:val="22"/>
          <w:szCs w:val="22"/>
          <w:i w:val="1"/>
          <w:iCs w:val="1"/>
          <w:color w:val="auto"/>
        </w:rPr>
      </w:pPr>
    </w:p>
    <w:p>
      <w:pPr>
        <w:ind w:left="-120" w:right="260" w:firstLine="656"/>
        <w:spacing w:after="0" w:line="270" w:lineRule="auto"/>
        <w:tabs>
          <w:tab w:leader="none" w:pos="1193"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Counterparts. This Agreement may be executed in a number of counterparts, each of which shall be deemed an original, but all of which together shall constitute one in the same instrument.</w:t>
      </w:r>
    </w:p>
    <w:p>
      <w:pPr>
        <w:spacing w:after="0" w:line="159" w:lineRule="exact"/>
        <w:rPr>
          <w:rFonts w:ascii="Arial" w:cs="Arial" w:eastAsia="Arial" w:hAnsi="Arial"/>
          <w:sz w:val="22"/>
          <w:szCs w:val="22"/>
          <w:i w:val="1"/>
          <w:iCs w:val="1"/>
          <w:color w:val="auto"/>
        </w:rPr>
      </w:pPr>
    </w:p>
    <w:p>
      <w:pPr>
        <w:ind w:left="-120" w:right="60" w:firstLine="656"/>
        <w:spacing w:after="0" w:line="256" w:lineRule="auto"/>
        <w:tabs>
          <w:tab w:leader="none" w:pos="1193"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Miscellaneous. The parties agree to execute such further instruments and take such further actions as may be necessary to carry out the intent of the Plan and this Agreement. This Agreement and the Plan shall constitute the entire agreement of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00"/>
          </w:cols>
          <w:pgMar w:left="440" w:top="1440" w:right="459" w:bottom="1440" w:gutter="0" w:footer="0" w:header="0"/>
        </w:sectPr>
      </w:pPr>
    </w:p>
    <w:bookmarkStart w:id="53" w:name="page54"/>
    <w:bookmarkEnd w:id="53"/>
    <w:p>
      <w:pPr>
        <w:ind w:left="-20" w:firstLine="656"/>
        <w:spacing w:after="0" w:line="247" w:lineRule="auto"/>
        <w:tabs>
          <w:tab w:leader="none" w:pos="1293"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Section 409A. Notwithstanding any of the provisions of this Agreement, it is intended that the RSUs granted pursuant to this Agreement be exempt from Section 409A of the Code as short term deferrals, pursuant to Treasury regulation §1.409A-1(b)(4), or otherwise comply with Section 409A of the Code. Notwithstanding the preceding, neither the Company nor any Affiliate shall be liable to the Participant or any other person if the Internal Revenue Service or any court or other authority have any jurisdiction over such matter determines for any reason that the RSUs are subject to taxes, penalties or interest as a result of failing to be exempt from, or comply with, Section 409A of the Code. For the avoidance of doubt, the provisions of this Agreement shall be construed and interpreted consistent with Article XXII of the Plan.</w:t>
      </w:r>
    </w:p>
    <w:p>
      <w:pPr>
        <w:spacing w:after="0" w:line="185" w:lineRule="exact"/>
        <w:rPr>
          <w:rFonts w:ascii="Arial" w:cs="Arial" w:eastAsia="Arial" w:hAnsi="Arial"/>
          <w:sz w:val="22"/>
          <w:szCs w:val="22"/>
          <w:i w:val="1"/>
          <w:iCs w:val="1"/>
          <w:color w:val="auto"/>
        </w:rPr>
      </w:pPr>
    </w:p>
    <w:p>
      <w:pPr>
        <w:ind w:left="-20" w:right="80" w:firstLine="656"/>
        <w:spacing w:after="0" w:line="248" w:lineRule="auto"/>
        <w:tabs>
          <w:tab w:leader="none" w:pos="1293"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Compensation Recoupment Policy. Notwithstanding any other provision of this Agreement, the rights, payments and benefits with respect to the RSUs (including any amounts received by Participant in connection with a sale of Shares received upon the vesting of RSUs) shall be subject to reduction, reimbursement, cancellation, forfeiture, recoupment or return by the Company, to the extent any reduction, reimbursement, cancellation, forfeiture, recoupment or return is required under applicable law or the Company’s Compensation Recoupment Policy or any similar policy that the Company may adopt.</w:t>
      </w:r>
    </w:p>
    <w:p>
      <w:pPr>
        <w:spacing w:after="0" w:line="186" w:lineRule="exact"/>
        <w:rPr>
          <w:rFonts w:ascii="Arial" w:cs="Arial" w:eastAsia="Arial" w:hAnsi="Arial"/>
          <w:sz w:val="22"/>
          <w:szCs w:val="22"/>
          <w:i w:val="1"/>
          <w:iCs w:val="1"/>
          <w:color w:val="auto"/>
        </w:rPr>
      </w:pPr>
    </w:p>
    <w:p>
      <w:pPr>
        <w:ind w:left="1300" w:hanging="664"/>
        <w:spacing w:after="0"/>
        <w:tabs>
          <w:tab w:leader="none" w:pos="1300"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Governing Law. This Agreement shall be governed by the governing laws applicable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40" w:top="1421" w:right="359" w:bottom="1440" w:gutter="0" w:footer="0" w:header="0"/>
        </w:sectPr>
      </w:pPr>
    </w:p>
    <w:bookmarkStart w:id="54" w:name="page55"/>
    <w:bookmarkEnd w:id="54"/>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WITNESS WHEREOF, the Company has caused this Agreement to be signed by a duly authorized officer, and the Participant has affixed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COMPANY:</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MIMEDX GROUP, INC.</w:t>
      </w:r>
    </w:p>
    <w:p>
      <w:pPr>
        <w:spacing w:after="0" w:line="200" w:lineRule="exact"/>
        <w:rPr>
          <w:sz w:val="20"/>
          <w:szCs w:val="20"/>
          <w:color w:val="auto"/>
        </w:rPr>
      </w:pPr>
    </w:p>
    <w:p>
      <w:pPr>
        <w:spacing w:after="0" w:line="31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-27305</wp:posOffset>
            </wp:positionV>
            <wp:extent cx="152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409575</wp:posOffset>
            </wp:positionV>
            <wp:extent cx="152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[Participant’s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40"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i w:val="1"/>
          <w:iCs w:val="1"/>
          <w:color w:val="auto"/>
        </w:rPr>
        <w:t>Proposed Form of Initial Pro-rata Director RSU – one year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MIMEDX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AND CASH INCENTIVE PLAN</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Non-Employee Director Restricted Stock Unit Agreement</w:t>
      </w:r>
    </w:p>
    <w:p>
      <w:pPr>
        <w:spacing w:after="0" w:line="239" w:lineRule="exact"/>
        <w:rPr>
          <w:sz w:val="20"/>
          <w:szCs w:val="20"/>
          <w:color w:val="auto"/>
        </w:rPr>
      </w:pPr>
    </w:p>
    <w:p>
      <w:pPr>
        <w:ind w:left="660"/>
        <w:spacing w:after="0"/>
        <w:tabs>
          <w:tab w:leader="none" w:pos="10140" w:val="left"/>
        </w:tabs>
        <w:rPr>
          <w:sz w:val="20"/>
          <w:szCs w:val="20"/>
          <w:color w:val="auto"/>
        </w:rPr>
      </w:pPr>
      <w:r>
        <w:rPr>
          <w:rFonts w:ascii="Arial" w:cs="Arial" w:eastAsia="Arial" w:hAnsi="Arial"/>
          <w:sz w:val="20"/>
          <w:szCs w:val="20"/>
          <w:color w:val="auto"/>
        </w:rPr>
        <w:t>THIS RESTRICTED STOCK UNIT AGREEMENT (this "Agreement") dated as of the ___ day of</w:t>
      </w:r>
      <w:r>
        <w:rPr>
          <w:sz w:val="20"/>
          <w:szCs w:val="20"/>
          <w:color w:val="auto"/>
        </w:rPr>
        <w:tab/>
      </w:r>
      <w:r>
        <w:rPr>
          <w:rFonts w:ascii="Arial" w:cs="Arial" w:eastAsia="Arial" w:hAnsi="Arial"/>
          <w:sz w:val="20"/>
          <w:szCs w:val="20"/>
          <w:color w:val="auto"/>
        </w:rPr>
        <w:t>, 20___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-22860</wp:posOffset>
            </wp:positionV>
            <wp:extent cx="643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“Grant Date”), between MiMedx Group, Inc. (the "Company") and _________________ (the "Participant"), is made pursuant and</w:t>
      </w:r>
    </w:p>
    <w:p>
      <w:pPr>
        <w:spacing w:after="0" w:line="1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subject to the provisions of the Company's 2016 Equity and Cash Incentive Plan, amended and restated through October 2, 2020 (the "Plan"), a copy of which is attached hereto. All terms used herein that are defined in the Plan shall have the same meaning given them in the Plan.</w:t>
      </w:r>
    </w:p>
    <w:p>
      <w:pPr>
        <w:spacing w:after="0" w:line="186" w:lineRule="exact"/>
        <w:rPr>
          <w:sz w:val="20"/>
          <w:szCs w:val="20"/>
          <w:color w:val="auto"/>
        </w:rPr>
      </w:pPr>
    </w:p>
    <w:p>
      <w:pPr>
        <w:jc w:val="both"/>
        <w:ind w:firstLine="656"/>
        <w:spacing w:after="0" w:line="246" w:lineRule="auto"/>
        <w:tabs>
          <w:tab w:leader="none" w:pos="1299" w:val="left"/>
        </w:tabs>
        <w:numPr>
          <w:ilvl w:val="0"/>
          <w:numId w:val="34"/>
        </w:numPr>
        <w:rPr>
          <w:rFonts w:ascii="Arial" w:cs="Arial" w:eastAsia="Arial" w:hAnsi="Arial"/>
          <w:sz w:val="20"/>
          <w:szCs w:val="20"/>
          <w:i w:val="1"/>
          <w:iCs w:val="1"/>
          <w:color w:val="auto"/>
        </w:rPr>
      </w:pPr>
      <w:r>
        <w:rPr>
          <w:rFonts w:ascii="Arial" w:cs="Arial" w:eastAsia="Arial" w:hAnsi="Arial"/>
          <w:sz w:val="20"/>
          <w:szCs w:val="20"/>
          <w:i w:val="1"/>
          <w:iCs w:val="1"/>
          <w:color w:val="auto"/>
        </w:rPr>
        <w:t>Grant of Restricted Stock Units. Pursuant to the Plan, the Company, on the Grant Date granted to the Participant, subject to the terms and conditions of the Plan and subject further to the terms and conditions set forth herein, this Restricted Stock Unit Award for __________ stock units (“RSU”s). Each RSU represents the right to receive one share of Common Stock (a "Share") of the Company. The RSUs will vest as set forth in Section 2 below and, upon vesting, will be settled in Shares as set forth in Section 3 below.</w:t>
      </w:r>
    </w:p>
    <w:p>
      <w:pPr>
        <w:spacing w:after="0" w:line="184" w:lineRule="exact"/>
        <w:rPr>
          <w:rFonts w:ascii="Arial" w:cs="Arial" w:eastAsia="Arial" w:hAnsi="Arial"/>
          <w:sz w:val="20"/>
          <w:szCs w:val="20"/>
          <w:i w:val="1"/>
          <w:iCs w:val="1"/>
          <w:color w:val="auto"/>
        </w:rPr>
      </w:pPr>
    </w:p>
    <w:p>
      <w:pPr>
        <w:ind w:firstLine="656"/>
        <w:spacing w:after="0" w:line="267" w:lineRule="auto"/>
        <w:tabs>
          <w:tab w:leader="none" w:pos="1299" w:val="left"/>
        </w:tabs>
        <w:numPr>
          <w:ilvl w:val="0"/>
          <w:numId w:val="34"/>
        </w:numPr>
        <w:rPr>
          <w:rFonts w:ascii="Arial" w:cs="Arial" w:eastAsia="Arial" w:hAnsi="Arial"/>
          <w:sz w:val="20"/>
          <w:szCs w:val="20"/>
          <w:i w:val="1"/>
          <w:iCs w:val="1"/>
          <w:color w:val="auto"/>
        </w:rPr>
      </w:pPr>
      <w:r>
        <w:rPr>
          <w:rFonts w:ascii="Arial" w:cs="Arial" w:eastAsia="Arial" w:hAnsi="Arial"/>
          <w:sz w:val="20"/>
          <w:szCs w:val="20"/>
          <w:i w:val="1"/>
          <w:iCs w:val="1"/>
          <w:color w:val="auto"/>
        </w:rPr>
        <w:t>Vesting of the RSUs. Subject to earlier expiration or termination as provided herein, the RSUs will become vested (such date upon which the RSUs vest in full, the “Vesting Date”) as follows:</w:t>
      </w:r>
    </w:p>
    <w:p>
      <w:pPr>
        <w:spacing w:after="0" w:line="163" w:lineRule="exact"/>
        <w:rPr>
          <w:rFonts w:ascii="Arial" w:cs="Arial" w:eastAsia="Arial" w:hAnsi="Arial"/>
          <w:sz w:val="20"/>
          <w:szCs w:val="20"/>
          <w:i w:val="1"/>
          <w:iCs w:val="1"/>
          <w:color w:val="auto"/>
        </w:rPr>
      </w:pPr>
    </w:p>
    <w:p>
      <w:pPr>
        <w:jc w:val="both"/>
        <w:ind w:firstLine="1304"/>
        <w:spacing w:after="0" w:line="253" w:lineRule="auto"/>
        <w:tabs>
          <w:tab w:leader="none" w:pos="1970" w:val="left"/>
        </w:tabs>
        <w:numPr>
          <w:ilvl w:val="1"/>
          <w:numId w:val="34"/>
        </w:numPr>
        <w:rPr>
          <w:rFonts w:ascii="Arial" w:cs="Arial" w:eastAsia="Arial" w:hAnsi="Arial"/>
          <w:sz w:val="20"/>
          <w:szCs w:val="20"/>
          <w:color w:val="auto"/>
        </w:rPr>
      </w:pPr>
      <w:r>
        <w:rPr>
          <w:rFonts w:ascii="Arial" w:cs="Arial" w:eastAsia="Arial" w:hAnsi="Arial"/>
          <w:sz w:val="20"/>
          <w:szCs w:val="20"/>
          <w:i w:val="1"/>
          <w:iCs w:val="1"/>
          <w:color w:val="auto"/>
        </w:rPr>
        <w:t>Time-Based Vesting</w:t>
      </w:r>
      <w:r>
        <w:rPr>
          <w:rFonts w:ascii="Arial" w:cs="Arial" w:eastAsia="Arial" w:hAnsi="Arial"/>
          <w:sz w:val="20"/>
          <w:szCs w:val="20"/>
          <w:color w:val="auto"/>
        </w:rPr>
        <w:t>. The RSUs will become vested in full upon the first anniversary of the Date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the Participant has been continuously providing services as a non-employee director of the Company from the Date of Grant until such time.</w:t>
      </w:r>
    </w:p>
    <w:p>
      <w:pPr>
        <w:spacing w:after="0" w:line="177" w:lineRule="exact"/>
        <w:rPr>
          <w:rFonts w:ascii="Arial" w:cs="Arial" w:eastAsia="Arial" w:hAnsi="Arial"/>
          <w:sz w:val="20"/>
          <w:szCs w:val="20"/>
          <w:color w:val="auto"/>
        </w:rPr>
      </w:pPr>
    </w:p>
    <w:p>
      <w:pPr>
        <w:jc w:val="both"/>
        <w:ind w:right="340" w:firstLine="1304"/>
        <w:spacing w:after="0" w:line="263" w:lineRule="auto"/>
        <w:tabs>
          <w:tab w:leader="none" w:pos="1956" w:val="left"/>
        </w:tabs>
        <w:numPr>
          <w:ilvl w:val="1"/>
          <w:numId w:val="34"/>
        </w:numPr>
        <w:rPr>
          <w:rFonts w:ascii="Arial" w:cs="Arial" w:eastAsia="Arial" w:hAnsi="Arial"/>
          <w:sz w:val="19"/>
          <w:szCs w:val="19"/>
          <w:color w:val="auto"/>
        </w:rPr>
      </w:pPr>
      <w:r>
        <w:rPr>
          <w:rFonts w:ascii="Arial" w:cs="Arial" w:eastAsia="Arial" w:hAnsi="Arial"/>
          <w:sz w:val="19"/>
          <w:szCs w:val="19"/>
          <w:i w:val="1"/>
          <w:iCs w:val="1"/>
          <w:color w:val="auto"/>
        </w:rPr>
        <w:t>Change in Control</w:t>
      </w:r>
      <w:r>
        <w:rPr>
          <w:rFonts w:ascii="Arial" w:cs="Arial" w:eastAsia="Arial" w:hAnsi="Arial"/>
          <w:sz w:val="19"/>
          <w:szCs w:val="19"/>
          <w:color w:val="auto"/>
        </w:rPr>
        <w:t>. Notwithstanding the foregoing, upon the occurrence of a Change in Control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end of the applicable vesting period, any outstanding RSUs shall be treated in accordance with and governed by Section</w:t>
      </w:r>
    </w:p>
    <w:p>
      <w:pPr>
        <w:ind w:right="200"/>
        <w:spacing w:after="0" w:line="246" w:lineRule="auto"/>
        <w:rPr>
          <w:rFonts w:ascii="Arial" w:cs="Arial" w:eastAsia="Arial" w:hAnsi="Arial"/>
          <w:sz w:val="19"/>
          <w:szCs w:val="19"/>
          <w:color w:val="auto"/>
        </w:rPr>
      </w:pPr>
      <w:r>
        <w:rPr>
          <w:rFonts w:ascii="Arial" w:cs="Arial" w:eastAsia="Arial" w:hAnsi="Arial"/>
          <w:sz w:val="20"/>
          <w:szCs w:val="20"/>
          <w:color w:val="auto"/>
        </w:rPr>
        <w:t>14.05 of the Plan, provided that references to termination of employment shall mean termination of service as a non-employee director.</w:t>
      </w:r>
    </w:p>
    <w:p>
      <w:pPr>
        <w:spacing w:after="0" w:line="183" w:lineRule="exact"/>
        <w:rPr>
          <w:rFonts w:ascii="Arial" w:cs="Arial" w:eastAsia="Arial" w:hAnsi="Arial"/>
          <w:sz w:val="19"/>
          <w:szCs w:val="19"/>
          <w:color w:val="auto"/>
        </w:rPr>
      </w:pPr>
    </w:p>
    <w:p>
      <w:pPr>
        <w:jc w:val="both"/>
        <w:ind w:firstLine="1304"/>
        <w:spacing w:after="0" w:line="248" w:lineRule="auto"/>
        <w:tabs>
          <w:tab w:leader="none" w:pos="1959" w:val="left"/>
        </w:tabs>
        <w:numPr>
          <w:ilvl w:val="1"/>
          <w:numId w:val="34"/>
        </w:numPr>
        <w:rPr>
          <w:rFonts w:ascii="Arial" w:cs="Arial" w:eastAsia="Arial" w:hAnsi="Arial"/>
          <w:sz w:val="20"/>
          <w:szCs w:val="20"/>
          <w:color w:val="auto"/>
        </w:rPr>
      </w:pPr>
      <w:r>
        <w:rPr>
          <w:rFonts w:ascii="Arial" w:cs="Arial" w:eastAsia="Arial" w:hAnsi="Arial"/>
          <w:sz w:val="20"/>
          <w:szCs w:val="20"/>
          <w:i w:val="1"/>
          <w:iCs w:val="1"/>
          <w:color w:val="auto"/>
        </w:rPr>
        <w:t>Death and Disability</w:t>
      </w:r>
      <w:r>
        <w:rPr>
          <w:rFonts w:ascii="Arial" w:cs="Arial" w:eastAsia="Arial" w:hAnsi="Arial"/>
          <w:sz w:val="20"/>
          <w:szCs w:val="20"/>
          <w:color w:val="auto"/>
        </w:rPr>
        <w:t>. Notwithstanding the foregoing, if the Participant's service as a non-employee</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 of the Company is terminated on account of the Participant's death or Disability prior to the end of the applicable vesting period, the RSUs shall become fully vested upon termination of the Participant's service as a non-employee director of the Company on account of the Participant's death or Disability.</w:t>
      </w:r>
    </w:p>
    <w:p>
      <w:pPr>
        <w:spacing w:after="0" w:line="183" w:lineRule="exact"/>
        <w:rPr>
          <w:rFonts w:ascii="Arial" w:cs="Arial" w:eastAsia="Arial" w:hAnsi="Arial"/>
          <w:sz w:val="20"/>
          <w:szCs w:val="20"/>
          <w:color w:val="auto"/>
        </w:rPr>
      </w:pPr>
    </w:p>
    <w:p>
      <w:pPr>
        <w:jc w:val="both"/>
        <w:ind w:firstLine="656"/>
        <w:spacing w:after="0" w:line="253" w:lineRule="auto"/>
        <w:tabs>
          <w:tab w:leader="none" w:pos="1299" w:val="left"/>
        </w:tabs>
        <w:numPr>
          <w:ilvl w:val="0"/>
          <w:numId w:val="34"/>
        </w:numPr>
        <w:rPr>
          <w:rFonts w:ascii="Arial" w:cs="Arial" w:eastAsia="Arial" w:hAnsi="Arial"/>
          <w:sz w:val="20"/>
          <w:szCs w:val="20"/>
          <w:i w:val="1"/>
          <w:iCs w:val="1"/>
          <w:color w:val="auto"/>
        </w:rPr>
      </w:pPr>
      <w:r>
        <w:rPr>
          <w:rFonts w:ascii="Arial" w:cs="Arial" w:eastAsia="Arial" w:hAnsi="Arial"/>
          <w:sz w:val="20"/>
          <w:szCs w:val="20"/>
          <w:i w:val="1"/>
          <w:iCs w:val="1"/>
          <w:color w:val="auto"/>
        </w:rPr>
        <w:t>Settlement of RSUs. Except as otherwise required by applicable law or as set forth below or in the Plan, the Company shall cause one Share to be issued to Participant for each RSU that vests upon the Vesting Date, with such Shares to be delivered to Participant upon the Vesting Date.</w:t>
      </w:r>
    </w:p>
    <w:p>
      <w:pPr>
        <w:spacing w:after="0" w:line="177" w:lineRule="exact"/>
        <w:rPr>
          <w:rFonts w:ascii="Arial" w:cs="Arial" w:eastAsia="Arial" w:hAnsi="Arial"/>
          <w:sz w:val="20"/>
          <w:szCs w:val="20"/>
          <w:i w:val="1"/>
          <w:iCs w:val="1"/>
          <w:color w:val="auto"/>
        </w:rPr>
      </w:pPr>
    </w:p>
    <w:p>
      <w:pPr>
        <w:jc w:val="both"/>
        <w:ind w:firstLine="656"/>
        <w:spacing w:after="0" w:line="248" w:lineRule="auto"/>
        <w:tabs>
          <w:tab w:leader="none" w:pos="1299" w:val="left"/>
        </w:tabs>
        <w:numPr>
          <w:ilvl w:val="0"/>
          <w:numId w:val="34"/>
        </w:numPr>
        <w:rPr>
          <w:rFonts w:ascii="Arial" w:cs="Arial" w:eastAsia="Arial" w:hAnsi="Arial"/>
          <w:sz w:val="20"/>
          <w:szCs w:val="20"/>
          <w:i w:val="1"/>
          <w:iCs w:val="1"/>
          <w:color w:val="auto"/>
        </w:rPr>
      </w:pPr>
      <w:r>
        <w:rPr>
          <w:rFonts w:ascii="Arial" w:cs="Arial" w:eastAsia="Arial" w:hAnsi="Arial"/>
          <w:sz w:val="20"/>
          <w:szCs w:val="20"/>
          <w:i w:val="1"/>
          <w:iCs w:val="1"/>
          <w:color w:val="auto"/>
        </w:rPr>
        <w:t>Forfeiture of the RSUs. RSUs that are not vested pursuant to Sections 2(a), (b) or (c) as of the date of termination of Participant’s service as a non-employee director of the Company will be forfeited automatically at the close of business on that date (or immediately upon notice of termination for Cause). In no event may the RSUs become vested, in whole or in part, after forfeiture pursuant to this Section 4.</w:t>
      </w:r>
    </w:p>
    <w:p>
      <w:pPr>
        <w:spacing w:after="0" w:line="183" w:lineRule="exact"/>
        <w:rPr>
          <w:rFonts w:ascii="Arial" w:cs="Arial" w:eastAsia="Arial" w:hAnsi="Arial"/>
          <w:sz w:val="20"/>
          <w:szCs w:val="20"/>
          <w:i w:val="1"/>
          <w:iCs w:val="1"/>
          <w:color w:val="auto"/>
        </w:rPr>
      </w:pPr>
    </w:p>
    <w:p>
      <w:pPr>
        <w:jc w:val="both"/>
        <w:ind w:firstLine="656"/>
        <w:spacing w:after="0" w:line="253" w:lineRule="auto"/>
        <w:tabs>
          <w:tab w:leader="none" w:pos="1299" w:val="left"/>
        </w:tabs>
        <w:numPr>
          <w:ilvl w:val="0"/>
          <w:numId w:val="34"/>
        </w:numPr>
        <w:rPr>
          <w:rFonts w:ascii="Arial" w:cs="Arial" w:eastAsia="Arial" w:hAnsi="Arial"/>
          <w:sz w:val="20"/>
          <w:szCs w:val="20"/>
          <w:i w:val="1"/>
          <w:iCs w:val="1"/>
          <w:color w:val="auto"/>
        </w:rPr>
      </w:pPr>
      <w:r>
        <w:rPr>
          <w:rFonts w:ascii="Arial" w:cs="Arial" w:eastAsia="Arial" w:hAnsi="Arial"/>
          <w:sz w:val="20"/>
          <w:szCs w:val="20"/>
          <w:i w:val="1"/>
          <w:iCs w:val="1"/>
          <w:color w:val="auto"/>
        </w:rPr>
        <w:t>Agreement to Terms of the Plan and this Agreement. The Participant has received a copy of the Plan, has read and understands the terms of the Plan and this Agreement, and agrees to be bound by their terms and conditions. All decisions and interpretations made by the Company or the</w:t>
      </w:r>
    </w:p>
    <w:p>
      <w:pPr>
        <w:sectPr>
          <w:pgSz w:w="11900" w:h="16838" w:orient="portrait"/>
          <w:cols w:equalWidth="0" w:num="1">
            <w:col w:w="11240"/>
          </w:cols>
          <w:pgMar w:left="320" w:top="112" w:right="339" w:bottom="1440" w:gutter="0" w:footer="0" w:header="0"/>
        </w:sectPr>
      </w:pPr>
    </w:p>
    <w:bookmarkStart w:id="56" w:name="page57"/>
    <w:bookmarkEnd w:id="56"/>
    <w:p>
      <w:pPr>
        <w:spacing w:after="0" w:line="267" w:lineRule="auto"/>
        <w:rPr>
          <w:sz w:val="20"/>
          <w:szCs w:val="20"/>
          <w:color w:val="auto"/>
        </w:rPr>
      </w:pPr>
      <w:r>
        <w:rPr>
          <w:rFonts w:ascii="Arial" w:cs="Arial" w:eastAsia="Arial" w:hAnsi="Arial"/>
          <w:sz w:val="20"/>
          <w:szCs w:val="20"/>
          <w:i w:val="1"/>
          <w:iCs w:val="1"/>
          <w:color w:val="auto"/>
        </w:rPr>
        <w:t>Committee with regard to any question arising under this Agreement will be binding and conclusive on the Company and Participant and any other person who has any rights under this Agreement.</w:t>
      </w:r>
    </w:p>
    <w:p>
      <w:pPr>
        <w:spacing w:after="0" w:line="163" w:lineRule="exact"/>
        <w:rPr>
          <w:sz w:val="20"/>
          <w:szCs w:val="20"/>
          <w:color w:val="auto"/>
        </w:rPr>
      </w:pPr>
    </w:p>
    <w:p>
      <w:pPr>
        <w:jc w:val="both"/>
        <w:ind w:firstLine="656"/>
        <w:spacing w:after="0" w:line="244" w:lineRule="auto"/>
        <w:tabs>
          <w:tab w:leader="none" w:pos="1299" w:val="left"/>
        </w:tabs>
        <w:numPr>
          <w:ilvl w:val="0"/>
          <w:numId w:val="35"/>
        </w:numPr>
        <w:rPr>
          <w:rFonts w:ascii="Arial" w:cs="Arial" w:eastAsia="Arial" w:hAnsi="Arial"/>
          <w:sz w:val="20"/>
          <w:szCs w:val="20"/>
          <w:i w:val="1"/>
          <w:iCs w:val="1"/>
          <w:color w:val="auto"/>
        </w:rPr>
      </w:pPr>
      <w:r>
        <w:rPr>
          <w:rFonts w:ascii="Arial" w:cs="Arial" w:eastAsia="Arial" w:hAnsi="Arial"/>
          <w:sz w:val="20"/>
          <w:szCs w:val="20"/>
          <w:i w:val="1"/>
          <w:iCs w:val="1"/>
          <w:color w:val="auto"/>
        </w:rPr>
        <w:t>Tax Consequences. The Participant acknowledges (i) that there may be adverse tax consequences upon acquisition or disposition of the Shares or, if applicable, cash payment that may be received upon vesting of the RSUs and (ii) that Participant should consult a tax adviser prior to such acquisition or disposition. The Participant is solely responsible for determining the tax consequences of the Restricted Stock Unit Award and for satisfying the Participant’s tax obligations with respect to the Restricted Stock Unit Award (including, but not limited to, any income or excise tax as resulting from the application of Code Sections 409A or 4999 or related interest and penalties), and the Company and its Affiliates shall not be liable if this grant is subject to Code Sections 409A, 280G or 4999.</w:t>
      </w:r>
    </w:p>
    <w:p>
      <w:pPr>
        <w:spacing w:after="0" w:line="185" w:lineRule="exact"/>
        <w:rPr>
          <w:rFonts w:ascii="Arial" w:cs="Arial" w:eastAsia="Arial" w:hAnsi="Arial"/>
          <w:sz w:val="20"/>
          <w:szCs w:val="20"/>
          <w:i w:val="1"/>
          <w:iCs w:val="1"/>
          <w:color w:val="auto"/>
        </w:rPr>
      </w:pPr>
    </w:p>
    <w:p>
      <w:pPr>
        <w:ind w:firstLine="656"/>
        <w:spacing w:after="0" w:line="267" w:lineRule="auto"/>
        <w:tabs>
          <w:tab w:leader="none" w:pos="1299" w:val="left"/>
        </w:tabs>
        <w:numPr>
          <w:ilvl w:val="0"/>
          <w:numId w:val="35"/>
        </w:numPr>
        <w:rPr>
          <w:rFonts w:ascii="Arial" w:cs="Arial" w:eastAsia="Arial" w:hAnsi="Arial"/>
          <w:sz w:val="20"/>
          <w:szCs w:val="20"/>
          <w:i w:val="1"/>
          <w:iCs w:val="1"/>
          <w:color w:val="auto"/>
        </w:rPr>
      </w:pPr>
      <w:r>
        <w:rPr>
          <w:rFonts w:ascii="Arial" w:cs="Arial" w:eastAsia="Arial" w:hAnsi="Arial"/>
          <w:sz w:val="20"/>
          <w:szCs w:val="20"/>
          <w:i w:val="1"/>
          <w:iCs w:val="1"/>
          <w:color w:val="auto"/>
        </w:rPr>
        <w:t>Fractional Shares. Fractional Shares shall not be issuable hereunder, and when any provision hereof may entitle the Participant to a fractional Share such fractional Share shall be disregarded.</w:t>
      </w:r>
    </w:p>
    <w:p>
      <w:pPr>
        <w:spacing w:after="0" w:line="163" w:lineRule="exact"/>
        <w:rPr>
          <w:rFonts w:ascii="Arial" w:cs="Arial" w:eastAsia="Arial" w:hAnsi="Arial"/>
          <w:sz w:val="20"/>
          <w:szCs w:val="20"/>
          <w:i w:val="1"/>
          <w:iCs w:val="1"/>
          <w:color w:val="auto"/>
        </w:rPr>
      </w:pPr>
    </w:p>
    <w:p>
      <w:pPr>
        <w:jc w:val="both"/>
        <w:ind w:firstLine="656"/>
        <w:spacing w:after="0" w:line="253" w:lineRule="auto"/>
        <w:tabs>
          <w:tab w:leader="none" w:pos="1299" w:val="left"/>
        </w:tabs>
        <w:numPr>
          <w:ilvl w:val="0"/>
          <w:numId w:val="35"/>
        </w:numPr>
        <w:rPr>
          <w:rFonts w:ascii="Arial" w:cs="Arial" w:eastAsia="Arial" w:hAnsi="Arial"/>
          <w:sz w:val="20"/>
          <w:szCs w:val="20"/>
          <w:i w:val="1"/>
          <w:iCs w:val="1"/>
          <w:color w:val="auto"/>
        </w:rPr>
      </w:pPr>
      <w:r>
        <w:rPr>
          <w:rFonts w:ascii="Arial" w:cs="Arial" w:eastAsia="Arial" w:hAnsi="Arial"/>
          <w:sz w:val="20"/>
          <w:szCs w:val="20"/>
          <w:i w:val="1"/>
          <w:iCs w:val="1"/>
          <w:color w:val="auto"/>
        </w:rPr>
        <w:t>Change in Capital Structure. The RSUs shall be adjusted in accordance with the terms and conditions of the Plan as the Committee determines is equitably required in the event the Company effects one or more stock dividends, stock splits, subdivisions or consolidations of shares or other similar changes in capitalization.</w:t>
      </w:r>
    </w:p>
    <w:p>
      <w:pPr>
        <w:spacing w:after="0" w:line="177" w:lineRule="exact"/>
        <w:rPr>
          <w:rFonts w:ascii="Arial" w:cs="Arial" w:eastAsia="Arial" w:hAnsi="Arial"/>
          <w:sz w:val="20"/>
          <w:szCs w:val="20"/>
          <w:i w:val="1"/>
          <w:iCs w:val="1"/>
          <w:color w:val="auto"/>
        </w:rPr>
      </w:pPr>
    </w:p>
    <w:p>
      <w:pPr>
        <w:jc w:val="both"/>
        <w:ind w:firstLine="656"/>
        <w:spacing w:after="0" w:line="253" w:lineRule="auto"/>
        <w:tabs>
          <w:tab w:leader="none" w:pos="1299" w:val="left"/>
        </w:tabs>
        <w:numPr>
          <w:ilvl w:val="0"/>
          <w:numId w:val="35"/>
        </w:numPr>
        <w:rPr>
          <w:rFonts w:ascii="Arial" w:cs="Arial" w:eastAsia="Arial" w:hAnsi="Arial"/>
          <w:sz w:val="20"/>
          <w:szCs w:val="20"/>
          <w:i w:val="1"/>
          <w:iCs w:val="1"/>
          <w:color w:val="auto"/>
        </w:rPr>
      </w:pPr>
      <w:r>
        <w:rPr>
          <w:rFonts w:ascii="Arial" w:cs="Arial" w:eastAsia="Arial" w:hAnsi="Arial"/>
          <w:sz w:val="20"/>
          <w:szCs w:val="20"/>
          <w:i w:val="1"/>
          <w:iCs w:val="1"/>
          <w:color w:val="auto"/>
        </w:rPr>
        <w:t>Notice. Any notice or other communication given pursuant to this Agreement, or in any way with respect to the RSUs, shall be in writing and shall be personally delivered or mailed by United States registered or certified mail, postage prepaid, return receipt requested, to the following addresses:</w:t>
      </w:r>
    </w:p>
    <w:p>
      <w:pPr>
        <w:spacing w:after="0" w:line="197" w:lineRule="exact"/>
        <w:rPr>
          <w:sz w:val="20"/>
          <w:szCs w:val="20"/>
          <w:color w:val="auto"/>
        </w:rPr>
      </w:pPr>
    </w:p>
    <w:p>
      <w:pPr>
        <w:ind w:left="1300"/>
        <w:spacing w:after="0"/>
        <w:tabs>
          <w:tab w:leader="none" w:pos="312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9"/>
          <w:szCs w:val="19"/>
          <w:color w:val="auto"/>
        </w:rPr>
        <w:t>MiMedx Group, Inc.</w:t>
      </w:r>
    </w:p>
    <w:p>
      <w:pPr>
        <w:ind w:left="1520"/>
        <w:spacing w:after="0"/>
        <w:rPr>
          <w:sz w:val="20"/>
          <w:szCs w:val="20"/>
          <w:color w:val="auto"/>
        </w:rPr>
      </w:pPr>
      <w:r>
        <w:rPr>
          <w:rFonts w:ascii="Arial" w:cs="Arial" w:eastAsia="Arial" w:hAnsi="Arial"/>
          <w:sz w:val="20"/>
          <w:szCs w:val="20"/>
          <w:color w:val="auto"/>
        </w:rPr>
        <w:t>1775 West Oak Commons Ct. NE</w:t>
      </w:r>
    </w:p>
    <w:p>
      <w:pPr>
        <w:ind w:left="1520"/>
        <w:spacing w:after="0"/>
        <w:rPr>
          <w:sz w:val="20"/>
          <w:szCs w:val="20"/>
          <w:color w:val="auto"/>
        </w:rPr>
      </w:pPr>
      <w:r>
        <w:rPr>
          <w:rFonts w:ascii="Arial" w:cs="Arial" w:eastAsia="Arial" w:hAnsi="Arial"/>
          <w:sz w:val="20"/>
          <w:szCs w:val="20"/>
          <w:color w:val="auto"/>
        </w:rPr>
        <w:t>Marietta, Georgia 30062</w:t>
      </w:r>
    </w:p>
    <w:p>
      <w:pPr>
        <w:ind w:left="1520"/>
        <w:spacing w:after="0"/>
        <w:rPr>
          <w:sz w:val="20"/>
          <w:szCs w:val="20"/>
          <w:color w:val="auto"/>
        </w:rPr>
      </w:pPr>
      <w:r>
        <w:rPr>
          <w:rFonts w:ascii="Arial" w:cs="Arial" w:eastAsia="Arial" w:hAnsi="Arial"/>
          <w:sz w:val="20"/>
          <w:szCs w:val="20"/>
          <w:color w:val="auto"/>
        </w:rPr>
        <w:t>Attn: General Counsel</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-22860</wp:posOffset>
            </wp:positionV>
            <wp:extent cx="139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139700"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121920</wp:posOffset>
            </wp:positionV>
            <wp:extent cx="139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39700"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267970</wp:posOffset>
            </wp:positionV>
            <wp:extent cx="139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56"/>
        <w:spacing w:after="0" w:line="242" w:lineRule="auto"/>
        <w:tabs>
          <w:tab w:leader="none" w:pos="1314" w:val="left"/>
        </w:tabs>
        <w:numPr>
          <w:ilvl w:val="0"/>
          <w:numId w:val="36"/>
        </w:numPr>
        <w:rPr>
          <w:rFonts w:ascii="Arial" w:cs="Arial" w:eastAsia="Arial" w:hAnsi="Arial"/>
          <w:sz w:val="20"/>
          <w:szCs w:val="20"/>
          <w:i w:val="1"/>
          <w:iCs w:val="1"/>
          <w:color w:val="auto"/>
        </w:rPr>
      </w:pPr>
      <w:r>
        <w:rPr>
          <w:rFonts w:ascii="Arial" w:cs="Arial" w:eastAsia="Arial" w:hAnsi="Arial"/>
          <w:sz w:val="20"/>
          <w:szCs w:val="20"/>
          <w:i w:val="1"/>
          <w:iCs w:val="1"/>
          <w:color w:val="auto"/>
        </w:rPr>
        <w:t>Shareholder Rights. Except as provided below, Participant shall have no rights as a shareholder of the Company with respect to Shares underlying the RSUs unless and until Shares are delivered to Participant in respect of such RSUs upon vesting. The RSUs will be entitled to accrue Dividend Equivalents, which will be subject to all conditions and restrictions applicable to the underlying RSUs to which they relate, and which may not be paid until and unless the underlying RSUs have vested. Dividend Equivalents will accrue prior to the issuance of Shares with respect to the RSUs or their earlier forfeiture. Dividend Equivalents will be earned only for RSUs that are earned or deemed earned under this Agreement. With respect to RSUs that are not earned (because the applicable vesting restrictions do not lapse or otherwise), Dividend Equivalents that were accrued for those RSUs will be cancelled and forfeited along with the RSUs and underlying Shares, without payment therefor by the Company or any Affiliate. Dividend Equivalents will be paid at such time as the underlying RSUs to which they relate are paid.</w:t>
      </w:r>
    </w:p>
    <w:p>
      <w:pPr>
        <w:spacing w:after="0" w:line="192" w:lineRule="exact"/>
        <w:rPr>
          <w:rFonts w:ascii="Arial" w:cs="Arial" w:eastAsia="Arial" w:hAnsi="Arial"/>
          <w:sz w:val="20"/>
          <w:szCs w:val="20"/>
          <w:i w:val="1"/>
          <w:iCs w:val="1"/>
          <w:color w:val="auto"/>
        </w:rPr>
      </w:pPr>
    </w:p>
    <w:p>
      <w:pPr>
        <w:ind w:firstLine="656"/>
        <w:spacing w:after="0" w:line="267" w:lineRule="auto"/>
        <w:tabs>
          <w:tab w:leader="none" w:pos="1314" w:val="left"/>
        </w:tabs>
        <w:numPr>
          <w:ilvl w:val="0"/>
          <w:numId w:val="36"/>
        </w:numPr>
        <w:rPr>
          <w:rFonts w:ascii="Arial" w:cs="Arial" w:eastAsia="Arial" w:hAnsi="Arial"/>
          <w:sz w:val="20"/>
          <w:szCs w:val="20"/>
          <w:i w:val="1"/>
          <w:iCs w:val="1"/>
          <w:color w:val="auto"/>
        </w:rPr>
      </w:pPr>
      <w:r>
        <w:rPr>
          <w:rFonts w:ascii="Arial" w:cs="Arial" w:eastAsia="Arial" w:hAnsi="Arial"/>
          <w:sz w:val="20"/>
          <w:szCs w:val="20"/>
          <w:i w:val="1"/>
          <w:iCs w:val="1"/>
          <w:color w:val="auto"/>
        </w:rPr>
        <w:t>No Right to Continued Service. Neither the Plan, the granting of the RSUs nor any other action taken pursuant to the Plan or this Agreement constitutes or is evidence of any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57" w:name="page58"/>
    <w:bookmarkEnd w:id="57"/>
    <w:p>
      <w:pPr>
        <w:spacing w:after="0" w:line="267" w:lineRule="auto"/>
        <w:rPr>
          <w:sz w:val="20"/>
          <w:szCs w:val="20"/>
          <w:color w:val="auto"/>
        </w:rPr>
      </w:pPr>
      <w:r>
        <w:rPr>
          <w:rFonts w:ascii="Arial" w:cs="Arial" w:eastAsia="Arial" w:hAnsi="Arial"/>
          <w:sz w:val="20"/>
          <w:szCs w:val="20"/>
          <w:i w:val="1"/>
          <w:iCs w:val="1"/>
          <w:color w:val="auto"/>
        </w:rPr>
        <w:t>understanding, expressed or implied, that the Company or any Affiliate shall retain the Participant as a service provider for any period of time or at any particular rate of compensation.</w:t>
      </w:r>
    </w:p>
    <w:p>
      <w:pPr>
        <w:spacing w:after="0" w:line="163" w:lineRule="exact"/>
        <w:rPr>
          <w:sz w:val="20"/>
          <w:szCs w:val="20"/>
          <w:color w:val="auto"/>
        </w:rPr>
      </w:pPr>
    </w:p>
    <w:p>
      <w:pPr>
        <w:jc w:val="both"/>
        <w:ind w:firstLine="656"/>
        <w:spacing w:after="0" w:line="253" w:lineRule="auto"/>
        <w:tabs>
          <w:tab w:leader="none" w:pos="1314"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Binding Effect. Subject to the limitations stated above and in the Plan, this Agreement shall be binding upon and inure to the benefit of the legatees, distributees, and personal representatives of the Participant and the successors of the Company.</w:t>
      </w:r>
    </w:p>
    <w:p>
      <w:pPr>
        <w:spacing w:after="0" w:line="177" w:lineRule="exact"/>
        <w:rPr>
          <w:rFonts w:ascii="Arial" w:cs="Arial" w:eastAsia="Arial" w:hAnsi="Arial"/>
          <w:sz w:val="20"/>
          <w:szCs w:val="20"/>
          <w:i w:val="1"/>
          <w:iCs w:val="1"/>
          <w:color w:val="auto"/>
        </w:rPr>
      </w:pPr>
    </w:p>
    <w:p>
      <w:pPr>
        <w:ind w:firstLine="656"/>
        <w:spacing w:after="0" w:line="267" w:lineRule="auto"/>
        <w:tabs>
          <w:tab w:leader="none" w:pos="1314"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Conflicts. In the event of any conflict between the provisions of the Plan and the provisions of this Agreement, the provisions of the Plan shall govern. All references herein to the Plan shall mean the Plan as in effect on the date hereof.</w:t>
      </w:r>
    </w:p>
    <w:p>
      <w:pPr>
        <w:spacing w:after="0" w:line="163" w:lineRule="exact"/>
        <w:rPr>
          <w:rFonts w:ascii="Arial" w:cs="Arial" w:eastAsia="Arial" w:hAnsi="Arial"/>
          <w:sz w:val="20"/>
          <w:szCs w:val="20"/>
          <w:i w:val="1"/>
          <w:iCs w:val="1"/>
          <w:color w:val="auto"/>
        </w:rPr>
      </w:pPr>
    </w:p>
    <w:p>
      <w:pPr>
        <w:ind w:firstLine="656"/>
        <w:spacing w:after="0" w:line="267" w:lineRule="auto"/>
        <w:tabs>
          <w:tab w:leader="none" w:pos="1314"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Counterparts. This Agreement may be executed in a number of counterparts, each of which shall be deemed an original, but all of which together shall constitute one in the same instrument.</w:t>
      </w:r>
    </w:p>
    <w:p>
      <w:pPr>
        <w:spacing w:after="0" w:line="163" w:lineRule="exact"/>
        <w:rPr>
          <w:rFonts w:ascii="Arial" w:cs="Arial" w:eastAsia="Arial" w:hAnsi="Arial"/>
          <w:sz w:val="20"/>
          <w:szCs w:val="20"/>
          <w:i w:val="1"/>
          <w:iCs w:val="1"/>
          <w:color w:val="auto"/>
        </w:rPr>
      </w:pPr>
    </w:p>
    <w:p>
      <w:pPr>
        <w:jc w:val="both"/>
        <w:ind w:right="20" w:firstLine="656"/>
        <w:spacing w:after="0" w:line="253" w:lineRule="auto"/>
        <w:tabs>
          <w:tab w:leader="none" w:pos="1314"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Miscellaneous. The parties agree to execute such further instruments and take such further actions as may be necessary to carry out the intent of the Plan and this Agreement. This Agreement and the Plan shall constitute the entire agreement of the parties with respect to the subject matter hereof.</w:t>
      </w:r>
    </w:p>
    <w:p>
      <w:pPr>
        <w:spacing w:after="0" w:line="177" w:lineRule="exact"/>
        <w:rPr>
          <w:rFonts w:ascii="Arial" w:cs="Arial" w:eastAsia="Arial" w:hAnsi="Arial"/>
          <w:sz w:val="20"/>
          <w:szCs w:val="20"/>
          <w:i w:val="1"/>
          <w:iCs w:val="1"/>
          <w:color w:val="auto"/>
        </w:rPr>
      </w:pPr>
    </w:p>
    <w:p>
      <w:pPr>
        <w:jc w:val="both"/>
        <w:ind w:firstLine="656"/>
        <w:spacing w:after="0" w:line="244" w:lineRule="auto"/>
        <w:tabs>
          <w:tab w:leader="none" w:pos="1314"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Section 409A. Notwithstanding any of the provisions of this Agreement, it is intended that the RSUs granted pursuant to this Agreement be exempt from Section 409A of the Code as shortterm deferrals, pursuant to Treasury regulation §1.409A-1(b)(4), or otherwise comply with Section 409A of the Code. Notwithstanding the preceding, neither the Company nor any Affiliate shall be liable to the Participant or any other person if the Internal Revenue Service or any court or other authority have any jurisdiction over such matter determines for any reason that the RSUs are subject to taxes, penalties or interest as a result of failing to be exempt from, or comply with, Section 409A of the Code. For the avoidance of doubt, the provisions of this Agreement shall be construed and interpreted consistent with Article XXII of the Plan.</w:t>
      </w:r>
    </w:p>
    <w:p>
      <w:pPr>
        <w:spacing w:after="0" w:line="185" w:lineRule="exact"/>
        <w:rPr>
          <w:rFonts w:ascii="Arial" w:cs="Arial" w:eastAsia="Arial" w:hAnsi="Arial"/>
          <w:sz w:val="20"/>
          <w:szCs w:val="20"/>
          <w:i w:val="1"/>
          <w:iCs w:val="1"/>
          <w:color w:val="auto"/>
        </w:rPr>
      </w:pPr>
    </w:p>
    <w:p>
      <w:pPr>
        <w:jc w:val="both"/>
        <w:ind w:firstLine="656"/>
        <w:spacing w:after="0" w:line="246" w:lineRule="auto"/>
        <w:tabs>
          <w:tab w:leader="none" w:pos="1314"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Compensation Recoupment Policy. Notwithstanding any other provision of this Agreement, the rights, payments and benefits with respect to the RSUs (including any amounts received by Participant in connection with a sale of Shares received upon the vesting of RSUs) shall be subject to reduction, reimbursement, cancellation, forfeiture, recoupment or return by the Company, to the extent any reduction, reimbursement, cancellation, forfeiture, recoupment or return is required under applicable law or the Company’s Compensation Recoupment Policy or any similar policy that the Company may adopt.</w:t>
      </w:r>
    </w:p>
    <w:p>
      <w:pPr>
        <w:spacing w:after="0" w:line="184" w:lineRule="exact"/>
        <w:rPr>
          <w:rFonts w:ascii="Arial" w:cs="Arial" w:eastAsia="Arial" w:hAnsi="Arial"/>
          <w:sz w:val="20"/>
          <w:szCs w:val="20"/>
          <w:i w:val="1"/>
          <w:iCs w:val="1"/>
          <w:color w:val="auto"/>
        </w:rPr>
      </w:pPr>
    </w:p>
    <w:p>
      <w:pPr>
        <w:ind w:left="1320" w:hanging="664"/>
        <w:spacing w:after="0"/>
        <w:tabs>
          <w:tab w:leader="none" w:pos="1320"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Governing Law. This Agreement shall be governed by the governing laws applicable to the Plan.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2" w:right="339" w:bottom="1440" w:gutter="0" w:footer="0" w:header="0"/>
        </w:sectPr>
      </w:pPr>
    </w:p>
    <w:bookmarkStart w:id="58" w:name="page59"/>
    <w:bookmarkEnd w:id="58"/>
    <w:p>
      <w:pPr>
        <w:ind w:firstLine="648"/>
        <w:spacing w:after="0" w:line="246" w:lineRule="auto"/>
        <w:rPr>
          <w:sz w:val="20"/>
          <w:szCs w:val="20"/>
          <w:color w:val="auto"/>
        </w:rPr>
      </w:pPr>
      <w:r>
        <w:rPr>
          <w:rFonts w:ascii="Arial" w:cs="Arial" w:eastAsia="Arial" w:hAnsi="Arial"/>
          <w:sz w:val="20"/>
          <w:szCs w:val="20"/>
          <w:color w:val="auto"/>
        </w:rPr>
        <w:t>IN WITNESS WHEREOF, the Company has caused this Agreement to be signed by a duly authorized officer, and the Participant has affixed the Participant’s signature hereto.</w:t>
      </w: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MIMEDX GROUP, INC.</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-22860</wp:posOffset>
            </wp:positionV>
            <wp:extent cx="139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-22860</wp:posOffset>
            </wp:positionV>
            <wp:extent cx="139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-22860</wp:posOffset>
            </wp:positionV>
            <wp:extent cx="139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396240</wp:posOffset>
            </wp:positionV>
            <wp:extent cx="139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i w:val="1"/>
          <w:iCs w:val="1"/>
          <w:color w:val="auto"/>
        </w:rPr>
        <w:t>Proposed Form of Director RSU – one year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MIMEDX GROUP,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AND CASH INCENTIVE PLAN</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Non-Employee Director Restricted Stock Unit Agreement</w:t>
      </w:r>
    </w:p>
    <w:p>
      <w:pPr>
        <w:spacing w:after="0" w:line="239" w:lineRule="exact"/>
        <w:rPr>
          <w:sz w:val="20"/>
          <w:szCs w:val="20"/>
          <w:color w:val="auto"/>
        </w:rPr>
      </w:pPr>
    </w:p>
    <w:p>
      <w:pPr>
        <w:ind w:left="660"/>
        <w:spacing w:after="0"/>
        <w:tabs>
          <w:tab w:leader="none" w:pos="10140" w:val="left"/>
        </w:tabs>
        <w:rPr>
          <w:sz w:val="20"/>
          <w:szCs w:val="20"/>
          <w:color w:val="auto"/>
        </w:rPr>
      </w:pPr>
      <w:r>
        <w:rPr>
          <w:rFonts w:ascii="Arial" w:cs="Arial" w:eastAsia="Arial" w:hAnsi="Arial"/>
          <w:sz w:val="20"/>
          <w:szCs w:val="20"/>
          <w:color w:val="auto"/>
        </w:rPr>
        <w:t>THIS RESTRICTED STOCK UNIT AGREEMENT (this "Agreement") dated as of the ___ day of</w:t>
      </w:r>
      <w:r>
        <w:rPr>
          <w:sz w:val="20"/>
          <w:szCs w:val="20"/>
          <w:color w:val="auto"/>
        </w:rPr>
        <w:tab/>
      </w:r>
      <w:r>
        <w:rPr>
          <w:rFonts w:ascii="Arial" w:cs="Arial" w:eastAsia="Arial" w:hAnsi="Arial"/>
          <w:sz w:val="20"/>
          <w:szCs w:val="20"/>
          <w:color w:val="auto"/>
        </w:rPr>
        <w:t>, 20___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-22860</wp:posOffset>
            </wp:positionV>
            <wp:extent cx="643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“Grant Date”), between MiMedx Group, Inc. (the "Company") and _________________ (the "Participant"), is made pursuant and</w:t>
      </w:r>
    </w:p>
    <w:p>
      <w:pPr>
        <w:spacing w:after="0" w:line="1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subject to the provisions of the Company's 2016 Equity and Cash Incentive Plan, amended and restated through October 2, 2020 (the "Plan"), a copy of which is attached hereto. All terms used herein that are defined in the Plan shall have the same meaning given them in the Plan.</w:t>
      </w:r>
    </w:p>
    <w:p>
      <w:pPr>
        <w:spacing w:after="0" w:line="186" w:lineRule="exact"/>
        <w:rPr>
          <w:sz w:val="20"/>
          <w:szCs w:val="20"/>
          <w:color w:val="auto"/>
        </w:rPr>
      </w:pPr>
    </w:p>
    <w:p>
      <w:pPr>
        <w:jc w:val="both"/>
        <w:ind w:firstLine="656"/>
        <w:spacing w:after="0" w:line="246" w:lineRule="auto"/>
        <w:tabs>
          <w:tab w:leader="none" w:pos="1299"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Grant of Restricted Stock Units. Pursuant to the Plan, the Company, on the Grant Date granted to the Participant, subject to the terms and conditions of the Plan and subject further to the terms and conditions set forth herein, this Restricted Stock Unit Award for __________ stock units (“RSU”s). Each RSU represents the right to receive one share of Common Stock (a "Share") of the Company. The RSUs will vest as set forth in Section 2 below and, upon vesting, will be settled in Shares as set forth in Section 3 below.</w:t>
      </w:r>
    </w:p>
    <w:p>
      <w:pPr>
        <w:spacing w:after="0" w:line="184" w:lineRule="exact"/>
        <w:rPr>
          <w:rFonts w:ascii="Arial" w:cs="Arial" w:eastAsia="Arial" w:hAnsi="Arial"/>
          <w:sz w:val="20"/>
          <w:szCs w:val="20"/>
          <w:i w:val="1"/>
          <w:iCs w:val="1"/>
          <w:color w:val="auto"/>
        </w:rPr>
      </w:pPr>
    </w:p>
    <w:p>
      <w:pPr>
        <w:ind w:firstLine="656"/>
        <w:spacing w:after="0" w:line="267" w:lineRule="auto"/>
        <w:tabs>
          <w:tab w:leader="none" w:pos="1299"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Vesting of the RSUs. Subject to earlier expiration or termination as provided herein, the RSUs will become vested (such date upon which the RSUs vest in full, the “Vesting Date”) as follows:</w:t>
      </w:r>
    </w:p>
    <w:p>
      <w:pPr>
        <w:spacing w:after="0" w:line="163" w:lineRule="exact"/>
        <w:rPr>
          <w:rFonts w:ascii="Arial" w:cs="Arial" w:eastAsia="Arial" w:hAnsi="Arial"/>
          <w:sz w:val="20"/>
          <w:szCs w:val="20"/>
          <w:i w:val="1"/>
          <w:iCs w:val="1"/>
          <w:color w:val="auto"/>
        </w:rPr>
      </w:pPr>
    </w:p>
    <w:p>
      <w:pPr>
        <w:jc w:val="both"/>
        <w:ind w:firstLine="1304"/>
        <w:spacing w:after="0" w:line="253" w:lineRule="auto"/>
        <w:tabs>
          <w:tab w:leader="none" w:pos="1970" w:val="left"/>
        </w:tabs>
        <w:numPr>
          <w:ilvl w:val="1"/>
          <w:numId w:val="38"/>
        </w:numPr>
        <w:rPr>
          <w:rFonts w:ascii="Arial" w:cs="Arial" w:eastAsia="Arial" w:hAnsi="Arial"/>
          <w:sz w:val="20"/>
          <w:szCs w:val="20"/>
          <w:color w:val="auto"/>
        </w:rPr>
      </w:pPr>
      <w:r>
        <w:rPr>
          <w:rFonts w:ascii="Arial" w:cs="Arial" w:eastAsia="Arial" w:hAnsi="Arial"/>
          <w:sz w:val="20"/>
          <w:szCs w:val="20"/>
          <w:i w:val="1"/>
          <w:iCs w:val="1"/>
          <w:color w:val="auto"/>
        </w:rPr>
        <w:t>Time-Based Vesting</w:t>
      </w:r>
      <w:r>
        <w:rPr>
          <w:rFonts w:ascii="Arial" w:cs="Arial" w:eastAsia="Arial" w:hAnsi="Arial"/>
          <w:sz w:val="20"/>
          <w:szCs w:val="20"/>
          <w:color w:val="auto"/>
        </w:rPr>
        <w:t>. The RSUs will become vested in full upon the first anniversary of the Date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or, if earlier, the first annual meeting of Company shareholders occurring after the Grant Date, provided the Participant has been continuously providing services as a non-employee director of the Company from the Date of Grant until such time.</w:t>
      </w:r>
    </w:p>
    <w:p>
      <w:pPr>
        <w:spacing w:after="0" w:line="177" w:lineRule="exact"/>
        <w:rPr>
          <w:rFonts w:ascii="Arial" w:cs="Arial" w:eastAsia="Arial" w:hAnsi="Arial"/>
          <w:sz w:val="20"/>
          <w:szCs w:val="20"/>
          <w:color w:val="auto"/>
        </w:rPr>
      </w:pPr>
    </w:p>
    <w:p>
      <w:pPr>
        <w:jc w:val="both"/>
        <w:ind w:right="340" w:firstLine="1304"/>
        <w:spacing w:after="0" w:line="263" w:lineRule="auto"/>
        <w:tabs>
          <w:tab w:leader="none" w:pos="1956" w:val="left"/>
        </w:tabs>
        <w:numPr>
          <w:ilvl w:val="1"/>
          <w:numId w:val="38"/>
        </w:numPr>
        <w:rPr>
          <w:rFonts w:ascii="Arial" w:cs="Arial" w:eastAsia="Arial" w:hAnsi="Arial"/>
          <w:sz w:val="19"/>
          <w:szCs w:val="19"/>
          <w:color w:val="auto"/>
        </w:rPr>
      </w:pPr>
      <w:r>
        <w:rPr>
          <w:rFonts w:ascii="Arial" w:cs="Arial" w:eastAsia="Arial" w:hAnsi="Arial"/>
          <w:sz w:val="19"/>
          <w:szCs w:val="19"/>
          <w:i w:val="1"/>
          <w:iCs w:val="1"/>
          <w:color w:val="auto"/>
        </w:rPr>
        <w:t>Change in Control</w:t>
      </w:r>
      <w:r>
        <w:rPr>
          <w:rFonts w:ascii="Arial" w:cs="Arial" w:eastAsia="Arial" w:hAnsi="Arial"/>
          <w:sz w:val="19"/>
          <w:szCs w:val="19"/>
          <w:color w:val="auto"/>
        </w:rPr>
        <w:t>. Notwithstanding the foregoing, upon the occurrence of a Change in Control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end of the applicable vesting period, any outstanding RSUs shall be treated in accordance with and governed by Section</w:t>
      </w:r>
    </w:p>
    <w:p>
      <w:pPr>
        <w:ind w:right="200"/>
        <w:spacing w:after="0" w:line="246" w:lineRule="auto"/>
        <w:rPr>
          <w:rFonts w:ascii="Arial" w:cs="Arial" w:eastAsia="Arial" w:hAnsi="Arial"/>
          <w:sz w:val="19"/>
          <w:szCs w:val="19"/>
          <w:color w:val="auto"/>
        </w:rPr>
      </w:pPr>
      <w:r>
        <w:rPr>
          <w:rFonts w:ascii="Arial" w:cs="Arial" w:eastAsia="Arial" w:hAnsi="Arial"/>
          <w:sz w:val="20"/>
          <w:szCs w:val="20"/>
          <w:color w:val="auto"/>
        </w:rPr>
        <w:t>14.05 of the Plan, provided that references to termination of employment shall mean termination of service as a non-employee director.</w:t>
      </w:r>
    </w:p>
    <w:p>
      <w:pPr>
        <w:spacing w:after="0" w:line="183" w:lineRule="exact"/>
        <w:rPr>
          <w:rFonts w:ascii="Arial" w:cs="Arial" w:eastAsia="Arial" w:hAnsi="Arial"/>
          <w:sz w:val="19"/>
          <w:szCs w:val="19"/>
          <w:color w:val="auto"/>
        </w:rPr>
      </w:pPr>
    </w:p>
    <w:p>
      <w:pPr>
        <w:jc w:val="both"/>
        <w:ind w:firstLine="1304"/>
        <w:spacing w:after="0" w:line="248" w:lineRule="auto"/>
        <w:tabs>
          <w:tab w:leader="none" w:pos="1959" w:val="left"/>
        </w:tabs>
        <w:numPr>
          <w:ilvl w:val="1"/>
          <w:numId w:val="38"/>
        </w:numPr>
        <w:rPr>
          <w:rFonts w:ascii="Arial" w:cs="Arial" w:eastAsia="Arial" w:hAnsi="Arial"/>
          <w:sz w:val="20"/>
          <w:szCs w:val="20"/>
          <w:color w:val="auto"/>
        </w:rPr>
      </w:pPr>
      <w:r>
        <w:rPr>
          <w:rFonts w:ascii="Arial" w:cs="Arial" w:eastAsia="Arial" w:hAnsi="Arial"/>
          <w:sz w:val="20"/>
          <w:szCs w:val="20"/>
          <w:i w:val="1"/>
          <w:iCs w:val="1"/>
          <w:color w:val="auto"/>
        </w:rPr>
        <w:t>Death and Disability</w:t>
      </w:r>
      <w:r>
        <w:rPr>
          <w:rFonts w:ascii="Arial" w:cs="Arial" w:eastAsia="Arial" w:hAnsi="Arial"/>
          <w:sz w:val="20"/>
          <w:szCs w:val="20"/>
          <w:color w:val="auto"/>
        </w:rPr>
        <w:t>. Notwithstanding the foregoing, if the Participant's service as a non-employee</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 of the Company is terminated on account of the Participant's death or Disability prior to the end of the applicable vesting period, the RSUs shall become fully vested upon termination of the Participant's service as a non-employee director of the Company on account of the Participant's death or Disability.</w:t>
      </w:r>
    </w:p>
    <w:p>
      <w:pPr>
        <w:spacing w:after="0" w:line="183" w:lineRule="exact"/>
        <w:rPr>
          <w:rFonts w:ascii="Arial" w:cs="Arial" w:eastAsia="Arial" w:hAnsi="Arial"/>
          <w:sz w:val="20"/>
          <w:szCs w:val="20"/>
          <w:color w:val="auto"/>
        </w:rPr>
      </w:pPr>
    </w:p>
    <w:p>
      <w:pPr>
        <w:jc w:val="both"/>
        <w:ind w:firstLine="656"/>
        <w:spacing w:after="0" w:line="253" w:lineRule="auto"/>
        <w:tabs>
          <w:tab w:leader="none" w:pos="1299"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Settlement of RSUs. Except as otherwise required by applicable law or as set forth below or in the Plan, the Company shall cause one Share to be issued to Participant for each RSU that vests upon the Vesting Date, with such Shares to be delivered to Participant upon the Vesting Date.</w:t>
      </w:r>
    </w:p>
    <w:p>
      <w:pPr>
        <w:spacing w:after="0" w:line="177" w:lineRule="exact"/>
        <w:rPr>
          <w:rFonts w:ascii="Arial" w:cs="Arial" w:eastAsia="Arial" w:hAnsi="Arial"/>
          <w:sz w:val="20"/>
          <w:szCs w:val="20"/>
          <w:i w:val="1"/>
          <w:iCs w:val="1"/>
          <w:color w:val="auto"/>
        </w:rPr>
      </w:pPr>
    </w:p>
    <w:p>
      <w:pPr>
        <w:jc w:val="both"/>
        <w:ind w:firstLine="656"/>
        <w:spacing w:after="0" w:line="248" w:lineRule="auto"/>
        <w:tabs>
          <w:tab w:leader="none" w:pos="1299"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Forfeiture of the RSUs. RSUs that are not vested pursuant to Sections 2(a), (b) or (c) as of the date of termination of Participant’s service as a non-employee director of the Company will be forfeited automatically at the close of business on that date (or immediately upon notice of termination for Cause). In no event may the RSUs become vested, in whole or in part, after forfeiture pursuant to this Section 4.</w:t>
      </w:r>
    </w:p>
    <w:p>
      <w:pPr>
        <w:spacing w:after="0" w:line="183" w:lineRule="exact"/>
        <w:rPr>
          <w:rFonts w:ascii="Arial" w:cs="Arial" w:eastAsia="Arial" w:hAnsi="Arial"/>
          <w:sz w:val="20"/>
          <w:szCs w:val="20"/>
          <w:i w:val="1"/>
          <w:iCs w:val="1"/>
          <w:color w:val="auto"/>
        </w:rPr>
      </w:pPr>
    </w:p>
    <w:p>
      <w:pPr>
        <w:ind w:right="20" w:firstLine="656"/>
        <w:spacing w:after="0" w:line="267" w:lineRule="auto"/>
        <w:tabs>
          <w:tab w:leader="none" w:pos="1299"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Agreement to Terms of the Plan and this Agreement. The Participant has received a copy of the Plan, has read and understands the terms of the Plan and this Agreement, and agrees to be</w:t>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20"/>
          <w:szCs w:val="20"/>
          <w:i w:val="1"/>
          <w:iCs w:val="1"/>
          <w:color w:val="auto"/>
        </w:rPr>
        <w:t>bound by their terms and conditions. All decisions and interpretations made by the Company or the Committee with regard to any question arising under this Agreement will be binding and conclusive on the Company and Participant and any other person who has any rights under this Agreement.</w:t>
      </w:r>
    </w:p>
    <w:p>
      <w:pPr>
        <w:spacing w:after="0" w:line="177" w:lineRule="exact"/>
        <w:rPr>
          <w:sz w:val="20"/>
          <w:szCs w:val="20"/>
          <w:color w:val="auto"/>
        </w:rPr>
      </w:pPr>
    </w:p>
    <w:p>
      <w:pPr>
        <w:jc w:val="both"/>
        <w:ind w:firstLine="656"/>
        <w:spacing w:after="0" w:line="244" w:lineRule="auto"/>
        <w:tabs>
          <w:tab w:leader="none" w:pos="1299"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Tax Consequences. The Participant acknowledges (i) that there may be adverse tax consequences upon acquisition or disposition of the Shares or, if applicable, cash payment that may be received upon vesting of the RSUs and (ii) that Participant should consult a tax adviser prior to such acquisition or disposition. The Participant is solely responsible for determining the tax consequences of the Restricted Stock Unit Award and for satisfying the Participant’s tax obligations with respect to the Restricted Stock Unit Award (including, but not limited to, any income or excise tax as resulting from the application of Code Sections 409A or 4999 or related interest and penalties), and the Company and its Affiliates shall not be liable if this grant is subject to Code Sections 409A, 280G or 4999.</w:t>
      </w:r>
    </w:p>
    <w:p>
      <w:pPr>
        <w:spacing w:after="0" w:line="185" w:lineRule="exact"/>
        <w:rPr>
          <w:rFonts w:ascii="Arial" w:cs="Arial" w:eastAsia="Arial" w:hAnsi="Arial"/>
          <w:sz w:val="20"/>
          <w:szCs w:val="20"/>
          <w:i w:val="1"/>
          <w:iCs w:val="1"/>
          <w:color w:val="auto"/>
        </w:rPr>
      </w:pPr>
    </w:p>
    <w:p>
      <w:pPr>
        <w:ind w:firstLine="656"/>
        <w:spacing w:after="0" w:line="267" w:lineRule="auto"/>
        <w:tabs>
          <w:tab w:leader="none" w:pos="1299"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Fractional Shares. Fractional Shares shall not be issuable hereunder, and when any provision hereof may entitle the Participant to a fractional Share such fractional Share shall be disregarded.</w:t>
      </w:r>
    </w:p>
    <w:p>
      <w:pPr>
        <w:spacing w:after="0" w:line="163" w:lineRule="exact"/>
        <w:rPr>
          <w:rFonts w:ascii="Arial" w:cs="Arial" w:eastAsia="Arial" w:hAnsi="Arial"/>
          <w:sz w:val="20"/>
          <w:szCs w:val="20"/>
          <w:i w:val="1"/>
          <w:iCs w:val="1"/>
          <w:color w:val="auto"/>
        </w:rPr>
      </w:pPr>
    </w:p>
    <w:p>
      <w:pPr>
        <w:jc w:val="both"/>
        <w:ind w:firstLine="656"/>
        <w:spacing w:after="0" w:line="253" w:lineRule="auto"/>
        <w:tabs>
          <w:tab w:leader="none" w:pos="1299"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Change in Capital Structure. The RSUs shall be adjusted in accordance with the terms and conditions of the Plan as the Committee determines is equitably required in the event the Company effects one or more stock dividends, stock splits, subdivisions or consolidations of shares or other similar changes in capitalization.</w:t>
      </w:r>
    </w:p>
    <w:p>
      <w:pPr>
        <w:spacing w:after="0" w:line="177" w:lineRule="exact"/>
        <w:rPr>
          <w:rFonts w:ascii="Arial" w:cs="Arial" w:eastAsia="Arial" w:hAnsi="Arial"/>
          <w:sz w:val="20"/>
          <w:szCs w:val="20"/>
          <w:i w:val="1"/>
          <w:iCs w:val="1"/>
          <w:color w:val="auto"/>
        </w:rPr>
      </w:pPr>
    </w:p>
    <w:p>
      <w:pPr>
        <w:jc w:val="both"/>
        <w:ind w:firstLine="656"/>
        <w:spacing w:after="0" w:line="253" w:lineRule="auto"/>
        <w:tabs>
          <w:tab w:leader="none" w:pos="1299"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Notice. Any notice or other communication given pursuant to this Agreement, or in any way with respect to the RSUs, shall be in writing and shall be personally delivered or mailed by United States registered or certified mail, postage prepaid, return receipt requested, to the following addresses:</w:t>
      </w:r>
    </w:p>
    <w:p>
      <w:pPr>
        <w:spacing w:after="0" w:line="197" w:lineRule="exact"/>
        <w:rPr>
          <w:sz w:val="20"/>
          <w:szCs w:val="20"/>
          <w:color w:val="auto"/>
        </w:rPr>
      </w:pPr>
    </w:p>
    <w:p>
      <w:pPr>
        <w:ind w:left="1300"/>
        <w:spacing w:after="0"/>
        <w:tabs>
          <w:tab w:leader="none" w:pos="312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9"/>
          <w:szCs w:val="19"/>
          <w:color w:val="auto"/>
        </w:rPr>
        <w:t>MiMedx Group, Inc.</w:t>
      </w:r>
    </w:p>
    <w:p>
      <w:pPr>
        <w:ind w:left="1520"/>
        <w:spacing w:after="0"/>
        <w:rPr>
          <w:sz w:val="20"/>
          <w:szCs w:val="20"/>
          <w:color w:val="auto"/>
        </w:rPr>
      </w:pPr>
      <w:r>
        <w:rPr>
          <w:rFonts w:ascii="Arial" w:cs="Arial" w:eastAsia="Arial" w:hAnsi="Arial"/>
          <w:sz w:val="20"/>
          <w:szCs w:val="20"/>
          <w:color w:val="auto"/>
        </w:rPr>
        <w:t>1775 West Oak Commons Ct. NE</w:t>
      </w:r>
    </w:p>
    <w:p>
      <w:pPr>
        <w:ind w:left="1520"/>
        <w:spacing w:after="0"/>
        <w:rPr>
          <w:sz w:val="20"/>
          <w:szCs w:val="20"/>
          <w:color w:val="auto"/>
        </w:rPr>
      </w:pPr>
      <w:r>
        <w:rPr>
          <w:rFonts w:ascii="Arial" w:cs="Arial" w:eastAsia="Arial" w:hAnsi="Arial"/>
          <w:sz w:val="20"/>
          <w:szCs w:val="20"/>
          <w:color w:val="auto"/>
        </w:rPr>
        <w:t>Marietta, Georgia 30062</w:t>
      </w:r>
    </w:p>
    <w:p>
      <w:pPr>
        <w:ind w:left="1520"/>
        <w:spacing w:after="0"/>
        <w:rPr>
          <w:sz w:val="20"/>
          <w:szCs w:val="20"/>
          <w:color w:val="auto"/>
        </w:rPr>
      </w:pPr>
      <w:r>
        <w:rPr>
          <w:rFonts w:ascii="Arial" w:cs="Arial" w:eastAsia="Arial" w:hAnsi="Arial"/>
          <w:sz w:val="20"/>
          <w:szCs w:val="20"/>
          <w:color w:val="auto"/>
        </w:rPr>
        <w:t>Attn: General Counsel</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-22860</wp:posOffset>
            </wp:positionV>
            <wp:extent cx="139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39700"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121920</wp:posOffset>
            </wp:positionV>
            <wp:extent cx="139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39700"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267970</wp:posOffset>
            </wp:positionV>
            <wp:extent cx="139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56"/>
        <w:spacing w:after="0" w:line="242" w:lineRule="auto"/>
        <w:tabs>
          <w:tab w:leader="none" w:pos="1314" w:val="left"/>
        </w:tabs>
        <w:numPr>
          <w:ilvl w:val="0"/>
          <w:numId w:val="40"/>
        </w:numPr>
        <w:rPr>
          <w:rFonts w:ascii="Arial" w:cs="Arial" w:eastAsia="Arial" w:hAnsi="Arial"/>
          <w:sz w:val="20"/>
          <w:szCs w:val="20"/>
          <w:i w:val="1"/>
          <w:iCs w:val="1"/>
          <w:color w:val="auto"/>
        </w:rPr>
      </w:pPr>
      <w:r>
        <w:rPr>
          <w:rFonts w:ascii="Arial" w:cs="Arial" w:eastAsia="Arial" w:hAnsi="Arial"/>
          <w:sz w:val="20"/>
          <w:szCs w:val="20"/>
          <w:i w:val="1"/>
          <w:iCs w:val="1"/>
          <w:color w:val="auto"/>
        </w:rPr>
        <w:t>Shareholder Rights. Except as provided below, Participant shall have no rights as a shareholder of the Company with respect to Shares underlying the RSUs unless and until Shares are delivered to Participant in respect of such RSUs upon vesting. The RSUs will be entitled to accrue Dividend Equivalents, which will be subject to all conditions and restrictions applicable to the underlying RSUs to which they relate, and which may not be paid until and unless the underlying RSUs have vested. Dividend Equivalents will accrue prior to the issuance of Shares with respect to the RSUs or their earlier forfeiture. Dividend Equivalents will be earned only for RSUs that are earned or deemed earned under this Agreement. With respect to RSUs that are not earned (because the applicable vesting restrictions do not lapse or otherwise), Dividend Equivalents that were accrued for those RSUs will be cancelled and forfeited along with the RSUs and underlying Shares, without payment therefor by the Company or any Affiliate. Dividend Equivalents will be paid at such time as the underlying RSUs to which they relate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61" w:name="page62"/>
    <w:bookmarkEnd w:id="61"/>
    <w:p>
      <w:pPr>
        <w:jc w:val="both"/>
        <w:ind w:firstLine="656"/>
        <w:spacing w:after="0" w:line="248" w:lineRule="auto"/>
        <w:tabs>
          <w:tab w:leader="none" w:pos="1314"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No Right to Continued Service. Neither the Plan, the granting of the RSUs nor any other action taken pursuant to the Plan or this Agreement constitutes or is evidence of any agreement or understanding, expressed or implied, that the Company or any Affiliate shall retain the Participant as a service provider for any period of time or at any particular rate of compensation.</w:t>
      </w:r>
    </w:p>
    <w:p>
      <w:pPr>
        <w:spacing w:after="0" w:line="183" w:lineRule="exact"/>
        <w:rPr>
          <w:rFonts w:ascii="Arial" w:cs="Arial" w:eastAsia="Arial" w:hAnsi="Arial"/>
          <w:sz w:val="20"/>
          <w:szCs w:val="20"/>
          <w:i w:val="1"/>
          <w:iCs w:val="1"/>
          <w:color w:val="auto"/>
        </w:rPr>
      </w:pPr>
    </w:p>
    <w:p>
      <w:pPr>
        <w:jc w:val="both"/>
        <w:ind w:firstLine="656"/>
        <w:spacing w:after="0" w:line="253" w:lineRule="auto"/>
        <w:tabs>
          <w:tab w:leader="none" w:pos="1314"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Binding Effect. Subject to the limitations stated above and in the Plan, this Agreement shall be binding upon and inure to the benefit of the legatees, distributees, and personal representatives of the Participant and the successors of the Company.</w:t>
      </w:r>
    </w:p>
    <w:p>
      <w:pPr>
        <w:spacing w:after="0" w:line="177" w:lineRule="exact"/>
        <w:rPr>
          <w:rFonts w:ascii="Arial" w:cs="Arial" w:eastAsia="Arial" w:hAnsi="Arial"/>
          <w:sz w:val="20"/>
          <w:szCs w:val="20"/>
          <w:i w:val="1"/>
          <w:iCs w:val="1"/>
          <w:color w:val="auto"/>
        </w:rPr>
      </w:pPr>
    </w:p>
    <w:p>
      <w:pPr>
        <w:ind w:firstLine="656"/>
        <w:spacing w:after="0" w:line="267" w:lineRule="auto"/>
        <w:tabs>
          <w:tab w:leader="none" w:pos="1314"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Conflicts. In the event of any conflict between the provisions of the Plan and the provisions of this Agreement, the provisions of the Plan shall govern. All references herein to the Plan shall mean the Plan as in effect on the date hereof.</w:t>
      </w:r>
    </w:p>
    <w:p>
      <w:pPr>
        <w:spacing w:after="0" w:line="163" w:lineRule="exact"/>
        <w:rPr>
          <w:rFonts w:ascii="Arial" w:cs="Arial" w:eastAsia="Arial" w:hAnsi="Arial"/>
          <w:sz w:val="20"/>
          <w:szCs w:val="20"/>
          <w:i w:val="1"/>
          <w:iCs w:val="1"/>
          <w:color w:val="auto"/>
        </w:rPr>
      </w:pPr>
    </w:p>
    <w:p>
      <w:pPr>
        <w:ind w:firstLine="656"/>
        <w:spacing w:after="0" w:line="267" w:lineRule="auto"/>
        <w:tabs>
          <w:tab w:leader="none" w:pos="1314"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Counterparts. This Agreement may be executed in a number of counterparts, each of which shall be deemed an original, but all of which together shall constitute one in the same instrument.</w:t>
      </w:r>
    </w:p>
    <w:p>
      <w:pPr>
        <w:spacing w:after="0" w:line="163" w:lineRule="exact"/>
        <w:rPr>
          <w:rFonts w:ascii="Arial" w:cs="Arial" w:eastAsia="Arial" w:hAnsi="Arial"/>
          <w:sz w:val="20"/>
          <w:szCs w:val="20"/>
          <w:i w:val="1"/>
          <w:iCs w:val="1"/>
          <w:color w:val="auto"/>
        </w:rPr>
      </w:pPr>
    </w:p>
    <w:p>
      <w:pPr>
        <w:jc w:val="both"/>
        <w:ind w:right="20" w:firstLine="656"/>
        <w:spacing w:after="0" w:line="253" w:lineRule="auto"/>
        <w:tabs>
          <w:tab w:leader="none" w:pos="1314"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Miscellaneous. The parties agree to execute such further instruments and take such further actions as may be necessary to carry out the intent of the Plan and this Agreement. This Agreement and the Plan shall constitute the entire agreement of the parties with respect to the subject matter hereof.</w:t>
      </w:r>
    </w:p>
    <w:p>
      <w:pPr>
        <w:spacing w:after="0" w:line="177" w:lineRule="exact"/>
        <w:rPr>
          <w:rFonts w:ascii="Arial" w:cs="Arial" w:eastAsia="Arial" w:hAnsi="Arial"/>
          <w:sz w:val="20"/>
          <w:szCs w:val="20"/>
          <w:i w:val="1"/>
          <w:iCs w:val="1"/>
          <w:color w:val="auto"/>
        </w:rPr>
      </w:pPr>
    </w:p>
    <w:p>
      <w:pPr>
        <w:jc w:val="both"/>
        <w:ind w:firstLine="656"/>
        <w:spacing w:after="0" w:line="244" w:lineRule="auto"/>
        <w:tabs>
          <w:tab w:leader="none" w:pos="1314"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Section 409A. Notwithstanding any of the provisions of this Agreement, it is intended that the RSUs granted pursuant to this Agreement be exempt from Section 409A of the Code as shortterm deferrals, pursuant to Treasury regulation §1.409A-1(b)(4), or otherwise comply with Section 409A of the Code. Notwithstanding the preceding, neither the Company nor any Affiliate shall be liable to the Participant or any other person if the Internal Revenue Service or any court or other authority have any jurisdiction over such matter determines for any reason that the RSUs are subject to taxes, penalties or interest as a result of failing to be exempt from, or comply with, Section 409A of the Code. For the avoidance of doubt, the provisions of this Agreement shall be construed and interpreted consistent with Article XXII of the Plan.</w:t>
      </w:r>
    </w:p>
    <w:p>
      <w:pPr>
        <w:spacing w:after="0" w:line="185" w:lineRule="exact"/>
        <w:rPr>
          <w:rFonts w:ascii="Arial" w:cs="Arial" w:eastAsia="Arial" w:hAnsi="Arial"/>
          <w:sz w:val="20"/>
          <w:szCs w:val="20"/>
          <w:i w:val="1"/>
          <w:iCs w:val="1"/>
          <w:color w:val="auto"/>
        </w:rPr>
      </w:pPr>
    </w:p>
    <w:p>
      <w:pPr>
        <w:jc w:val="both"/>
        <w:ind w:firstLine="656"/>
        <w:spacing w:after="0" w:line="246" w:lineRule="auto"/>
        <w:tabs>
          <w:tab w:leader="none" w:pos="1314"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Compensation Recoupment Policy. Notwithstanding any other provision of this Agreement, the rights, payments and benefits with respect to the RSUs (including any amounts received by Participant in connection with a sale of Shares received upon the vesting of RSUs) shall be subject to reduction, reimbursement, cancellation, forfeiture, recoupment or return by the Company, to the extent any reduction, reimbursement, cancellation, forfeiture, recoupment or return is required under applicable law or the Company’s Compensation Recoupment Policy or any similar policy that the Company may adopt.</w:t>
      </w:r>
    </w:p>
    <w:p>
      <w:pPr>
        <w:spacing w:after="0" w:line="184" w:lineRule="exact"/>
        <w:rPr>
          <w:rFonts w:ascii="Arial" w:cs="Arial" w:eastAsia="Arial" w:hAnsi="Arial"/>
          <w:sz w:val="20"/>
          <w:szCs w:val="20"/>
          <w:i w:val="1"/>
          <w:iCs w:val="1"/>
          <w:color w:val="auto"/>
        </w:rPr>
      </w:pPr>
    </w:p>
    <w:p>
      <w:pPr>
        <w:ind w:left="1320" w:hanging="664"/>
        <w:spacing w:after="0"/>
        <w:tabs>
          <w:tab w:leader="none" w:pos="1320"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Governing Law. This Agreement shall be governed by the governing laws applicable to the Plan.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2" w:right="339" w:bottom="1440" w:gutter="0" w:footer="0" w:header="0"/>
        </w:sectPr>
      </w:pPr>
    </w:p>
    <w:bookmarkStart w:id="62" w:name="page63"/>
    <w:bookmarkEnd w:id="62"/>
    <w:p>
      <w:pPr>
        <w:ind w:firstLine="648"/>
        <w:spacing w:after="0" w:line="246" w:lineRule="auto"/>
        <w:rPr>
          <w:sz w:val="20"/>
          <w:szCs w:val="20"/>
          <w:color w:val="auto"/>
        </w:rPr>
      </w:pPr>
      <w:r>
        <w:rPr>
          <w:rFonts w:ascii="Arial" w:cs="Arial" w:eastAsia="Arial" w:hAnsi="Arial"/>
          <w:sz w:val="20"/>
          <w:szCs w:val="20"/>
          <w:color w:val="auto"/>
        </w:rPr>
        <w:t>IN WITNESS WHEREOF, the Company has caused this Agreement to be signed by a duly authorized officer, and the Participant has affixed the Participant’s signature hereto.</w:t>
      </w: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MIMEDX GROUP, INC.</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-22860</wp:posOffset>
            </wp:positionV>
            <wp:extent cx="139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-22860</wp:posOffset>
            </wp:positionV>
            <wp:extent cx="139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-22860</wp:posOffset>
            </wp:positionV>
            <wp:extent cx="139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396240</wp:posOffset>
            </wp:positionV>
            <wp:extent cx="139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R. Wright, certify that:</w:t>
      </w:r>
    </w:p>
    <w:p>
      <w:pPr>
        <w:spacing w:after="0" w:line="225" w:lineRule="exact"/>
        <w:rPr>
          <w:sz w:val="20"/>
          <w:szCs w:val="20"/>
          <w:color w:val="auto"/>
        </w:rPr>
      </w:pPr>
    </w:p>
    <w:p>
      <w:pPr>
        <w:ind w:left="680" w:hanging="186"/>
        <w:spacing w:after="0"/>
        <w:tabs>
          <w:tab w:leader="none" w:pos="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MiMedx Group, Inc.;</w:t>
      </w:r>
    </w:p>
    <w:p>
      <w:pPr>
        <w:spacing w:after="0" w:line="103" w:lineRule="exact"/>
        <w:rPr>
          <w:rFonts w:ascii="Arial" w:cs="Arial" w:eastAsia="Arial" w:hAnsi="Arial"/>
          <w:sz w:val="18"/>
          <w:szCs w:val="18"/>
          <w:color w:val="auto"/>
        </w:rPr>
      </w:pPr>
    </w:p>
    <w:p>
      <w:pPr>
        <w:ind w:right="140" w:firstLine="453"/>
        <w:spacing w:after="0" w:line="334" w:lineRule="auto"/>
        <w:tabs>
          <w:tab w:leader="none" w:pos="6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53"/>
        <w:spacing w:after="0" w:line="277" w:lineRule="auto"/>
        <w:tabs>
          <w:tab w:leader="none" w:pos="6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453"/>
        <w:spacing w:after="0" w:line="263" w:lineRule="auto"/>
        <w:tabs>
          <w:tab w:leader="none" w:pos="6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right="340" w:firstLine="453"/>
        <w:spacing w:after="0" w:line="263" w:lineRule="auto"/>
        <w:tabs>
          <w:tab w:leader="none" w:pos="6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700" w:hanging="247"/>
        <w:spacing w:after="0"/>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7"/>
          <w:szCs w:val="17"/>
          <w:color w:val="auto"/>
        </w:rPr>
      </w:pPr>
    </w:p>
    <w:p>
      <w:pPr>
        <w:ind w:right="840" w:firstLine="453"/>
        <w:spacing w:after="0" w:line="342" w:lineRule="auto"/>
        <w:tabs>
          <w:tab w:leader="none" w:pos="69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453"/>
        <w:spacing w:after="0" w:line="263"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right="20" w:firstLine="453"/>
        <w:spacing w:after="0" w:line="308" w:lineRule="auto"/>
        <w:tabs>
          <w:tab w:leader="none" w:pos="62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right="240" w:firstLine="453"/>
        <w:spacing w:after="0" w:line="277" w:lineRule="auto"/>
        <w:tabs>
          <w:tab w:leader="none" w:pos="6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right="180" w:firstLine="453"/>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tcPr>
          <w:p>
            <w:pPr>
              <w:ind w:left="200"/>
              <w:spacing w:after="0"/>
              <w:rPr>
                <w:sz w:val="20"/>
                <w:szCs w:val="20"/>
                <w:color w:val="auto"/>
              </w:rPr>
            </w:pPr>
            <w:r>
              <w:rPr>
                <w:rFonts w:ascii="Arial" w:cs="Arial" w:eastAsia="Arial" w:hAnsi="Arial"/>
                <w:sz w:val="18"/>
                <w:szCs w:val="18"/>
                <w:color w:val="auto"/>
              </w:rPr>
              <w:t>August 3, 2021</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Wright</w:t>
            </w:r>
          </w:p>
        </w:tc>
      </w:tr>
      <w:tr>
        <w:trPr>
          <w:trHeight w:val="222"/>
        </w:trPr>
        <w:tc>
          <w:tcPr>
            <w:tcW w:w="6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Timothy R. Wright</w:t>
            </w:r>
          </w:p>
        </w:tc>
      </w:tr>
      <w:tr>
        <w:trPr>
          <w:trHeight w:val="230"/>
        </w:trPr>
        <w:tc>
          <w:tcPr>
            <w:tcW w:w="6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M. Carlson, certify that:</w:t>
      </w:r>
    </w:p>
    <w:p>
      <w:pPr>
        <w:spacing w:after="0" w:line="252" w:lineRule="exact"/>
        <w:rPr>
          <w:sz w:val="20"/>
          <w:szCs w:val="20"/>
          <w:color w:val="auto"/>
        </w:rPr>
      </w:pPr>
    </w:p>
    <w:p>
      <w:pPr>
        <w:ind w:left="600" w:hanging="187"/>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MiMedx Group, Inc.;</w:t>
      </w:r>
    </w:p>
    <w:p>
      <w:pPr>
        <w:spacing w:after="0" w:line="103" w:lineRule="exact"/>
        <w:rPr>
          <w:rFonts w:ascii="Arial" w:cs="Arial" w:eastAsia="Arial" w:hAnsi="Arial"/>
          <w:sz w:val="18"/>
          <w:szCs w:val="18"/>
          <w:color w:val="auto"/>
        </w:rPr>
      </w:pPr>
    </w:p>
    <w:p>
      <w:pPr>
        <w:ind w:right="140" w:firstLine="453"/>
        <w:spacing w:after="0" w:line="334" w:lineRule="auto"/>
        <w:tabs>
          <w:tab w:leader="none" w:pos="625" w:val="left"/>
        </w:tabs>
        <w:numPr>
          <w:ilvl w:val="1"/>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53"/>
        <w:spacing w:after="0" w:line="277" w:lineRule="auto"/>
        <w:tabs>
          <w:tab w:leader="none" w:pos="625" w:val="left"/>
        </w:tabs>
        <w:numPr>
          <w:ilvl w:val="1"/>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453"/>
        <w:spacing w:after="0" w:line="263" w:lineRule="auto"/>
        <w:tabs>
          <w:tab w:leader="none" w:pos="62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right="340" w:firstLine="453"/>
        <w:spacing w:after="0" w:line="263" w:lineRule="auto"/>
        <w:tabs>
          <w:tab w:leader="none" w:pos="6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700" w:hanging="247"/>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7"/>
          <w:szCs w:val="17"/>
          <w:color w:val="auto"/>
        </w:rPr>
      </w:pPr>
    </w:p>
    <w:p>
      <w:pPr>
        <w:ind w:right="840" w:firstLine="453"/>
        <w:spacing w:after="0" w:line="342" w:lineRule="auto"/>
        <w:tabs>
          <w:tab w:leader="none" w:pos="69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453"/>
        <w:spacing w:after="0" w:line="26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right="20" w:firstLine="453"/>
        <w:spacing w:after="0" w:line="308" w:lineRule="auto"/>
        <w:tabs>
          <w:tab w:leader="none" w:pos="62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right="240" w:firstLine="453"/>
        <w:spacing w:after="0" w:line="277" w:lineRule="auto"/>
        <w:tabs>
          <w:tab w:leader="none" w:pos="6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right="180" w:firstLine="453"/>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200"/>
              <w:spacing w:after="0"/>
              <w:rPr>
                <w:sz w:val="20"/>
                <w:szCs w:val="20"/>
                <w:color w:val="auto"/>
              </w:rPr>
            </w:pPr>
            <w:r>
              <w:rPr>
                <w:rFonts w:ascii="Arial" w:cs="Arial" w:eastAsia="Arial" w:hAnsi="Arial"/>
                <w:sz w:val="18"/>
                <w:szCs w:val="18"/>
                <w:color w:val="auto"/>
              </w:rPr>
              <w:t>August 3, 2021</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M. Carlson</w:t>
            </w:r>
          </w:p>
        </w:tc>
      </w:tr>
      <w:tr>
        <w:trPr>
          <w:trHeight w:val="222"/>
        </w:trPr>
        <w:tc>
          <w:tcPr>
            <w:tcW w:w="6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Peter M. Carlson</w:t>
            </w:r>
          </w:p>
        </w:tc>
      </w:tr>
      <w:tr>
        <w:trPr>
          <w:trHeight w:val="230"/>
        </w:trPr>
        <w:tc>
          <w:tcPr>
            <w:tcW w:w="6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188"/>
        <w:spacing w:after="0" w:line="259" w:lineRule="auto"/>
        <w:rPr>
          <w:sz w:val="20"/>
          <w:szCs w:val="20"/>
          <w:color w:val="auto"/>
        </w:rPr>
      </w:pPr>
      <w:r>
        <w:rPr>
          <w:rFonts w:ascii="Arial" w:cs="Arial" w:eastAsia="Arial" w:hAnsi="Arial"/>
          <w:sz w:val="18"/>
          <w:szCs w:val="18"/>
          <w:color w:val="auto"/>
        </w:rPr>
        <w:t>The undersigned Timothy R. Wright, the Chief Executive Officer of MiMedx Group, Inc. (the “Company”), has executed this certification in connection with the filing with the Securities and Exchange Commission of the Company’s Quarterly Report on Form 10-Q for the period ending June 30, 2021 (the “Report”). Pursuant to 18 U.S.C. Section 1350, as adopted pursuant to Section 906 of the Sarbanes-Oxley Act of 2002, the undersigned hereby certifies, to his knowledge, that:</w:t>
      </w:r>
    </w:p>
    <w:p>
      <w:pPr>
        <w:spacing w:after="0" w:line="268"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tcPr>
          <w:p>
            <w:pPr>
              <w:ind w:left="140"/>
              <w:spacing w:after="0"/>
              <w:rPr>
                <w:sz w:val="20"/>
                <w:szCs w:val="20"/>
                <w:color w:val="auto"/>
              </w:rPr>
            </w:pPr>
            <w:r>
              <w:rPr>
                <w:rFonts w:ascii="Arial" w:cs="Arial" w:eastAsia="Arial" w:hAnsi="Arial"/>
                <w:sz w:val="18"/>
                <w:szCs w:val="18"/>
                <w:color w:val="auto"/>
              </w:rPr>
              <w:t>August 3, 2021</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Wright</w:t>
            </w:r>
          </w:p>
        </w:tc>
      </w:tr>
      <w:tr>
        <w:trPr>
          <w:trHeight w:val="222"/>
        </w:trPr>
        <w:tc>
          <w:tcPr>
            <w:tcW w:w="5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Timothy R. Wright</w:t>
            </w:r>
          </w:p>
        </w:tc>
      </w:tr>
      <w:tr>
        <w:trPr>
          <w:trHeight w:val="230"/>
        </w:trPr>
        <w:tc>
          <w:tcPr>
            <w:tcW w:w="5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177"/>
        <w:spacing w:after="0" w:line="259" w:lineRule="auto"/>
        <w:rPr>
          <w:sz w:val="20"/>
          <w:szCs w:val="20"/>
          <w:color w:val="auto"/>
        </w:rPr>
      </w:pPr>
      <w:r>
        <w:rPr>
          <w:rFonts w:ascii="Arial" w:cs="Arial" w:eastAsia="Arial" w:hAnsi="Arial"/>
          <w:sz w:val="18"/>
          <w:szCs w:val="18"/>
          <w:color w:val="auto"/>
        </w:rPr>
        <w:t>The undersigned Peter M. Carlson, the Chief Financial Officer of MiMedx Group, Inc. (the “Company”), has executed this certification in connection with the filing with the Securities and Exchange Commission of the Company’s Quarterly Report on Form 10-Q for the period ending June 30, 2021 (the “Report”). Pursuant to 18 U.S.C. Section 1350, as adopted pursuant to Section 906 of the Sarbanes-Oxley Act of 2002, the undersigned hereby certifies, to his knowledge, that:</w:t>
      </w:r>
    </w:p>
    <w:p>
      <w:pPr>
        <w:spacing w:after="0" w:line="268"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6320" w:type="dxa"/>
            <w:vAlign w:val="bottom"/>
          </w:tcPr>
          <w:p>
            <w:pPr>
              <w:ind w:left="200"/>
              <w:spacing w:after="0"/>
              <w:rPr>
                <w:sz w:val="20"/>
                <w:szCs w:val="20"/>
                <w:color w:val="auto"/>
              </w:rPr>
            </w:pPr>
            <w:r>
              <w:rPr>
                <w:rFonts w:ascii="Arial" w:cs="Arial" w:eastAsia="Arial" w:hAnsi="Arial"/>
                <w:sz w:val="18"/>
                <w:szCs w:val="18"/>
                <w:color w:val="auto"/>
              </w:rPr>
              <w:t>August 3, 2021</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M. Carlson</w:t>
            </w:r>
          </w:p>
        </w:tc>
      </w:tr>
      <w:tr>
        <w:trPr>
          <w:trHeight w:val="222"/>
        </w:trPr>
        <w:tc>
          <w:tcPr>
            <w:tcW w:w="6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Peter M. Carlson</w:t>
            </w:r>
          </w:p>
        </w:tc>
      </w:tr>
      <w:tr>
        <w:trPr>
          <w:trHeight w:val="230"/>
        </w:trPr>
        <w:tc>
          <w:tcPr>
            <w:tcW w:w="6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5"/>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6CEAF087"/>
    <w:multiLevelType w:val="hybridMultilevel"/>
    <w:lvl w:ilvl="0">
      <w:lvlJc w:val="left"/>
      <w:lvlText w:val="%1"/>
      <w:numFmt w:val="upperLetter"/>
      <w:start w:val="30"/>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decimal"/>
      <w:start w:val="1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2"/>
    </w:lvl>
  </w:abstractNum>
  <w:abstractNum w:abstractNumId="16">
    <w:nsid w:val="419AC241"/>
    <w:multiLevelType w:val="hybridMultilevel"/>
    <w:lvl w:ilvl="0">
      <w:lvlJc w:val="left"/>
      <w:lvlText w:val="(%1)"/>
      <w:numFmt w:val="decimal"/>
      <w:start w:val="2"/>
    </w:lvl>
  </w:abstractNum>
  <w:abstractNum w:abstractNumId="17">
    <w:nsid w:val="5577F8E1"/>
    <w:multiLevelType w:val="hybridMultilevel"/>
    <w:lvl w:ilvl="0">
      <w:lvlJc w:val="left"/>
      <w:lvlText w:val="(%1)"/>
      <w:numFmt w:val="lowerRoman"/>
      <w:start w:val="5"/>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2"/>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lvl w:ilvl="1">
      <w:lvlJc w:val="left"/>
      <w:lvlText w:val="(%2)"/>
      <w:numFmt w:val="lowerLetter"/>
      <w:start w:val="1"/>
    </w:lvl>
  </w:abstractNum>
  <w:abstractNum w:abstractNumId="30">
    <w:nsid w:val="3855585C"/>
    <w:multiLevelType w:val="hybridMultilevel"/>
    <w:lvl w:ilvl="0">
      <w:lvlJc w:val="left"/>
      <w:lvlText w:val="%1."/>
      <w:numFmt w:val="decimal"/>
      <w:start w:val="4"/>
    </w:lvl>
  </w:abstractNum>
  <w:abstractNum w:abstractNumId="31">
    <w:nsid w:val="70A64E2A"/>
    <w:multiLevelType w:val="hybridMultilevel"/>
    <w:lvl w:ilvl="0">
      <w:lvlJc w:val="left"/>
      <w:lvlText w:val="%1."/>
      <w:numFmt w:val="decimal"/>
      <w:start w:val="10"/>
    </w:lvl>
  </w:abstractNum>
  <w:abstractNum w:abstractNumId="32">
    <w:nsid w:val="6A2342EC"/>
    <w:multiLevelType w:val="hybridMultilevel"/>
    <w:lvl w:ilvl="0">
      <w:lvlJc w:val="left"/>
      <w:lvlText w:val="%1."/>
      <w:numFmt w:val="decimal"/>
      <w:start w:val="16"/>
    </w:lvl>
  </w:abstractNum>
  <w:abstractNum w:abstractNumId="33">
    <w:nsid w:val="2A487CB0"/>
    <w:multiLevelType w:val="hybridMultilevel"/>
    <w:lvl w:ilvl="0">
      <w:lvlJc w:val="left"/>
      <w:lvlText w:val="%1."/>
      <w:numFmt w:val="decimal"/>
      <w:start w:val="1"/>
    </w:lvl>
    <w:lvl w:ilvl="1">
      <w:lvlJc w:val="left"/>
      <w:lvlText w:val="(%2)"/>
      <w:numFmt w:val="lowerLetter"/>
      <w:start w:val="1"/>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1."/>
      <w:numFmt w:val="decimal"/>
      <w:start w:val="10"/>
    </w:lvl>
  </w:abstractNum>
  <w:abstractNum w:abstractNumId="36">
    <w:nsid w:val="2CD89A32"/>
    <w:multiLevelType w:val="hybridMultilevel"/>
    <w:lvl w:ilvl="0">
      <w:lvlJc w:val="left"/>
      <w:lvlText w:val="%1."/>
      <w:numFmt w:val="decimal"/>
      <w:start w:val="12"/>
    </w:lvl>
  </w:abstractNum>
  <w:abstractNum w:abstractNumId="37">
    <w:nsid w:val="57E4CCAF"/>
    <w:multiLevelType w:val="hybridMultilevel"/>
    <w:lvl w:ilvl="0">
      <w:lvlJc w:val="left"/>
      <w:lvlText w:val="%1."/>
      <w:numFmt w:val="decimal"/>
      <w:start w:val="1"/>
    </w:lvl>
    <w:lvl w:ilvl="1">
      <w:lvlJc w:val="left"/>
      <w:lvlText w:val="(%2)"/>
      <w:numFmt w:val="lowerLetter"/>
      <w:start w:val="1"/>
    </w:lvl>
  </w:abstractNum>
  <w:abstractNum w:abstractNumId="38">
    <w:nsid w:val="7A6D8D3C"/>
    <w:multiLevelType w:val="hybridMultilevel"/>
    <w:lvl w:ilvl="0">
      <w:lvlJc w:val="left"/>
      <w:lvlText w:val="%1."/>
      <w:numFmt w:val="decimal"/>
      <w:start w:val="6"/>
    </w:lvl>
  </w:abstractNum>
  <w:abstractNum w:abstractNumId="39">
    <w:nsid w:val="4B588F54"/>
    <w:multiLevelType w:val="hybridMultilevel"/>
    <w:lvl w:ilvl="0">
      <w:lvlJc w:val="left"/>
      <w:lvlText w:val="%1."/>
      <w:numFmt w:val="decimal"/>
      <w:start w:val="10"/>
    </w:lvl>
  </w:abstractNum>
  <w:abstractNum w:abstractNumId="40">
    <w:nsid w:val="542289EC"/>
    <w:multiLevelType w:val="hybridMultilevel"/>
    <w:lvl w:ilvl="0">
      <w:lvlJc w:val="left"/>
      <w:lvlText w:val="%1."/>
      <w:numFmt w:val="decimal"/>
      <w:start w:val="11"/>
    </w:lvl>
  </w:abstractNum>
  <w:abstractNum w:abstractNumId="41">
    <w:nsid w:val="6DE91B18"/>
    <w:multiLevelType w:val="hybridMultilevel"/>
    <w:lvl w:ilvl="0">
      <w:lvlJc w:val="left"/>
      <w:lvlText w:val="%1"/>
      <w:numFmt w:val="decimal"/>
      <w:start w:val="1"/>
    </w:lvl>
    <w:lvl w:ilvl="1">
      <w:lvlJc w:val="left"/>
      <w:lvlText w:val="%2."/>
      <w:numFmt w:val="decimal"/>
      <w:start w:val="1"/>
    </w:lvl>
  </w:abstractNum>
  <w:abstractNum w:abstractNumId="42">
    <w:nsid w:val="38437FDB"/>
    <w:multiLevelType w:val="hybridMultilevel"/>
    <w:lvl w:ilvl="0">
      <w:lvlJc w:val="left"/>
      <w:lvlText w:val="%1."/>
      <w:numFmt w:val="decimal"/>
      <w:start w:val="2"/>
    </w:lvl>
    <w:lvl w:ilvl="1">
      <w:lvlJc w:val="left"/>
      <w:lvlText w:val="%2"/>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lvl w:ilvl="1">
      <w:lvlJc w:val="left"/>
      <w:lvlText w:val="%2."/>
      <w:numFmt w:val="decimal"/>
      <w:start w:val="2"/>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jpe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69" Type="http://schemas.openxmlformats.org/officeDocument/2006/relationships/hyperlink" Target="https://www.sec.gov/Archives/edgar/data/1376339/000137633921000011/ex31restatedarticlesofinco.htm" TargetMode="External"/><Relationship Id="rId70" Type="http://schemas.openxmlformats.org/officeDocument/2006/relationships/hyperlink" Target="https://www.sec.gov/Archives/edgar/data/1376339/000137633921000085/a202105278-kex31declassify.htm" TargetMode="External"/><Relationship Id="rId71" Type="http://schemas.openxmlformats.org/officeDocument/2006/relationships/hyperlink" Target="https://www.sec.gov/Archives/edgar/data/1376339/000137633921000085/a20210527ex32specialmeeting.htm" TargetMode="External"/><Relationship Id="rId72" Type="http://schemas.openxmlformats.org/officeDocument/2006/relationships/hyperlink" Target="https://www.sec.gov/Archives/edgar/data/1376339/000119312521123689/d149033dex31.htm" TargetMode="External"/><Relationship Id="rId73" Type="http://schemas.openxmlformats.org/officeDocument/2006/relationships/hyperlink" Target="https://www.sec.gov/Archives/edgar/data/1376339/000137633921000083/a20210527ex31proxyaccess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2021-08-03T16:42:25Z</dcterms:created>
  <dcterms:modified xsi:type="dcterms:W3CDTF">2021-08-03T16:42:25Z</dcterms:modified>
</cp:coreProperties>
</file>