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643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4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Whitlow Ricci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MDXG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45,929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448,948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36,486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36,486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107,241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restricted stock which vests fully on the third anniversary of the grant, subject to the reporting person's continued employment as specified in the Restricted Stock Unit Agreement.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granted to the reporting person shall vest 25% on each anniversary of the grant date, subject to the reporting person's continued employment as specified in the Nonqualified Stock Option Agreement.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92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Ricci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Whitlow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72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8744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2025-03-05T18:11:21Z</dcterms:created>
  <dcterms:modified xsi:type="dcterms:W3CDTF">2025-03-05T18:11:21Z</dcterms:modified>
</cp:coreProperties>
</file>